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305B8752">
                <wp:simplePos x="0" y="0"/>
                <wp:positionH relativeFrom="margin">
                  <wp:align>left</wp:align>
                </wp:positionH>
                <wp:positionV relativeFrom="margin">
                  <wp:posOffset>2614930</wp:posOffset>
                </wp:positionV>
                <wp:extent cx="5905500" cy="363855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05500" cy="3638550"/>
                        </a:xfrm>
                        <a:prstGeom prst="rect">
                          <a:avLst/>
                        </a:prstGeom>
                        <a:noFill/>
                        <a:ln w="6350">
                          <a:solidFill>
                            <a:schemeClr val="accent1"/>
                          </a:solidFill>
                        </a:ln>
                      </wps:spPr>
                      <wps:txbx>
                        <w:txbxContent>
                          <w:p w14:paraId="433801F0" w14:textId="2ADA11A3" w:rsidR="006E1674" w:rsidRPr="008843D6" w:rsidRDefault="006E1674" w:rsidP="00A834FE">
                            <w:pPr>
                              <w:pStyle w:val="Style2"/>
                              <w:ind w:left="-26"/>
                              <w:rPr>
                                <w:sz w:val="32"/>
                                <w:szCs w:val="32"/>
                              </w:rPr>
                            </w:pPr>
                            <w:bookmarkStart w:id="1" w:name="_Toc174955738"/>
                            <w:bookmarkStart w:id="2" w:name="_Toc174961624"/>
                            <w:bookmarkStart w:id="3" w:name="_Toc174962344"/>
                            <w:r w:rsidRPr="00A834FE">
                              <w:rPr>
                                <w:color w:val="FFFFFF" w:themeColor="background1"/>
                                <w:sz w:val="56"/>
                              </w:rPr>
                              <w:t>Предварителни етапи на проект за фотоволтаична система</w:t>
                            </w:r>
                            <w:r>
                              <w:rPr>
                                <w:color w:val="FFFFFF" w:themeColor="background1"/>
                                <w:sz w:val="44"/>
                              </w:rPr>
                              <w:cr/>
                            </w:r>
                            <w:r>
                              <w:rPr>
                                <w:color w:val="FFFFFF" w:themeColor="background1"/>
                                <w:sz w:val="44"/>
                              </w:rPr>
                              <w:br/>
                            </w:r>
                            <w:r>
                              <w:rPr>
                                <w:sz w:val="44"/>
                              </w:rPr>
                              <w:cr/>
                            </w:r>
                            <w:r>
                              <w:rPr>
                                <w:sz w:val="44"/>
                              </w:rPr>
                              <w:br/>
                            </w:r>
                            <w:r>
                              <w:rPr>
                                <w:b w:val="0"/>
                                <w:color w:val="104D54"/>
                                <w:sz w:val="44"/>
                              </w:rPr>
                              <w:t xml:space="preserve">   </w:t>
                            </w:r>
                            <w:r>
                              <w:rPr>
                                <w:b w:val="0"/>
                                <w:color w:val="104D54"/>
                                <w:sz w:val="32"/>
                              </w:rPr>
                              <w:t>Кратко ръководство за:</w:t>
                            </w:r>
                            <w:bookmarkEnd w:id="1"/>
                            <w:bookmarkEnd w:id="2"/>
                            <w:bookmarkEnd w:id="3"/>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4" w:name="_Toc174955739"/>
                            <w:bookmarkStart w:id="5" w:name="_Toc174961625"/>
                            <w:bookmarkStart w:id="6" w:name="_Toc174962345"/>
                            <w:r>
                              <w:rPr>
                                <w:b w:val="0"/>
                                <w:color w:val="FFFFFF" w:themeColor="background1"/>
                                <w:sz w:val="32"/>
                              </w:rPr>
                              <w:t>проекти за над 100 слънчеви панела</w:t>
                            </w:r>
                            <w:bookmarkEnd w:id="4"/>
                            <w:bookmarkEnd w:id="5"/>
                            <w:bookmarkEnd w:id="6"/>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7" w:name="_Toc174955740"/>
                            <w:bookmarkStart w:id="8" w:name="_Toc174961626"/>
                            <w:bookmarkStart w:id="9" w:name="_Toc174962346"/>
                            <w:r>
                              <w:rPr>
                                <w:b w:val="0"/>
                                <w:color w:val="FFFFFF" w:themeColor="background1"/>
                                <w:sz w:val="32"/>
                              </w:rPr>
                              <w:t>организации от публичния сектор и частни организации</w:t>
                            </w:r>
                            <w:bookmarkEnd w:id="7"/>
                            <w:bookmarkEnd w:id="8"/>
                            <w:bookmarkEnd w:id="9"/>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0" w:name="_Toc174955741"/>
                            <w:bookmarkStart w:id="11" w:name="_Toc174961627"/>
                            <w:bookmarkStart w:id="12" w:name="_Toc174962347"/>
                            <w:r>
                              <w:rPr>
                                <w:color w:val="104D54"/>
                                <w:sz w:val="28"/>
                              </w:rPr>
                              <w:t>Как да се гарантират добри цени и добро качество</w:t>
                            </w:r>
                            <w:bookmarkEnd w:id="10"/>
                            <w:bookmarkEnd w:id="11"/>
                            <w:bookmarkEnd w:id="12"/>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3" w:name="_Toc174955742"/>
                            <w:bookmarkStart w:id="14" w:name="_Toc174961628"/>
                            <w:bookmarkStart w:id="15" w:name="_Toc174962348"/>
                            <w:r>
                              <w:rPr>
                                <w:color w:val="104D54"/>
                                <w:sz w:val="28"/>
                              </w:rPr>
                              <w:t>Пожарна безопасност и евакуация</w:t>
                            </w:r>
                            <w:bookmarkEnd w:id="13"/>
                            <w:bookmarkEnd w:id="14"/>
                            <w:bookmarkEnd w:id="15"/>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6" w:name="_Toc174955743"/>
                            <w:bookmarkStart w:id="17" w:name="_Toc174961629"/>
                            <w:bookmarkStart w:id="18" w:name="_Toc174962349"/>
                            <w:r>
                              <w:rPr>
                                <w:color w:val="104D54"/>
                                <w:sz w:val="28"/>
                              </w:rPr>
                              <w:t>Варианти за устойчивост</w:t>
                            </w:r>
                            <w:bookmarkEnd w:id="16"/>
                            <w:bookmarkEnd w:id="17"/>
                            <w:bookmarkEnd w:id="18"/>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19" w:name="_Toc174955744"/>
                            <w:bookmarkStart w:id="20" w:name="_Toc174961630"/>
                            <w:bookmarkStart w:id="21" w:name="_Toc174962350"/>
                            <w:r>
                              <w:rPr>
                                <w:color w:val="104D54"/>
                                <w:sz w:val="28"/>
                              </w:rPr>
                              <w:t>Практически съвети с имената на</w:t>
                            </w:r>
                            <w:bookmarkEnd w:id="19"/>
                            <w:bookmarkEnd w:id="20"/>
                            <w:bookmarkEnd w:id="21"/>
                          </w:p>
                          <w:p w14:paraId="5EAD48E1" w14:textId="7E551FD0" w:rsidR="006E1674" w:rsidRPr="00282220" w:rsidRDefault="006E1674" w:rsidP="00282220">
                            <w:pPr>
                              <w:pStyle w:val="Style2"/>
                              <w:ind w:left="360" w:firstLine="348"/>
                              <w:rPr>
                                <w:bCs/>
                                <w:color w:val="104D54"/>
                                <w:sz w:val="28"/>
                                <w:szCs w:val="28"/>
                              </w:rPr>
                            </w:pPr>
                            <w:bookmarkStart w:id="22" w:name="_Toc174955745"/>
                            <w:bookmarkStart w:id="23" w:name="_Toc174961631"/>
                            <w:bookmarkStart w:id="24" w:name="_Toc174962351"/>
                            <w:r>
                              <w:rPr>
                                <w:color w:val="104D54"/>
                                <w:sz w:val="28"/>
                              </w:rPr>
                              <w:t>консултантски фирми за технически съвети</w:t>
                            </w:r>
                            <w:bookmarkEnd w:id="22"/>
                            <w:bookmarkEnd w:id="23"/>
                            <w:bookmarkEnd w:id="24"/>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0;margin-top:205.9pt;width:465pt;height:286.5pt;z-index:251675648;visibility:visible;mso-wrap-style:square;mso-width-percent:0;mso-height-percent:0;mso-wrap-distance-left:9pt;mso-wrap-distance-top:0;mso-wrap-distance-right:9pt;mso-wrap-distance-bottom:0;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" filled="f" strokecolor="#4472c4 [3204]" strokeweight=".5pt">
                <v:path arrowok="t"/>
                <v:textbox>
                  <w:txbxContent>
                    <w:p w14:paraId="433801F0" w14:textId="2ADA11A3" w:rsidR="006E1674" w:rsidRPr="008843D6" w:rsidRDefault="006E1674" w:rsidP="00A834FE">
                      <w:pPr>
                        <w:pStyle w:val="Style2"/>
                        <w:ind w:left="-26"/>
                        <w:rPr>
                          <w:sz w:val="32"/>
                          <w:szCs w:val="32"/>
                        </w:rPr>
                      </w:pPr>
                      <w:bookmarkStart w:id="25" w:name="_Toc174955738"/>
                      <w:bookmarkStart w:id="26" w:name="_Toc174961624"/>
                      <w:bookmarkStart w:id="27" w:name="_Toc174962344"/>
                      <w:r w:rsidRPr="00A834FE">
                        <w:rPr>
                          <w:color w:val="FFFFFF" w:themeColor="background1"/>
                          <w:sz w:val="56"/>
                        </w:rPr>
                        <w:t>Предварителни етапи на проект за фотоволтаична система</w:t>
                      </w:r>
                      <w:r>
                        <w:rPr>
                          <w:color w:val="FFFFFF" w:themeColor="background1"/>
                          <w:sz w:val="44"/>
                        </w:rPr>
                        <w:cr/>
                      </w:r>
                      <w:r>
                        <w:rPr>
                          <w:color w:val="FFFFFF" w:themeColor="background1"/>
                          <w:sz w:val="44"/>
                        </w:rPr>
                        <w:br/>
                      </w:r>
                      <w:r>
                        <w:rPr>
                          <w:sz w:val="44"/>
                        </w:rPr>
                        <w:cr/>
                      </w:r>
                      <w:r>
                        <w:rPr>
                          <w:sz w:val="44"/>
                        </w:rPr>
                        <w:br/>
                      </w:r>
                      <w:r>
                        <w:rPr>
                          <w:b w:val="0"/>
                          <w:color w:val="104D54"/>
                          <w:sz w:val="44"/>
                        </w:rPr>
                        <w:t xml:space="preserve">   </w:t>
                      </w:r>
                      <w:r>
                        <w:rPr>
                          <w:b w:val="0"/>
                          <w:color w:val="104D54"/>
                          <w:sz w:val="32"/>
                        </w:rPr>
                        <w:t>Кратко ръководство за:</w:t>
                      </w:r>
                      <w:bookmarkEnd w:id="25"/>
                      <w:bookmarkEnd w:id="26"/>
                      <w:bookmarkEnd w:id="27"/>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28" w:name="_Toc174955739"/>
                      <w:bookmarkStart w:id="29" w:name="_Toc174961625"/>
                      <w:bookmarkStart w:id="30" w:name="_Toc174962345"/>
                      <w:r>
                        <w:rPr>
                          <w:b w:val="0"/>
                          <w:color w:val="FFFFFF" w:themeColor="background1"/>
                          <w:sz w:val="32"/>
                        </w:rPr>
                        <w:t>проекти за над 100 слънчеви панела</w:t>
                      </w:r>
                      <w:bookmarkEnd w:id="28"/>
                      <w:bookmarkEnd w:id="29"/>
                      <w:bookmarkEnd w:id="3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31" w:name="_Toc174955740"/>
                      <w:bookmarkStart w:id="32" w:name="_Toc174961626"/>
                      <w:bookmarkStart w:id="33" w:name="_Toc174962346"/>
                      <w:r>
                        <w:rPr>
                          <w:b w:val="0"/>
                          <w:color w:val="FFFFFF" w:themeColor="background1"/>
                          <w:sz w:val="32"/>
                        </w:rPr>
                        <w:t>организации от публичния сектор и частни организации</w:t>
                      </w:r>
                      <w:bookmarkEnd w:id="31"/>
                      <w:bookmarkEnd w:id="32"/>
                      <w:bookmarkEnd w:id="33"/>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34" w:name="_Toc174955741"/>
                      <w:bookmarkStart w:id="35" w:name="_Toc174961627"/>
                      <w:bookmarkStart w:id="36" w:name="_Toc174962347"/>
                      <w:r>
                        <w:rPr>
                          <w:color w:val="104D54"/>
                          <w:sz w:val="28"/>
                        </w:rPr>
                        <w:t>Как да се гарантират добри цени и добро качество</w:t>
                      </w:r>
                      <w:bookmarkEnd w:id="34"/>
                      <w:bookmarkEnd w:id="35"/>
                      <w:bookmarkEnd w:id="36"/>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37" w:name="_Toc174955742"/>
                      <w:bookmarkStart w:id="38" w:name="_Toc174961628"/>
                      <w:bookmarkStart w:id="39" w:name="_Toc174962348"/>
                      <w:r>
                        <w:rPr>
                          <w:color w:val="104D54"/>
                          <w:sz w:val="28"/>
                        </w:rPr>
                        <w:t>Пожарна безопасност и евакуация</w:t>
                      </w:r>
                      <w:bookmarkEnd w:id="37"/>
                      <w:bookmarkEnd w:id="38"/>
                      <w:bookmarkEnd w:id="39"/>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40" w:name="_Toc174955743"/>
                      <w:bookmarkStart w:id="41" w:name="_Toc174961629"/>
                      <w:bookmarkStart w:id="42" w:name="_Toc174962349"/>
                      <w:r>
                        <w:rPr>
                          <w:color w:val="104D54"/>
                          <w:sz w:val="28"/>
                        </w:rPr>
                        <w:t>Варианти за устойчивост</w:t>
                      </w:r>
                      <w:bookmarkEnd w:id="40"/>
                      <w:bookmarkEnd w:id="41"/>
                      <w:bookmarkEnd w:id="42"/>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43" w:name="_Toc174955744"/>
                      <w:bookmarkStart w:id="44" w:name="_Toc174961630"/>
                      <w:bookmarkStart w:id="45" w:name="_Toc174962350"/>
                      <w:r>
                        <w:rPr>
                          <w:color w:val="104D54"/>
                          <w:sz w:val="28"/>
                        </w:rPr>
                        <w:t>Практически съвети с имената на</w:t>
                      </w:r>
                      <w:bookmarkEnd w:id="43"/>
                      <w:bookmarkEnd w:id="44"/>
                      <w:bookmarkEnd w:id="45"/>
                    </w:p>
                    <w:p w14:paraId="5EAD48E1" w14:textId="7E551FD0" w:rsidR="006E1674" w:rsidRPr="00282220" w:rsidRDefault="006E1674" w:rsidP="00282220">
                      <w:pPr>
                        <w:pStyle w:val="Style2"/>
                        <w:ind w:left="360" w:firstLine="348"/>
                        <w:rPr>
                          <w:bCs/>
                          <w:color w:val="104D54"/>
                          <w:sz w:val="28"/>
                          <w:szCs w:val="28"/>
                        </w:rPr>
                      </w:pPr>
                      <w:bookmarkStart w:id="46" w:name="_Toc174955745"/>
                      <w:bookmarkStart w:id="47" w:name="_Toc174961631"/>
                      <w:bookmarkStart w:id="48" w:name="_Toc174962351"/>
                      <w:r>
                        <w:rPr>
                          <w:color w:val="104D54"/>
                          <w:sz w:val="28"/>
                        </w:rPr>
                        <w:t>консултантски фирми за технически съвети</w:t>
                      </w:r>
                      <w:bookmarkEnd w:id="46"/>
                      <w:bookmarkEnd w:id="47"/>
                      <w:bookmarkEnd w:id="48"/>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Инициатива на: </w:t>
                            </w:r>
                            <w:r>
                              <w:rPr>
                                <w:rFonts w:ascii="Arial" w:hAnsi="Arial"/>
                                <w:b/>
                                <w:color w:val="104D54"/>
                              </w:rPr>
                              <w:t xml:space="preserve">RVO и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Версия: 0.99 (проект)</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Автори: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и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cr/>
                            </w:r>
                            <w:r>
                              <w:rPr>
                                <w:rFonts w:ascii="Arial" w:hAnsi="Arial"/>
                                <w:color w:val="104D54"/>
                              </w:rPr>
                              <w:br/>
                              <w:t xml:space="preserve">авторско право на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 г.</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Дата на публикуване: 5 септември 2023 г.</w:t>
                            </w:r>
                          </w:p>
                          <w:p w14:paraId="7696FCCA" w14:textId="77777777" w:rsidR="006E1674" w:rsidRPr="00621554" w:rsidRDefault="006E1674" w:rsidP="006E1674">
                            <w:pPr>
                              <w:rPr>
                                <w:rFonts w:ascii="Arial" w:hAnsi="Arial" w:cs="Arial"/>
                                <w:b/>
                                <w:bCs/>
                                <w:color w:val="104D54"/>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Инициатива на: </w:t>
                      </w:r>
                      <w:r>
                        <w:rPr>
                          <w:rFonts w:ascii="Arial" w:hAnsi="Arial"/>
                          <w:b/>
                          <w:color w:val="104D54"/>
                        </w:rPr>
                        <w:t xml:space="preserve">RVO и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Версия: 0.99 (проект)</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Автори: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и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cr/>
                      </w:r>
                      <w:r>
                        <w:rPr>
                          <w:rFonts w:ascii="Arial" w:hAnsi="Arial"/>
                          <w:color w:val="104D54"/>
                        </w:rPr>
                        <w:br/>
                        <w:t xml:space="preserve">авторско право на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 г.</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Дата на публикуване: 5 септември 2023 г.</w:t>
                      </w:r>
                    </w:p>
                    <w:p w14:paraId="7696FCCA" w14:textId="77777777" w:rsidR="006E1674" w:rsidRPr="00621554" w:rsidRDefault="006E1674" w:rsidP="006E1674">
                      <w:pPr>
                        <w:rPr>
                          <w:rFonts w:ascii="Arial" w:hAnsi="Arial" w:cs="Arial"/>
                          <w:b/>
                          <w:bCs/>
                          <w:color w:val="104D54"/>
                          <w:sz w:val="32"/>
                          <w:szCs w:val="32"/>
                        </w:rPr>
                      </w:pPr>
                    </w:p>
                  </w:txbxContent>
                </v:textbox>
                <w10:wrap anchorx="margin" anchory="page"/>
                <w10:anchorlock/>
              </v:shape>
            </w:pict>
          </mc:Fallback>
        </mc:AlternateContent>
      </w:r>
      <w:r>
        <w:br w:type="page"/>
      </w:r>
    </w:p>
    <w:p w14:paraId="2CEDCCD5" w14:textId="77777777" w:rsidR="00AE6706" w:rsidRDefault="0029348A" w:rsidP="00AE6706">
      <w:pPr>
        <w:pStyle w:val="MH1"/>
        <w:rPr>
          <w:lang w:val="en-US"/>
        </w:rPr>
      </w:pPr>
      <w:bookmarkStart w:id="49" w:name="_Toc180504626"/>
      <w:r>
        <w:t>Съдържание</w:t>
      </w:r>
      <w:bookmarkEnd w:id="49"/>
    </w:p>
    <w:p w14:paraId="39A2B83B" w14:textId="658EDAC8" w:rsidR="004664C1" w:rsidRDefault="00AE6706">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b/>
        </w:rPr>
        <w:fldChar w:fldCharType="begin"/>
      </w:r>
      <w:r>
        <w:rPr>
          <w:b/>
        </w:rPr>
        <w:instrText xml:space="preserve"> TOC \h \z \t "MH1,1,MH2,2,MH3,3" </w:instrText>
      </w:r>
      <w:r>
        <w:rPr>
          <w:b/>
        </w:rPr>
        <w:fldChar w:fldCharType="separate"/>
      </w:r>
      <w:hyperlink w:anchor="_Toc180504626" w:history="1">
        <w:r w:rsidR="004664C1" w:rsidRPr="00FD0BB7">
          <w:rPr>
            <w:rStyle w:val="Hyperlink"/>
            <w:noProof/>
          </w:rPr>
          <w:t>Съдържание</w:t>
        </w:r>
        <w:r w:rsidR="004664C1">
          <w:rPr>
            <w:noProof/>
            <w:webHidden/>
          </w:rPr>
          <w:tab/>
        </w:r>
        <w:r w:rsidR="004664C1">
          <w:rPr>
            <w:noProof/>
            <w:webHidden/>
          </w:rPr>
          <w:fldChar w:fldCharType="begin"/>
        </w:r>
        <w:r w:rsidR="004664C1">
          <w:rPr>
            <w:noProof/>
            <w:webHidden/>
          </w:rPr>
          <w:instrText xml:space="preserve"> PAGEREF _Toc180504626 \h </w:instrText>
        </w:r>
        <w:r w:rsidR="004664C1">
          <w:rPr>
            <w:noProof/>
            <w:webHidden/>
          </w:rPr>
        </w:r>
        <w:r w:rsidR="004664C1">
          <w:rPr>
            <w:noProof/>
            <w:webHidden/>
          </w:rPr>
          <w:fldChar w:fldCharType="separate"/>
        </w:r>
        <w:r w:rsidR="004664C1">
          <w:rPr>
            <w:noProof/>
            <w:webHidden/>
          </w:rPr>
          <w:t>1</w:t>
        </w:r>
        <w:r w:rsidR="004664C1">
          <w:rPr>
            <w:noProof/>
            <w:webHidden/>
          </w:rPr>
          <w:fldChar w:fldCharType="end"/>
        </w:r>
      </w:hyperlink>
    </w:p>
    <w:p w14:paraId="32827079" w14:textId="273834A8"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27" w:history="1">
        <w:r w:rsidRPr="00FD0BB7">
          <w:rPr>
            <w:rStyle w:val="Hyperlink"/>
            <w:noProof/>
          </w:rPr>
          <w:t>Objective of and background  to this guide</w:t>
        </w:r>
        <w:r>
          <w:rPr>
            <w:noProof/>
            <w:webHidden/>
          </w:rPr>
          <w:tab/>
        </w:r>
        <w:r>
          <w:rPr>
            <w:noProof/>
            <w:webHidden/>
          </w:rPr>
          <w:fldChar w:fldCharType="begin"/>
        </w:r>
        <w:r>
          <w:rPr>
            <w:noProof/>
            <w:webHidden/>
          </w:rPr>
          <w:instrText xml:space="preserve"> PAGEREF _Toc180504627 \h </w:instrText>
        </w:r>
        <w:r>
          <w:rPr>
            <w:noProof/>
            <w:webHidden/>
          </w:rPr>
        </w:r>
        <w:r>
          <w:rPr>
            <w:noProof/>
            <w:webHidden/>
          </w:rPr>
          <w:fldChar w:fldCharType="separate"/>
        </w:r>
        <w:r>
          <w:rPr>
            <w:noProof/>
            <w:webHidden/>
          </w:rPr>
          <w:t>3</w:t>
        </w:r>
        <w:r>
          <w:rPr>
            <w:noProof/>
            <w:webHidden/>
          </w:rPr>
          <w:fldChar w:fldCharType="end"/>
        </w:r>
      </w:hyperlink>
    </w:p>
    <w:p w14:paraId="51219EE8" w14:textId="4DED8539" w:rsidR="004664C1" w:rsidRDefault="004664C1">
      <w:pPr>
        <w:pStyle w:val="TOC3"/>
        <w:tabs>
          <w:tab w:val="right" w:leader="dot" w:pos="9062"/>
        </w:tabs>
        <w:rPr>
          <w:noProof/>
        </w:rPr>
      </w:pPr>
      <w:hyperlink w:anchor="_Toc180504628" w:history="1">
        <w:r w:rsidRPr="00FD0BB7">
          <w:rPr>
            <w:rStyle w:val="Hyperlink"/>
            <w:noProof/>
          </w:rPr>
          <w:t>Why</w:t>
        </w:r>
        <w:r>
          <w:rPr>
            <w:noProof/>
            <w:webHidden/>
          </w:rPr>
          <w:tab/>
        </w:r>
        <w:r>
          <w:rPr>
            <w:noProof/>
            <w:webHidden/>
          </w:rPr>
          <w:fldChar w:fldCharType="begin"/>
        </w:r>
        <w:r>
          <w:rPr>
            <w:noProof/>
            <w:webHidden/>
          </w:rPr>
          <w:instrText xml:space="preserve"> PAGEREF _Toc180504628 \h </w:instrText>
        </w:r>
        <w:r>
          <w:rPr>
            <w:noProof/>
            <w:webHidden/>
          </w:rPr>
        </w:r>
        <w:r>
          <w:rPr>
            <w:noProof/>
            <w:webHidden/>
          </w:rPr>
          <w:fldChar w:fldCharType="separate"/>
        </w:r>
        <w:r>
          <w:rPr>
            <w:noProof/>
            <w:webHidden/>
          </w:rPr>
          <w:t>3</w:t>
        </w:r>
        <w:r>
          <w:rPr>
            <w:noProof/>
            <w:webHidden/>
          </w:rPr>
          <w:fldChar w:fldCharType="end"/>
        </w:r>
      </w:hyperlink>
    </w:p>
    <w:p w14:paraId="11DA1907" w14:textId="7F358413" w:rsidR="004664C1" w:rsidRDefault="004664C1">
      <w:pPr>
        <w:pStyle w:val="TOC3"/>
        <w:tabs>
          <w:tab w:val="right" w:leader="dot" w:pos="9062"/>
        </w:tabs>
        <w:rPr>
          <w:noProof/>
        </w:rPr>
      </w:pPr>
      <w:hyperlink w:anchor="_Toc180504629" w:history="1">
        <w:r w:rsidRPr="00FD0BB7">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_Toc180504629 \h </w:instrText>
        </w:r>
        <w:r>
          <w:rPr>
            <w:noProof/>
            <w:webHidden/>
          </w:rPr>
        </w:r>
        <w:r>
          <w:rPr>
            <w:noProof/>
            <w:webHidden/>
          </w:rPr>
          <w:fldChar w:fldCharType="separate"/>
        </w:r>
        <w:r>
          <w:rPr>
            <w:noProof/>
            <w:webHidden/>
          </w:rPr>
          <w:t>4</w:t>
        </w:r>
        <w:r>
          <w:rPr>
            <w:noProof/>
            <w:webHidden/>
          </w:rPr>
          <w:fldChar w:fldCharType="end"/>
        </w:r>
      </w:hyperlink>
    </w:p>
    <w:p w14:paraId="76FEE6D9" w14:textId="58057A2C" w:rsidR="004664C1" w:rsidRDefault="004664C1">
      <w:pPr>
        <w:pStyle w:val="TOC3"/>
        <w:tabs>
          <w:tab w:val="right" w:leader="dot" w:pos="9062"/>
        </w:tabs>
        <w:rPr>
          <w:noProof/>
        </w:rPr>
      </w:pPr>
      <w:hyperlink w:anchor="_Toc180504630" w:history="1">
        <w:r w:rsidRPr="00FD0BB7">
          <w:rPr>
            <w:rStyle w:val="Hyperlink"/>
            <w:noProof/>
          </w:rPr>
          <w:t>Responsibility</w:t>
        </w:r>
        <w:r>
          <w:rPr>
            <w:noProof/>
            <w:webHidden/>
          </w:rPr>
          <w:tab/>
        </w:r>
        <w:r>
          <w:rPr>
            <w:noProof/>
            <w:webHidden/>
          </w:rPr>
          <w:fldChar w:fldCharType="begin"/>
        </w:r>
        <w:r>
          <w:rPr>
            <w:noProof/>
            <w:webHidden/>
          </w:rPr>
          <w:instrText xml:space="preserve"> PAGEREF _Toc180504630 \h </w:instrText>
        </w:r>
        <w:r>
          <w:rPr>
            <w:noProof/>
            <w:webHidden/>
          </w:rPr>
        </w:r>
        <w:r>
          <w:rPr>
            <w:noProof/>
            <w:webHidden/>
          </w:rPr>
          <w:fldChar w:fldCharType="separate"/>
        </w:r>
        <w:r>
          <w:rPr>
            <w:noProof/>
            <w:webHidden/>
          </w:rPr>
          <w:t>4</w:t>
        </w:r>
        <w:r>
          <w:rPr>
            <w:noProof/>
            <w:webHidden/>
          </w:rPr>
          <w:fldChar w:fldCharType="end"/>
        </w:r>
      </w:hyperlink>
    </w:p>
    <w:p w14:paraId="2BEB13B6" w14:textId="408B4556" w:rsidR="004664C1" w:rsidRDefault="004664C1">
      <w:pPr>
        <w:pStyle w:val="TOC3"/>
        <w:tabs>
          <w:tab w:val="right" w:leader="dot" w:pos="9062"/>
        </w:tabs>
        <w:rPr>
          <w:noProof/>
        </w:rPr>
      </w:pPr>
      <w:hyperlink w:anchor="_Toc180504631" w:history="1">
        <w:r w:rsidRPr="00FD0BB7">
          <w:rPr>
            <w:rStyle w:val="Hyperlink"/>
            <w:noProof/>
          </w:rPr>
          <w:t>Disclaimer</w:t>
        </w:r>
        <w:r>
          <w:rPr>
            <w:noProof/>
            <w:webHidden/>
          </w:rPr>
          <w:tab/>
        </w:r>
        <w:r>
          <w:rPr>
            <w:noProof/>
            <w:webHidden/>
          </w:rPr>
          <w:fldChar w:fldCharType="begin"/>
        </w:r>
        <w:r>
          <w:rPr>
            <w:noProof/>
            <w:webHidden/>
          </w:rPr>
          <w:instrText xml:space="preserve"> PAGEREF _Toc180504631 \h </w:instrText>
        </w:r>
        <w:r>
          <w:rPr>
            <w:noProof/>
            <w:webHidden/>
          </w:rPr>
        </w:r>
        <w:r>
          <w:rPr>
            <w:noProof/>
            <w:webHidden/>
          </w:rPr>
          <w:fldChar w:fldCharType="separate"/>
        </w:r>
        <w:r>
          <w:rPr>
            <w:noProof/>
            <w:webHidden/>
          </w:rPr>
          <w:t>4</w:t>
        </w:r>
        <w:r>
          <w:rPr>
            <w:noProof/>
            <w:webHidden/>
          </w:rPr>
          <w:fldChar w:fldCharType="end"/>
        </w:r>
      </w:hyperlink>
    </w:p>
    <w:p w14:paraId="745FF0C6" w14:textId="24A65B38"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32" w:history="1">
        <w:r w:rsidRPr="00FD0BB7">
          <w:rPr>
            <w:rStyle w:val="Hyperlink"/>
            <w:noProof/>
          </w:rPr>
          <w:t>Въведение</w:t>
        </w:r>
        <w:r>
          <w:rPr>
            <w:noProof/>
            <w:webHidden/>
          </w:rPr>
          <w:tab/>
        </w:r>
        <w:r>
          <w:rPr>
            <w:noProof/>
            <w:webHidden/>
          </w:rPr>
          <w:fldChar w:fldCharType="begin"/>
        </w:r>
        <w:r>
          <w:rPr>
            <w:noProof/>
            <w:webHidden/>
          </w:rPr>
          <w:instrText xml:space="preserve"> PAGEREF _Toc180504632 \h </w:instrText>
        </w:r>
        <w:r>
          <w:rPr>
            <w:noProof/>
            <w:webHidden/>
          </w:rPr>
        </w:r>
        <w:r>
          <w:rPr>
            <w:noProof/>
            <w:webHidden/>
          </w:rPr>
          <w:fldChar w:fldCharType="separate"/>
        </w:r>
        <w:r>
          <w:rPr>
            <w:noProof/>
            <w:webHidden/>
          </w:rPr>
          <w:t>5</w:t>
        </w:r>
        <w:r>
          <w:rPr>
            <w:noProof/>
            <w:webHidden/>
          </w:rPr>
          <w:fldChar w:fldCharType="end"/>
        </w:r>
      </w:hyperlink>
    </w:p>
    <w:p w14:paraId="1FA4DCF5" w14:textId="1A9FFF07"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33" w:history="1">
        <w:r w:rsidRPr="00FD0BB7">
          <w:rPr>
            <w:rStyle w:val="Hyperlink"/>
            <w:noProof/>
          </w:rPr>
          <w:t>Предварителното проучване</w:t>
        </w:r>
        <w:r>
          <w:rPr>
            <w:noProof/>
            <w:webHidden/>
          </w:rPr>
          <w:tab/>
        </w:r>
        <w:r>
          <w:rPr>
            <w:noProof/>
            <w:webHidden/>
          </w:rPr>
          <w:fldChar w:fldCharType="begin"/>
        </w:r>
        <w:r>
          <w:rPr>
            <w:noProof/>
            <w:webHidden/>
          </w:rPr>
          <w:instrText xml:space="preserve"> PAGEREF _Toc180504633 \h </w:instrText>
        </w:r>
        <w:r>
          <w:rPr>
            <w:noProof/>
            <w:webHidden/>
          </w:rPr>
        </w:r>
        <w:r>
          <w:rPr>
            <w:noProof/>
            <w:webHidden/>
          </w:rPr>
          <w:fldChar w:fldCharType="separate"/>
        </w:r>
        <w:r>
          <w:rPr>
            <w:noProof/>
            <w:webHidden/>
          </w:rPr>
          <w:t>7</w:t>
        </w:r>
        <w:r>
          <w:rPr>
            <w:noProof/>
            <w:webHidden/>
          </w:rPr>
          <w:fldChar w:fldCharType="end"/>
        </w:r>
      </w:hyperlink>
    </w:p>
    <w:p w14:paraId="12BD74C1" w14:textId="2EA56202" w:rsidR="004664C1" w:rsidRDefault="004664C1">
      <w:pPr>
        <w:pStyle w:val="TOC2"/>
        <w:tabs>
          <w:tab w:val="right" w:leader="dot" w:pos="9062"/>
        </w:tabs>
        <w:rPr>
          <w:rFonts w:eastAsiaTheme="minorEastAsia" w:cstheme="minorBidi"/>
          <w:noProof/>
          <w:kern w:val="2"/>
          <w:lang w:val="en-IE" w:eastAsia="en-IE"/>
          <w14:ligatures w14:val="standardContextual"/>
        </w:rPr>
      </w:pPr>
      <w:hyperlink w:anchor="_Toc180504634" w:history="1">
        <w:r w:rsidRPr="00FD0BB7">
          <w:rPr>
            <w:rStyle w:val="Hyperlink"/>
            <w:noProof/>
          </w:rPr>
          <w:t>Стъпка 1 Преглед</w:t>
        </w:r>
        <w:r>
          <w:rPr>
            <w:noProof/>
            <w:webHidden/>
          </w:rPr>
          <w:tab/>
        </w:r>
        <w:r>
          <w:rPr>
            <w:noProof/>
            <w:webHidden/>
          </w:rPr>
          <w:fldChar w:fldCharType="begin"/>
        </w:r>
        <w:r>
          <w:rPr>
            <w:noProof/>
            <w:webHidden/>
          </w:rPr>
          <w:instrText xml:space="preserve"> PAGEREF _Toc180504634 \h </w:instrText>
        </w:r>
        <w:r>
          <w:rPr>
            <w:noProof/>
            <w:webHidden/>
          </w:rPr>
        </w:r>
        <w:r>
          <w:rPr>
            <w:noProof/>
            <w:webHidden/>
          </w:rPr>
          <w:fldChar w:fldCharType="separate"/>
        </w:r>
        <w:r>
          <w:rPr>
            <w:noProof/>
            <w:webHidden/>
          </w:rPr>
          <w:t>8</w:t>
        </w:r>
        <w:r>
          <w:rPr>
            <w:noProof/>
            <w:webHidden/>
          </w:rPr>
          <w:fldChar w:fldCharType="end"/>
        </w:r>
      </w:hyperlink>
    </w:p>
    <w:p w14:paraId="0934CA1D" w14:textId="750CE0AF" w:rsidR="004664C1" w:rsidRDefault="004664C1">
      <w:pPr>
        <w:pStyle w:val="TOC3"/>
        <w:tabs>
          <w:tab w:val="right" w:leader="dot" w:pos="9062"/>
        </w:tabs>
        <w:rPr>
          <w:noProof/>
        </w:rPr>
      </w:pPr>
      <w:hyperlink w:anchor="_Toc180504635" w:history="1">
        <w:r w:rsidRPr="00FD0BB7">
          <w:rPr>
            <w:rStyle w:val="Hyperlink"/>
            <w:noProof/>
          </w:rPr>
          <w:t>1.1 Общи положения</w:t>
        </w:r>
        <w:r>
          <w:rPr>
            <w:noProof/>
            <w:webHidden/>
          </w:rPr>
          <w:tab/>
        </w:r>
        <w:r>
          <w:rPr>
            <w:noProof/>
            <w:webHidden/>
          </w:rPr>
          <w:fldChar w:fldCharType="begin"/>
        </w:r>
        <w:r>
          <w:rPr>
            <w:noProof/>
            <w:webHidden/>
          </w:rPr>
          <w:instrText xml:space="preserve"> PAGEREF _Toc180504635 \h </w:instrText>
        </w:r>
        <w:r>
          <w:rPr>
            <w:noProof/>
            <w:webHidden/>
          </w:rPr>
        </w:r>
        <w:r>
          <w:rPr>
            <w:noProof/>
            <w:webHidden/>
          </w:rPr>
          <w:fldChar w:fldCharType="separate"/>
        </w:r>
        <w:r>
          <w:rPr>
            <w:noProof/>
            <w:webHidden/>
          </w:rPr>
          <w:t>8</w:t>
        </w:r>
        <w:r>
          <w:rPr>
            <w:noProof/>
            <w:webHidden/>
          </w:rPr>
          <w:fldChar w:fldCharType="end"/>
        </w:r>
      </w:hyperlink>
    </w:p>
    <w:p w14:paraId="493A5E47" w14:textId="3F7408A8" w:rsidR="004664C1" w:rsidRDefault="004664C1">
      <w:pPr>
        <w:pStyle w:val="TOC3"/>
        <w:tabs>
          <w:tab w:val="right" w:leader="dot" w:pos="9062"/>
        </w:tabs>
        <w:rPr>
          <w:noProof/>
        </w:rPr>
      </w:pPr>
      <w:hyperlink w:anchor="_Toc180504636" w:history="1">
        <w:r w:rsidRPr="00FD0BB7">
          <w:rPr>
            <w:rStyle w:val="Hyperlink"/>
            <w:noProof/>
          </w:rPr>
          <w:t>1.2 Съображения от гледна точка на електроенергията</w:t>
        </w:r>
        <w:r>
          <w:rPr>
            <w:noProof/>
            <w:webHidden/>
          </w:rPr>
          <w:tab/>
        </w:r>
        <w:r>
          <w:rPr>
            <w:noProof/>
            <w:webHidden/>
          </w:rPr>
          <w:fldChar w:fldCharType="begin"/>
        </w:r>
        <w:r>
          <w:rPr>
            <w:noProof/>
            <w:webHidden/>
          </w:rPr>
          <w:instrText xml:space="preserve"> PAGEREF _Toc180504636 \h </w:instrText>
        </w:r>
        <w:r>
          <w:rPr>
            <w:noProof/>
            <w:webHidden/>
          </w:rPr>
        </w:r>
        <w:r>
          <w:rPr>
            <w:noProof/>
            <w:webHidden/>
          </w:rPr>
          <w:fldChar w:fldCharType="separate"/>
        </w:r>
        <w:r>
          <w:rPr>
            <w:noProof/>
            <w:webHidden/>
          </w:rPr>
          <w:t>8</w:t>
        </w:r>
        <w:r>
          <w:rPr>
            <w:noProof/>
            <w:webHidden/>
          </w:rPr>
          <w:fldChar w:fldCharType="end"/>
        </w:r>
      </w:hyperlink>
    </w:p>
    <w:p w14:paraId="5F3F95EB" w14:textId="6FB44AEE" w:rsidR="004664C1" w:rsidRDefault="004664C1">
      <w:pPr>
        <w:pStyle w:val="TOC3"/>
        <w:tabs>
          <w:tab w:val="right" w:leader="dot" w:pos="9062"/>
        </w:tabs>
        <w:rPr>
          <w:noProof/>
        </w:rPr>
      </w:pPr>
      <w:hyperlink w:anchor="_Toc180504637" w:history="1">
        <w:r w:rsidRPr="00FD0BB7">
          <w:rPr>
            <w:rStyle w:val="Hyperlink"/>
            <w:noProof/>
          </w:rPr>
          <w:t>1.3 Снимки и карти</w:t>
        </w:r>
        <w:r>
          <w:rPr>
            <w:noProof/>
            <w:webHidden/>
          </w:rPr>
          <w:tab/>
        </w:r>
        <w:r>
          <w:rPr>
            <w:noProof/>
            <w:webHidden/>
          </w:rPr>
          <w:fldChar w:fldCharType="begin"/>
        </w:r>
        <w:r>
          <w:rPr>
            <w:noProof/>
            <w:webHidden/>
          </w:rPr>
          <w:instrText xml:space="preserve"> PAGEREF _Toc180504637 \h </w:instrText>
        </w:r>
        <w:r>
          <w:rPr>
            <w:noProof/>
            <w:webHidden/>
          </w:rPr>
        </w:r>
        <w:r>
          <w:rPr>
            <w:noProof/>
            <w:webHidden/>
          </w:rPr>
          <w:fldChar w:fldCharType="separate"/>
        </w:r>
        <w:r>
          <w:rPr>
            <w:noProof/>
            <w:webHidden/>
          </w:rPr>
          <w:t>8</w:t>
        </w:r>
        <w:r>
          <w:rPr>
            <w:noProof/>
            <w:webHidden/>
          </w:rPr>
          <w:fldChar w:fldCharType="end"/>
        </w:r>
      </w:hyperlink>
    </w:p>
    <w:p w14:paraId="25674731" w14:textId="40D7E8F4" w:rsidR="004664C1" w:rsidRDefault="004664C1">
      <w:pPr>
        <w:pStyle w:val="TOC3"/>
        <w:tabs>
          <w:tab w:val="right" w:leader="dot" w:pos="9062"/>
        </w:tabs>
        <w:rPr>
          <w:noProof/>
        </w:rPr>
      </w:pPr>
      <w:hyperlink w:anchor="_Toc180504638" w:history="1">
        <w:r w:rsidRPr="00FD0BB7">
          <w:rPr>
            <w:rStyle w:val="Hyperlink"/>
            <w:noProof/>
          </w:rPr>
          <w:t>1.4 Планиране</w:t>
        </w:r>
        <w:r>
          <w:rPr>
            <w:noProof/>
            <w:webHidden/>
          </w:rPr>
          <w:tab/>
        </w:r>
        <w:r>
          <w:rPr>
            <w:noProof/>
            <w:webHidden/>
          </w:rPr>
          <w:fldChar w:fldCharType="begin"/>
        </w:r>
        <w:r>
          <w:rPr>
            <w:noProof/>
            <w:webHidden/>
          </w:rPr>
          <w:instrText xml:space="preserve"> PAGEREF _Toc180504638 \h </w:instrText>
        </w:r>
        <w:r>
          <w:rPr>
            <w:noProof/>
            <w:webHidden/>
          </w:rPr>
        </w:r>
        <w:r>
          <w:rPr>
            <w:noProof/>
            <w:webHidden/>
          </w:rPr>
          <w:fldChar w:fldCharType="separate"/>
        </w:r>
        <w:r>
          <w:rPr>
            <w:noProof/>
            <w:webHidden/>
          </w:rPr>
          <w:t>8</w:t>
        </w:r>
        <w:r>
          <w:rPr>
            <w:noProof/>
            <w:webHidden/>
          </w:rPr>
          <w:fldChar w:fldCharType="end"/>
        </w:r>
      </w:hyperlink>
    </w:p>
    <w:p w14:paraId="0622EF15" w14:textId="0DB5FD41" w:rsidR="004664C1" w:rsidRDefault="004664C1">
      <w:pPr>
        <w:pStyle w:val="TOC3"/>
        <w:tabs>
          <w:tab w:val="right" w:leader="dot" w:pos="9062"/>
        </w:tabs>
        <w:rPr>
          <w:noProof/>
        </w:rPr>
      </w:pPr>
      <w:hyperlink w:anchor="_Toc180504639" w:history="1">
        <w:r w:rsidRPr="00FD0BB7">
          <w:rPr>
            <w:rStyle w:val="Hyperlink"/>
            <w:noProof/>
          </w:rPr>
          <w:t>1.5 Товароносимост на покрива</w:t>
        </w:r>
        <w:r>
          <w:rPr>
            <w:noProof/>
            <w:webHidden/>
          </w:rPr>
          <w:tab/>
        </w:r>
        <w:r>
          <w:rPr>
            <w:noProof/>
            <w:webHidden/>
          </w:rPr>
          <w:fldChar w:fldCharType="begin"/>
        </w:r>
        <w:r>
          <w:rPr>
            <w:noProof/>
            <w:webHidden/>
          </w:rPr>
          <w:instrText xml:space="preserve"> PAGEREF _Toc180504639 \h </w:instrText>
        </w:r>
        <w:r>
          <w:rPr>
            <w:noProof/>
            <w:webHidden/>
          </w:rPr>
        </w:r>
        <w:r>
          <w:rPr>
            <w:noProof/>
            <w:webHidden/>
          </w:rPr>
          <w:fldChar w:fldCharType="separate"/>
        </w:r>
        <w:r>
          <w:rPr>
            <w:noProof/>
            <w:webHidden/>
          </w:rPr>
          <w:t>8</w:t>
        </w:r>
        <w:r>
          <w:rPr>
            <w:noProof/>
            <w:webHidden/>
          </w:rPr>
          <w:fldChar w:fldCharType="end"/>
        </w:r>
      </w:hyperlink>
    </w:p>
    <w:p w14:paraId="053AA8A9" w14:textId="0803D8E0" w:rsidR="004664C1" w:rsidRDefault="004664C1">
      <w:pPr>
        <w:pStyle w:val="TOC2"/>
        <w:tabs>
          <w:tab w:val="right" w:leader="dot" w:pos="9062"/>
        </w:tabs>
        <w:rPr>
          <w:rFonts w:eastAsiaTheme="minorEastAsia" w:cstheme="minorBidi"/>
          <w:noProof/>
          <w:kern w:val="2"/>
          <w:lang w:val="en-IE" w:eastAsia="en-IE"/>
          <w14:ligatures w14:val="standardContextual"/>
        </w:rPr>
      </w:pPr>
      <w:hyperlink w:anchor="_Toc180504640" w:history="1">
        <w:r w:rsidRPr="00FD0BB7">
          <w:rPr>
            <w:rStyle w:val="Hyperlink"/>
            <w:noProof/>
          </w:rPr>
          <w:t>Стъпка 2. Примерно проектиране</w:t>
        </w:r>
        <w:r>
          <w:rPr>
            <w:noProof/>
            <w:webHidden/>
          </w:rPr>
          <w:tab/>
        </w:r>
        <w:r>
          <w:rPr>
            <w:noProof/>
            <w:webHidden/>
          </w:rPr>
          <w:fldChar w:fldCharType="begin"/>
        </w:r>
        <w:r>
          <w:rPr>
            <w:noProof/>
            <w:webHidden/>
          </w:rPr>
          <w:instrText xml:space="preserve"> PAGEREF _Toc180504640 \h </w:instrText>
        </w:r>
        <w:r>
          <w:rPr>
            <w:noProof/>
            <w:webHidden/>
          </w:rPr>
        </w:r>
        <w:r>
          <w:rPr>
            <w:noProof/>
            <w:webHidden/>
          </w:rPr>
          <w:fldChar w:fldCharType="separate"/>
        </w:r>
        <w:r>
          <w:rPr>
            <w:noProof/>
            <w:webHidden/>
          </w:rPr>
          <w:t>9</w:t>
        </w:r>
        <w:r>
          <w:rPr>
            <w:noProof/>
            <w:webHidden/>
          </w:rPr>
          <w:fldChar w:fldCharType="end"/>
        </w:r>
      </w:hyperlink>
    </w:p>
    <w:p w14:paraId="36651F6E" w14:textId="315691AE" w:rsidR="004664C1" w:rsidRDefault="004664C1">
      <w:pPr>
        <w:pStyle w:val="TOC3"/>
        <w:tabs>
          <w:tab w:val="right" w:leader="dot" w:pos="9062"/>
        </w:tabs>
        <w:rPr>
          <w:noProof/>
        </w:rPr>
      </w:pPr>
      <w:hyperlink w:anchor="_Toc180504641" w:history="1">
        <w:r w:rsidRPr="00FD0BB7">
          <w:rPr>
            <w:rStyle w:val="Hyperlink"/>
            <w:noProof/>
          </w:rPr>
          <w:t>2.1 Определяне на максималния брой слънчеви панели и максималното генериране на електроенергия</w:t>
        </w:r>
        <w:r>
          <w:rPr>
            <w:noProof/>
            <w:webHidden/>
          </w:rPr>
          <w:tab/>
        </w:r>
        <w:r>
          <w:rPr>
            <w:noProof/>
            <w:webHidden/>
          </w:rPr>
          <w:fldChar w:fldCharType="begin"/>
        </w:r>
        <w:r>
          <w:rPr>
            <w:noProof/>
            <w:webHidden/>
          </w:rPr>
          <w:instrText xml:space="preserve"> PAGEREF _Toc180504641 \h </w:instrText>
        </w:r>
        <w:r>
          <w:rPr>
            <w:noProof/>
            <w:webHidden/>
          </w:rPr>
        </w:r>
        <w:r>
          <w:rPr>
            <w:noProof/>
            <w:webHidden/>
          </w:rPr>
          <w:fldChar w:fldCharType="separate"/>
        </w:r>
        <w:r>
          <w:rPr>
            <w:noProof/>
            <w:webHidden/>
          </w:rPr>
          <w:t>9</w:t>
        </w:r>
        <w:r>
          <w:rPr>
            <w:noProof/>
            <w:webHidden/>
          </w:rPr>
          <w:fldChar w:fldCharType="end"/>
        </w:r>
      </w:hyperlink>
    </w:p>
    <w:p w14:paraId="6073961A" w14:textId="09CFF73B" w:rsidR="004664C1" w:rsidRDefault="004664C1">
      <w:pPr>
        <w:pStyle w:val="TOC3"/>
        <w:tabs>
          <w:tab w:val="right" w:leader="dot" w:pos="9062"/>
        </w:tabs>
        <w:rPr>
          <w:noProof/>
        </w:rPr>
      </w:pPr>
      <w:hyperlink w:anchor="_Toc180504642" w:history="1">
        <w:r w:rsidRPr="00FD0BB7">
          <w:rPr>
            <w:rStyle w:val="Hyperlink"/>
            <w:noProof/>
          </w:rPr>
          <w:t>2.2 Съставете общата рамка на икономическата обосновка</w:t>
        </w:r>
        <w:r>
          <w:rPr>
            <w:noProof/>
            <w:webHidden/>
          </w:rPr>
          <w:tab/>
        </w:r>
        <w:r>
          <w:rPr>
            <w:noProof/>
            <w:webHidden/>
          </w:rPr>
          <w:fldChar w:fldCharType="begin"/>
        </w:r>
        <w:r>
          <w:rPr>
            <w:noProof/>
            <w:webHidden/>
          </w:rPr>
          <w:instrText xml:space="preserve"> PAGEREF _Toc180504642 \h </w:instrText>
        </w:r>
        <w:r>
          <w:rPr>
            <w:noProof/>
            <w:webHidden/>
          </w:rPr>
        </w:r>
        <w:r>
          <w:rPr>
            <w:noProof/>
            <w:webHidden/>
          </w:rPr>
          <w:fldChar w:fldCharType="separate"/>
        </w:r>
        <w:r>
          <w:rPr>
            <w:noProof/>
            <w:webHidden/>
          </w:rPr>
          <w:t>9</w:t>
        </w:r>
        <w:r>
          <w:rPr>
            <w:noProof/>
            <w:webHidden/>
          </w:rPr>
          <w:fldChar w:fldCharType="end"/>
        </w:r>
      </w:hyperlink>
    </w:p>
    <w:p w14:paraId="4D5246CD" w14:textId="72B5028E" w:rsidR="004664C1" w:rsidRDefault="004664C1">
      <w:pPr>
        <w:pStyle w:val="TOC3"/>
        <w:tabs>
          <w:tab w:val="right" w:leader="dot" w:pos="9062"/>
        </w:tabs>
        <w:rPr>
          <w:noProof/>
        </w:rPr>
      </w:pPr>
      <w:hyperlink w:anchor="_Toc180504643" w:history="1">
        <w:r w:rsidRPr="00FD0BB7">
          <w:rPr>
            <w:rStyle w:val="Hyperlink"/>
            <w:noProof/>
          </w:rPr>
          <w:t>2.3 Определяне на примерното производство на електроенергия, разходите по проекта и броя слънчеви панели</w:t>
        </w:r>
        <w:r>
          <w:rPr>
            <w:noProof/>
            <w:webHidden/>
          </w:rPr>
          <w:tab/>
        </w:r>
        <w:r>
          <w:rPr>
            <w:noProof/>
            <w:webHidden/>
          </w:rPr>
          <w:fldChar w:fldCharType="begin"/>
        </w:r>
        <w:r>
          <w:rPr>
            <w:noProof/>
            <w:webHidden/>
          </w:rPr>
          <w:instrText xml:space="preserve"> PAGEREF _Toc180504643 \h </w:instrText>
        </w:r>
        <w:r>
          <w:rPr>
            <w:noProof/>
            <w:webHidden/>
          </w:rPr>
        </w:r>
        <w:r>
          <w:rPr>
            <w:noProof/>
            <w:webHidden/>
          </w:rPr>
          <w:fldChar w:fldCharType="separate"/>
        </w:r>
        <w:r>
          <w:rPr>
            <w:noProof/>
            <w:webHidden/>
          </w:rPr>
          <w:t>10</w:t>
        </w:r>
        <w:r>
          <w:rPr>
            <w:noProof/>
            <w:webHidden/>
          </w:rPr>
          <w:fldChar w:fldCharType="end"/>
        </w:r>
      </w:hyperlink>
    </w:p>
    <w:p w14:paraId="6872FAC4" w14:textId="6AF708F8" w:rsidR="004664C1" w:rsidRDefault="004664C1">
      <w:pPr>
        <w:pStyle w:val="TOC3"/>
        <w:tabs>
          <w:tab w:val="right" w:leader="dot" w:pos="9062"/>
        </w:tabs>
        <w:rPr>
          <w:noProof/>
        </w:rPr>
      </w:pPr>
      <w:hyperlink w:anchor="_Toc180504644" w:history="1">
        <w:r w:rsidRPr="00FD0BB7">
          <w:rPr>
            <w:rStyle w:val="Hyperlink"/>
            <w:noProof/>
          </w:rPr>
          <w:t>2.4 По желание</w:t>
        </w:r>
        <w:r>
          <w:rPr>
            <w:noProof/>
            <w:webHidden/>
          </w:rPr>
          <w:tab/>
        </w:r>
        <w:r>
          <w:rPr>
            <w:noProof/>
            <w:webHidden/>
          </w:rPr>
          <w:fldChar w:fldCharType="begin"/>
        </w:r>
        <w:r>
          <w:rPr>
            <w:noProof/>
            <w:webHidden/>
          </w:rPr>
          <w:instrText xml:space="preserve"> PAGEREF _Toc180504644 \h </w:instrText>
        </w:r>
        <w:r>
          <w:rPr>
            <w:noProof/>
            <w:webHidden/>
          </w:rPr>
        </w:r>
        <w:r>
          <w:rPr>
            <w:noProof/>
            <w:webHidden/>
          </w:rPr>
          <w:fldChar w:fldCharType="separate"/>
        </w:r>
        <w:r>
          <w:rPr>
            <w:noProof/>
            <w:webHidden/>
          </w:rPr>
          <w:t>10</w:t>
        </w:r>
        <w:r>
          <w:rPr>
            <w:noProof/>
            <w:webHidden/>
          </w:rPr>
          <w:fldChar w:fldCharType="end"/>
        </w:r>
      </w:hyperlink>
    </w:p>
    <w:p w14:paraId="1E0B184F" w14:textId="4A77667F" w:rsidR="004664C1" w:rsidRDefault="004664C1">
      <w:pPr>
        <w:pStyle w:val="TOC2"/>
        <w:tabs>
          <w:tab w:val="right" w:leader="dot" w:pos="9062"/>
        </w:tabs>
        <w:rPr>
          <w:rFonts w:eastAsiaTheme="minorEastAsia" w:cstheme="minorBidi"/>
          <w:noProof/>
          <w:kern w:val="2"/>
          <w:lang w:val="en-IE" w:eastAsia="en-IE"/>
          <w14:ligatures w14:val="standardContextual"/>
        </w:rPr>
      </w:pPr>
      <w:hyperlink w:anchor="_Toc180504645" w:history="1">
        <w:r w:rsidRPr="00FD0BB7">
          <w:rPr>
            <w:rStyle w:val="Hyperlink"/>
            <w:noProof/>
          </w:rPr>
          <w:t>Стъпка 3 Собственост и отправяне на покана   за представяне на оферти/възлагане на обществена поръчка</w:t>
        </w:r>
        <w:r>
          <w:rPr>
            <w:noProof/>
            <w:webHidden/>
          </w:rPr>
          <w:tab/>
        </w:r>
        <w:r>
          <w:rPr>
            <w:noProof/>
            <w:webHidden/>
          </w:rPr>
          <w:fldChar w:fldCharType="begin"/>
        </w:r>
        <w:r>
          <w:rPr>
            <w:noProof/>
            <w:webHidden/>
          </w:rPr>
          <w:instrText xml:space="preserve"> PAGEREF _Toc180504645 \h </w:instrText>
        </w:r>
        <w:r>
          <w:rPr>
            <w:noProof/>
            <w:webHidden/>
          </w:rPr>
        </w:r>
        <w:r>
          <w:rPr>
            <w:noProof/>
            <w:webHidden/>
          </w:rPr>
          <w:fldChar w:fldCharType="separate"/>
        </w:r>
        <w:r>
          <w:rPr>
            <w:noProof/>
            <w:webHidden/>
          </w:rPr>
          <w:t>10</w:t>
        </w:r>
        <w:r>
          <w:rPr>
            <w:noProof/>
            <w:webHidden/>
          </w:rPr>
          <w:fldChar w:fldCharType="end"/>
        </w:r>
      </w:hyperlink>
    </w:p>
    <w:p w14:paraId="2AB03FC7" w14:textId="70F34D9B" w:rsidR="004664C1" w:rsidRDefault="004664C1">
      <w:pPr>
        <w:pStyle w:val="TOC3"/>
        <w:tabs>
          <w:tab w:val="right" w:leader="dot" w:pos="9062"/>
        </w:tabs>
        <w:rPr>
          <w:noProof/>
        </w:rPr>
      </w:pPr>
      <w:hyperlink w:anchor="_Toc180504646" w:history="1">
        <w:r w:rsidRPr="00FD0BB7">
          <w:rPr>
            <w:rStyle w:val="Hyperlink"/>
            <w:noProof/>
          </w:rPr>
          <w:t>3.1 Собственик или наемател?</w:t>
        </w:r>
        <w:r>
          <w:rPr>
            <w:noProof/>
            <w:webHidden/>
          </w:rPr>
          <w:tab/>
        </w:r>
        <w:r>
          <w:rPr>
            <w:noProof/>
            <w:webHidden/>
          </w:rPr>
          <w:fldChar w:fldCharType="begin"/>
        </w:r>
        <w:r>
          <w:rPr>
            <w:noProof/>
            <w:webHidden/>
          </w:rPr>
          <w:instrText xml:space="preserve"> PAGEREF _Toc180504646 \h </w:instrText>
        </w:r>
        <w:r>
          <w:rPr>
            <w:noProof/>
            <w:webHidden/>
          </w:rPr>
        </w:r>
        <w:r>
          <w:rPr>
            <w:noProof/>
            <w:webHidden/>
          </w:rPr>
          <w:fldChar w:fldCharType="separate"/>
        </w:r>
        <w:r>
          <w:rPr>
            <w:noProof/>
            <w:webHidden/>
          </w:rPr>
          <w:t>11</w:t>
        </w:r>
        <w:r>
          <w:rPr>
            <w:noProof/>
            <w:webHidden/>
          </w:rPr>
          <w:fldChar w:fldCharType="end"/>
        </w:r>
      </w:hyperlink>
    </w:p>
    <w:p w14:paraId="468B8E28" w14:textId="55AB239F" w:rsidR="004664C1" w:rsidRDefault="004664C1">
      <w:pPr>
        <w:pStyle w:val="TOC3"/>
        <w:tabs>
          <w:tab w:val="right" w:leader="dot" w:pos="9062"/>
        </w:tabs>
        <w:rPr>
          <w:noProof/>
        </w:rPr>
      </w:pPr>
      <w:hyperlink w:anchor="_Toc180504647" w:history="1">
        <w:r w:rsidRPr="00FD0BB7">
          <w:rPr>
            <w:rStyle w:val="Hyperlink"/>
            <w:noProof/>
          </w:rPr>
          <w:t>3.2 За публични организации: възлагане на обществена поръчка или пряко възлагане?</w:t>
        </w:r>
        <w:r>
          <w:rPr>
            <w:noProof/>
            <w:webHidden/>
          </w:rPr>
          <w:tab/>
        </w:r>
        <w:r>
          <w:rPr>
            <w:noProof/>
            <w:webHidden/>
          </w:rPr>
          <w:fldChar w:fldCharType="begin"/>
        </w:r>
        <w:r>
          <w:rPr>
            <w:noProof/>
            <w:webHidden/>
          </w:rPr>
          <w:instrText xml:space="preserve"> PAGEREF _Toc180504647 \h </w:instrText>
        </w:r>
        <w:r>
          <w:rPr>
            <w:noProof/>
            <w:webHidden/>
          </w:rPr>
        </w:r>
        <w:r>
          <w:rPr>
            <w:noProof/>
            <w:webHidden/>
          </w:rPr>
          <w:fldChar w:fldCharType="separate"/>
        </w:r>
        <w:r>
          <w:rPr>
            <w:noProof/>
            <w:webHidden/>
          </w:rPr>
          <w:t>11</w:t>
        </w:r>
        <w:r>
          <w:rPr>
            <w:noProof/>
            <w:webHidden/>
          </w:rPr>
          <w:fldChar w:fldCharType="end"/>
        </w:r>
      </w:hyperlink>
    </w:p>
    <w:p w14:paraId="72D97EB4" w14:textId="0FC97CEC" w:rsidR="004664C1" w:rsidRDefault="004664C1">
      <w:pPr>
        <w:pStyle w:val="TOC2"/>
        <w:tabs>
          <w:tab w:val="right" w:leader="dot" w:pos="9062"/>
        </w:tabs>
        <w:rPr>
          <w:rFonts w:eastAsiaTheme="minorEastAsia" w:cstheme="minorBidi"/>
          <w:noProof/>
          <w:kern w:val="2"/>
          <w:lang w:val="en-IE" w:eastAsia="en-IE"/>
          <w14:ligatures w14:val="standardContextual"/>
        </w:rPr>
      </w:pPr>
      <w:hyperlink w:anchor="_Toc180504648" w:history="1">
        <w:r w:rsidRPr="00FD0BB7">
          <w:rPr>
            <w:rStyle w:val="Hyperlink"/>
            <w:noProof/>
          </w:rPr>
          <w:t>Стъпка 4 Разрешения и присъединяване към мрежата</w:t>
        </w:r>
        <w:r>
          <w:rPr>
            <w:noProof/>
            <w:webHidden/>
          </w:rPr>
          <w:tab/>
        </w:r>
        <w:r>
          <w:rPr>
            <w:noProof/>
            <w:webHidden/>
          </w:rPr>
          <w:fldChar w:fldCharType="begin"/>
        </w:r>
        <w:r>
          <w:rPr>
            <w:noProof/>
            <w:webHidden/>
          </w:rPr>
          <w:instrText xml:space="preserve"> PAGEREF _Toc180504648 \h </w:instrText>
        </w:r>
        <w:r>
          <w:rPr>
            <w:noProof/>
            <w:webHidden/>
          </w:rPr>
        </w:r>
        <w:r>
          <w:rPr>
            <w:noProof/>
            <w:webHidden/>
          </w:rPr>
          <w:fldChar w:fldCharType="separate"/>
        </w:r>
        <w:r>
          <w:rPr>
            <w:noProof/>
            <w:webHidden/>
          </w:rPr>
          <w:t>14</w:t>
        </w:r>
        <w:r>
          <w:rPr>
            <w:noProof/>
            <w:webHidden/>
          </w:rPr>
          <w:fldChar w:fldCharType="end"/>
        </w:r>
      </w:hyperlink>
    </w:p>
    <w:p w14:paraId="1CDEA7FE" w14:textId="15F3BADB" w:rsidR="004664C1" w:rsidRDefault="004664C1">
      <w:pPr>
        <w:pStyle w:val="TOC3"/>
        <w:tabs>
          <w:tab w:val="right" w:leader="dot" w:pos="9062"/>
        </w:tabs>
        <w:rPr>
          <w:noProof/>
        </w:rPr>
      </w:pPr>
      <w:hyperlink w:anchor="_Toc180504649" w:history="1">
        <w:r w:rsidRPr="00FD0BB7">
          <w:rPr>
            <w:rStyle w:val="Hyperlink"/>
            <w:noProof/>
          </w:rPr>
          <w:t>4.1 Разрешения</w:t>
        </w:r>
        <w:r>
          <w:rPr>
            <w:noProof/>
            <w:webHidden/>
          </w:rPr>
          <w:tab/>
        </w:r>
        <w:r>
          <w:rPr>
            <w:noProof/>
            <w:webHidden/>
          </w:rPr>
          <w:fldChar w:fldCharType="begin"/>
        </w:r>
        <w:r>
          <w:rPr>
            <w:noProof/>
            <w:webHidden/>
          </w:rPr>
          <w:instrText xml:space="preserve"> PAGEREF _Toc180504649 \h </w:instrText>
        </w:r>
        <w:r>
          <w:rPr>
            <w:noProof/>
            <w:webHidden/>
          </w:rPr>
        </w:r>
        <w:r>
          <w:rPr>
            <w:noProof/>
            <w:webHidden/>
          </w:rPr>
          <w:fldChar w:fldCharType="separate"/>
        </w:r>
        <w:r>
          <w:rPr>
            <w:noProof/>
            <w:webHidden/>
          </w:rPr>
          <w:t>14</w:t>
        </w:r>
        <w:r>
          <w:rPr>
            <w:noProof/>
            <w:webHidden/>
          </w:rPr>
          <w:fldChar w:fldCharType="end"/>
        </w:r>
      </w:hyperlink>
    </w:p>
    <w:p w14:paraId="24DF84A1" w14:textId="16D20DC9" w:rsidR="004664C1" w:rsidRDefault="004664C1">
      <w:pPr>
        <w:pStyle w:val="TOC3"/>
        <w:tabs>
          <w:tab w:val="right" w:leader="dot" w:pos="9062"/>
        </w:tabs>
        <w:rPr>
          <w:noProof/>
        </w:rPr>
      </w:pPr>
      <w:hyperlink w:anchor="_Toc180504650" w:history="1">
        <w:r w:rsidRPr="00FD0BB7">
          <w:rPr>
            <w:rStyle w:val="Hyperlink"/>
            <w:noProof/>
          </w:rPr>
          <w:t>4.2 Присъединяване към мрежата: възможности и съображения</w:t>
        </w:r>
        <w:r>
          <w:rPr>
            <w:noProof/>
            <w:webHidden/>
          </w:rPr>
          <w:tab/>
        </w:r>
        <w:r>
          <w:rPr>
            <w:noProof/>
            <w:webHidden/>
          </w:rPr>
          <w:fldChar w:fldCharType="begin"/>
        </w:r>
        <w:r>
          <w:rPr>
            <w:noProof/>
            <w:webHidden/>
          </w:rPr>
          <w:instrText xml:space="preserve"> PAGEREF _Toc180504650 \h </w:instrText>
        </w:r>
        <w:r>
          <w:rPr>
            <w:noProof/>
            <w:webHidden/>
          </w:rPr>
        </w:r>
        <w:r>
          <w:rPr>
            <w:noProof/>
            <w:webHidden/>
          </w:rPr>
          <w:fldChar w:fldCharType="separate"/>
        </w:r>
        <w:r>
          <w:rPr>
            <w:noProof/>
            <w:webHidden/>
          </w:rPr>
          <w:t>15</w:t>
        </w:r>
        <w:r>
          <w:rPr>
            <w:noProof/>
            <w:webHidden/>
          </w:rPr>
          <w:fldChar w:fldCharType="end"/>
        </w:r>
      </w:hyperlink>
    </w:p>
    <w:p w14:paraId="2DEFE7A9" w14:textId="034A5EC3" w:rsidR="004664C1" w:rsidRDefault="004664C1">
      <w:pPr>
        <w:pStyle w:val="TOC2"/>
        <w:tabs>
          <w:tab w:val="right" w:leader="dot" w:pos="9062"/>
        </w:tabs>
        <w:rPr>
          <w:rFonts w:eastAsiaTheme="minorEastAsia" w:cstheme="minorBidi"/>
          <w:noProof/>
          <w:kern w:val="2"/>
          <w:lang w:val="en-IE" w:eastAsia="en-IE"/>
          <w14:ligatures w14:val="standardContextual"/>
        </w:rPr>
      </w:pPr>
      <w:hyperlink w:anchor="_Toc180504651" w:history="1">
        <w:r w:rsidRPr="00FD0BB7">
          <w:rPr>
            <w:rStyle w:val="Hyperlink"/>
            <w:noProof/>
          </w:rPr>
          <w:t>Стъпка 5 Оборот, субсидии, финансиране и застраховане</w:t>
        </w:r>
        <w:r>
          <w:rPr>
            <w:noProof/>
            <w:webHidden/>
          </w:rPr>
          <w:tab/>
        </w:r>
        <w:r>
          <w:rPr>
            <w:noProof/>
            <w:webHidden/>
          </w:rPr>
          <w:fldChar w:fldCharType="begin"/>
        </w:r>
        <w:r>
          <w:rPr>
            <w:noProof/>
            <w:webHidden/>
          </w:rPr>
          <w:instrText xml:space="preserve"> PAGEREF _Toc180504651 \h </w:instrText>
        </w:r>
        <w:r>
          <w:rPr>
            <w:noProof/>
            <w:webHidden/>
          </w:rPr>
        </w:r>
        <w:r>
          <w:rPr>
            <w:noProof/>
            <w:webHidden/>
          </w:rPr>
          <w:fldChar w:fldCharType="separate"/>
        </w:r>
        <w:r>
          <w:rPr>
            <w:noProof/>
            <w:webHidden/>
          </w:rPr>
          <w:t>17</w:t>
        </w:r>
        <w:r>
          <w:rPr>
            <w:noProof/>
            <w:webHidden/>
          </w:rPr>
          <w:fldChar w:fldCharType="end"/>
        </w:r>
      </w:hyperlink>
    </w:p>
    <w:p w14:paraId="679709B2" w14:textId="20D52649" w:rsidR="004664C1" w:rsidRDefault="004664C1">
      <w:pPr>
        <w:pStyle w:val="TOC3"/>
        <w:tabs>
          <w:tab w:val="right" w:leader="dot" w:pos="9062"/>
        </w:tabs>
        <w:rPr>
          <w:noProof/>
        </w:rPr>
      </w:pPr>
      <w:hyperlink w:anchor="_Toc180504652" w:history="1">
        <w:r w:rsidRPr="00FD0BB7">
          <w:rPr>
            <w:rStyle w:val="Hyperlink"/>
            <w:noProof/>
          </w:rPr>
          <w:t>5.1 Оборот от обратното снабдяване с електроенергия</w:t>
        </w:r>
        <w:r>
          <w:rPr>
            <w:noProof/>
            <w:webHidden/>
          </w:rPr>
          <w:tab/>
        </w:r>
        <w:r>
          <w:rPr>
            <w:noProof/>
            <w:webHidden/>
          </w:rPr>
          <w:fldChar w:fldCharType="begin"/>
        </w:r>
        <w:r>
          <w:rPr>
            <w:noProof/>
            <w:webHidden/>
          </w:rPr>
          <w:instrText xml:space="preserve"> PAGEREF _Toc180504652 \h </w:instrText>
        </w:r>
        <w:r>
          <w:rPr>
            <w:noProof/>
            <w:webHidden/>
          </w:rPr>
        </w:r>
        <w:r>
          <w:rPr>
            <w:noProof/>
            <w:webHidden/>
          </w:rPr>
          <w:fldChar w:fldCharType="separate"/>
        </w:r>
        <w:r>
          <w:rPr>
            <w:noProof/>
            <w:webHidden/>
          </w:rPr>
          <w:t>17</w:t>
        </w:r>
        <w:r>
          <w:rPr>
            <w:noProof/>
            <w:webHidden/>
          </w:rPr>
          <w:fldChar w:fldCharType="end"/>
        </w:r>
      </w:hyperlink>
    </w:p>
    <w:p w14:paraId="285BE08F" w14:textId="7AC85A58" w:rsidR="004664C1" w:rsidRDefault="004664C1">
      <w:pPr>
        <w:pStyle w:val="TOC3"/>
        <w:tabs>
          <w:tab w:val="right" w:leader="dot" w:pos="9062"/>
        </w:tabs>
        <w:rPr>
          <w:noProof/>
        </w:rPr>
      </w:pPr>
      <w:hyperlink w:anchor="_Toc180504653" w:history="1">
        <w:r w:rsidRPr="00FD0BB7">
          <w:rPr>
            <w:rStyle w:val="Hyperlink"/>
            <w:noProof/>
          </w:rPr>
          <w:t>5.1 Субсидии</w:t>
        </w:r>
        <w:r>
          <w:rPr>
            <w:noProof/>
            <w:webHidden/>
          </w:rPr>
          <w:tab/>
        </w:r>
        <w:r>
          <w:rPr>
            <w:noProof/>
            <w:webHidden/>
          </w:rPr>
          <w:fldChar w:fldCharType="begin"/>
        </w:r>
        <w:r>
          <w:rPr>
            <w:noProof/>
            <w:webHidden/>
          </w:rPr>
          <w:instrText xml:space="preserve"> PAGEREF _Toc180504653 \h </w:instrText>
        </w:r>
        <w:r>
          <w:rPr>
            <w:noProof/>
            <w:webHidden/>
          </w:rPr>
        </w:r>
        <w:r>
          <w:rPr>
            <w:noProof/>
            <w:webHidden/>
          </w:rPr>
          <w:fldChar w:fldCharType="separate"/>
        </w:r>
        <w:r>
          <w:rPr>
            <w:noProof/>
            <w:webHidden/>
          </w:rPr>
          <w:t>18</w:t>
        </w:r>
        <w:r>
          <w:rPr>
            <w:noProof/>
            <w:webHidden/>
          </w:rPr>
          <w:fldChar w:fldCharType="end"/>
        </w:r>
      </w:hyperlink>
    </w:p>
    <w:p w14:paraId="67C2A131" w14:textId="68106874" w:rsidR="004664C1" w:rsidRDefault="004664C1">
      <w:pPr>
        <w:pStyle w:val="TOC3"/>
        <w:tabs>
          <w:tab w:val="right" w:leader="dot" w:pos="9062"/>
        </w:tabs>
        <w:rPr>
          <w:noProof/>
        </w:rPr>
      </w:pPr>
      <w:hyperlink w:anchor="_Toc180504654" w:history="1">
        <w:r w:rsidRPr="00FD0BB7">
          <w:rPr>
            <w:rStyle w:val="Hyperlink"/>
            <w:noProof/>
          </w:rPr>
          <w:t>5.2 Финансиране</w:t>
        </w:r>
        <w:r>
          <w:rPr>
            <w:noProof/>
            <w:webHidden/>
          </w:rPr>
          <w:tab/>
        </w:r>
        <w:r>
          <w:rPr>
            <w:noProof/>
            <w:webHidden/>
          </w:rPr>
          <w:fldChar w:fldCharType="begin"/>
        </w:r>
        <w:r>
          <w:rPr>
            <w:noProof/>
            <w:webHidden/>
          </w:rPr>
          <w:instrText xml:space="preserve"> PAGEREF _Toc180504654 \h </w:instrText>
        </w:r>
        <w:r>
          <w:rPr>
            <w:noProof/>
            <w:webHidden/>
          </w:rPr>
        </w:r>
        <w:r>
          <w:rPr>
            <w:noProof/>
            <w:webHidden/>
          </w:rPr>
          <w:fldChar w:fldCharType="separate"/>
        </w:r>
        <w:r>
          <w:rPr>
            <w:noProof/>
            <w:webHidden/>
          </w:rPr>
          <w:t>19</w:t>
        </w:r>
        <w:r>
          <w:rPr>
            <w:noProof/>
            <w:webHidden/>
          </w:rPr>
          <w:fldChar w:fldCharType="end"/>
        </w:r>
      </w:hyperlink>
    </w:p>
    <w:p w14:paraId="30AECD70" w14:textId="2560BE39" w:rsidR="004664C1" w:rsidRDefault="004664C1">
      <w:pPr>
        <w:pStyle w:val="TOC3"/>
        <w:tabs>
          <w:tab w:val="right" w:leader="dot" w:pos="9062"/>
        </w:tabs>
        <w:rPr>
          <w:noProof/>
        </w:rPr>
      </w:pPr>
      <w:hyperlink w:anchor="_Toc180504655" w:history="1">
        <w:r w:rsidRPr="00FD0BB7">
          <w:rPr>
            <w:rStyle w:val="Hyperlink"/>
            <w:noProof/>
          </w:rPr>
          <w:t>5.3 Застраховане</w:t>
        </w:r>
        <w:r>
          <w:rPr>
            <w:noProof/>
            <w:webHidden/>
          </w:rPr>
          <w:tab/>
        </w:r>
        <w:r>
          <w:rPr>
            <w:noProof/>
            <w:webHidden/>
          </w:rPr>
          <w:fldChar w:fldCharType="begin"/>
        </w:r>
        <w:r>
          <w:rPr>
            <w:noProof/>
            <w:webHidden/>
          </w:rPr>
          <w:instrText xml:space="preserve"> PAGEREF _Toc180504655 \h </w:instrText>
        </w:r>
        <w:r>
          <w:rPr>
            <w:noProof/>
            <w:webHidden/>
          </w:rPr>
        </w:r>
        <w:r>
          <w:rPr>
            <w:noProof/>
            <w:webHidden/>
          </w:rPr>
          <w:fldChar w:fldCharType="separate"/>
        </w:r>
        <w:r>
          <w:rPr>
            <w:noProof/>
            <w:webHidden/>
          </w:rPr>
          <w:t>21</w:t>
        </w:r>
        <w:r>
          <w:rPr>
            <w:noProof/>
            <w:webHidden/>
          </w:rPr>
          <w:fldChar w:fldCharType="end"/>
        </w:r>
      </w:hyperlink>
    </w:p>
    <w:p w14:paraId="3D0C0619" w14:textId="10C8AF14" w:rsidR="004664C1" w:rsidRDefault="004664C1">
      <w:pPr>
        <w:pStyle w:val="TOC2"/>
        <w:tabs>
          <w:tab w:val="right" w:leader="dot" w:pos="9062"/>
        </w:tabs>
        <w:rPr>
          <w:rFonts w:eastAsiaTheme="minorEastAsia" w:cstheme="minorBidi"/>
          <w:noProof/>
          <w:kern w:val="2"/>
          <w:lang w:val="en-IE" w:eastAsia="en-IE"/>
          <w14:ligatures w14:val="standardContextual"/>
        </w:rPr>
      </w:pPr>
      <w:hyperlink w:anchor="_Toc180504656" w:history="1">
        <w:r w:rsidRPr="00FD0BB7">
          <w:rPr>
            <w:rStyle w:val="Hyperlink"/>
            <w:noProof/>
          </w:rPr>
          <w:t>Стъпка 6 Аспекти, свързани с устойчивостта</w:t>
        </w:r>
        <w:r>
          <w:rPr>
            <w:noProof/>
            <w:webHidden/>
          </w:rPr>
          <w:tab/>
        </w:r>
        <w:r>
          <w:rPr>
            <w:noProof/>
            <w:webHidden/>
          </w:rPr>
          <w:fldChar w:fldCharType="begin"/>
        </w:r>
        <w:r>
          <w:rPr>
            <w:noProof/>
            <w:webHidden/>
          </w:rPr>
          <w:instrText xml:space="preserve"> PAGEREF _Toc180504656 \h </w:instrText>
        </w:r>
        <w:r>
          <w:rPr>
            <w:noProof/>
            <w:webHidden/>
          </w:rPr>
        </w:r>
        <w:r>
          <w:rPr>
            <w:noProof/>
            <w:webHidden/>
          </w:rPr>
          <w:fldChar w:fldCharType="separate"/>
        </w:r>
        <w:r>
          <w:rPr>
            <w:noProof/>
            <w:webHidden/>
          </w:rPr>
          <w:t>23</w:t>
        </w:r>
        <w:r>
          <w:rPr>
            <w:noProof/>
            <w:webHidden/>
          </w:rPr>
          <w:fldChar w:fldCharType="end"/>
        </w:r>
      </w:hyperlink>
    </w:p>
    <w:p w14:paraId="1152C0B5" w14:textId="6A6ED77B" w:rsidR="004664C1" w:rsidRDefault="004664C1">
      <w:pPr>
        <w:pStyle w:val="TOC3"/>
        <w:tabs>
          <w:tab w:val="right" w:leader="dot" w:pos="9062"/>
        </w:tabs>
        <w:rPr>
          <w:noProof/>
        </w:rPr>
      </w:pPr>
      <w:hyperlink w:anchor="_Toc180504657" w:history="1">
        <w:r w:rsidRPr="00FD0BB7">
          <w:rPr>
            <w:rStyle w:val="Hyperlink"/>
            <w:noProof/>
          </w:rPr>
          <w:t>6.1 Аспекти на устойчивостта на слънчевите панели</w:t>
        </w:r>
        <w:r>
          <w:rPr>
            <w:noProof/>
            <w:webHidden/>
          </w:rPr>
          <w:tab/>
        </w:r>
        <w:r>
          <w:rPr>
            <w:noProof/>
            <w:webHidden/>
          </w:rPr>
          <w:fldChar w:fldCharType="begin"/>
        </w:r>
        <w:r>
          <w:rPr>
            <w:noProof/>
            <w:webHidden/>
          </w:rPr>
          <w:instrText xml:space="preserve"> PAGEREF _Toc180504657 \h </w:instrText>
        </w:r>
        <w:r>
          <w:rPr>
            <w:noProof/>
            <w:webHidden/>
          </w:rPr>
        </w:r>
        <w:r>
          <w:rPr>
            <w:noProof/>
            <w:webHidden/>
          </w:rPr>
          <w:fldChar w:fldCharType="separate"/>
        </w:r>
        <w:r>
          <w:rPr>
            <w:noProof/>
            <w:webHidden/>
          </w:rPr>
          <w:t>23</w:t>
        </w:r>
        <w:r>
          <w:rPr>
            <w:noProof/>
            <w:webHidden/>
          </w:rPr>
          <w:fldChar w:fldCharType="end"/>
        </w:r>
      </w:hyperlink>
    </w:p>
    <w:p w14:paraId="2EB78824" w14:textId="583DD5AD" w:rsidR="004664C1" w:rsidRDefault="004664C1">
      <w:pPr>
        <w:pStyle w:val="TOC3"/>
        <w:tabs>
          <w:tab w:val="right" w:leader="dot" w:pos="9062"/>
        </w:tabs>
        <w:rPr>
          <w:noProof/>
        </w:rPr>
      </w:pPr>
      <w:hyperlink w:anchor="_Toc180504658" w:history="1">
        <w:r w:rsidRPr="00FD0BB7">
          <w:rPr>
            <w:rStyle w:val="Hyperlink"/>
            <w:noProof/>
          </w:rPr>
          <w:t>6.2 Аспекти на околната среда, включени в проекти от типа „Sun-on-Land“ и   „Sun-on-Water“</w:t>
        </w:r>
        <w:r>
          <w:rPr>
            <w:noProof/>
            <w:webHidden/>
          </w:rPr>
          <w:tab/>
        </w:r>
        <w:r>
          <w:rPr>
            <w:noProof/>
            <w:webHidden/>
          </w:rPr>
          <w:fldChar w:fldCharType="begin"/>
        </w:r>
        <w:r>
          <w:rPr>
            <w:noProof/>
            <w:webHidden/>
          </w:rPr>
          <w:instrText xml:space="preserve"> PAGEREF _Toc180504658 \h </w:instrText>
        </w:r>
        <w:r>
          <w:rPr>
            <w:noProof/>
            <w:webHidden/>
          </w:rPr>
        </w:r>
        <w:r>
          <w:rPr>
            <w:noProof/>
            <w:webHidden/>
          </w:rPr>
          <w:fldChar w:fldCharType="separate"/>
        </w:r>
        <w:r>
          <w:rPr>
            <w:noProof/>
            <w:webHidden/>
          </w:rPr>
          <w:t>25</w:t>
        </w:r>
        <w:r>
          <w:rPr>
            <w:noProof/>
            <w:webHidden/>
          </w:rPr>
          <w:fldChar w:fldCharType="end"/>
        </w:r>
      </w:hyperlink>
    </w:p>
    <w:p w14:paraId="51EEA33F" w14:textId="0D4E15B3" w:rsidR="004664C1" w:rsidRDefault="004664C1">
      <w:pPr>
        <w:pStyle w:val="TOC2"/>
        <w:tabs>
          <w:tab w:val="right" w:leader="dot" w:pos="9062"/>
        </w:tabs>
        <w:rPr>
          <w:rFonts w:eastAsiaTheme="minorEastAsia" w:cstheme="minorBidi"/>
          <w:noProof/>
          <w:kern w:val="2"/>
          <w:lang w:val="en-IE" w:eastAsia="en-IE"/>
          <w14:ligatures w14:val="standardContextual"/>
        </w:rPr>
      </w:pPr>
      <w:hyperlink w:anchor="_Toc180504659" w:history="1">
        <w:r w:rsidRPr="00FD0BB7">
          <w:rPr>
            <w:rStyle w:val="Hyperlink"/>
            <w:noProof/>
          </w:rPr>
          <w:t>Стъпка 7 Изготвяне и изпълнение</w:t>
        </w:r>
        <w:r>
          <w:rPr>
            <w:noProof/>
            <w:webHidden/>
          </w:rPr>
          <w:tab/>
        </w:r>
        <w:r>
          <w:rPr>
            <w:noProof/>
            <w:webHidden/>
          </w:rPr>
          <w:fldChar w:fldCharType="begin"/>
        </w:r>
        <w:r>
          <w:rPr>
            <w:noProof/>
            <w:webHidden/>
          </w:rPr>
          <w:instrText xml:space="preserve"> PAGEREF _Toc180504659 \h </w:instrText>
        </w:r>
        <w:r>
          <w:rPr>
            <w:noProof/>
            <w:webHidden/>
          </w:rPr>
        </w:r>
        <w:r>
          <w:rPr>
            <w:noProof/>
            <w:webHidden/>
          </w:rPr>
          <w:fldChar w:fldCharType="separate"/>
        </w:r>
        <w:r>
          <w:rPr>
            <w:noProof/>
            <w:webHidden/>
          </w:rPr>
          <w:t>26</w:t>
        </w:r>
        <w:r>
          <w:rPr>
            <w:noProof/>
            <w:webHidden/>
          </w:rPr>
          <w:fldChar w:fldCharType="end"/>
        </w:r>
      </w:hyperlink>
    </w:p>
    <w:p w14:paraId="4AF97D61" w14:textId="70224F3F" w:rsidR="004664C1" w:rsidRDefault="004664C1">
      <w:pPr>
        <w:pStyle w:val="TOC3"/>
        <w:tabs>
          <w:tab w:val="right" w:leader="dot" w:pos="9062"/>
        </w:tabs>
        <w:rPr>
          <w:noProof/>
        </w:rPr>
      </w:pPr>
      <w:hyperlink w:anchor="_Toc180504660" w:history="1">
        <w:r w:rsidRPr="00FD0BB7">
          <w:rPr>
            <w:rStyle w:val="Hyperlink"/>
            <w:noProof/>
          </w:rPr>
          <w:t>7.1 Срокове</w:t>
        </w:r>
        <w:r>
          <w:rPr>
            <w:noProof/>
            <w:webHidden/>
          </w:rPr>
          <w:tab/>
        </w:r>
        <w:r>
          <w:rPr>
            <w:noProof/>
            <w:webHidden/>
          </w:rPr>
          <w:fldChar w:fldCharType="begin"/>
        </w:r>
        <w:r>
          <w:rPr>
            <w:noProof/>
            <w:webHidden/>
          </w:rPr>
          <w:instrText xml:space="preserve"> PAGEREF _Toc180504660 \h </w:instrText>
        </w:r>
        <w:r>
          <w:rPr>
            <w:noProof/>
            <w:webHidden/>
          </w:rPr>
        </w:r>
        <w:r>
          <w:rPr>
            <w:noProof/>
            <w:webHidden/>
          </w:rPr>
          <w:fldChar w:fldCharType="separate"/>
        </w:r>
        <w:r>
          <w:rPr>
            <w:noProof/>
            <w:webHidden/>
          </w:rPr>
          <w:t>26</w:t>
        </w:r>
        <w:r>
          <w:rPr>
            <w:noProof/>
            <w:webHidden/>
          </w:rPr>
          <w:fldChar w:fldCharType="end"/>
        </w:r>
      </w:hyperlink>
    </w:p>
    <w:p w14:paraId="604BD5BE" w14:textId="7B57CE36" w:rsidR="004664C1" w:rsidRDefault="004664C1">
      <w:pPr>
        <w:pStyle w:val="TOC3"/>
        <w:tabs>
          <w:tab w:val="right" w:leader="dot" w:pos="9062"/>
        </w:tabs>
        <w:rPr>
          <w:noProof/>
        </w:rPr>
      </w:pPr>
      <w:hyperlink w:anchor="_Toc180504661" w:history="1">
        <w:r w:rsidRPr="00FD0BB7">
          <w:rPr>
            <w:rStyle w:val="Hyperlink"/>
            <w:noProof/>
          </w:rPr>
          <w:t>7.2 Проверки и окончателна проверка</w:t>
        </w:r>
        <w:r>
          <w:rPr>
            <w:noProof/>
            <w:webHidden/>
          </w:rPr>
          <w:tab/>
        </w:r>
        <w:r>
          <w:rPr>
            <w:noProof/>
            <w:webHidden/>
          </w:rPr>
          <w:fldChar w:fldCharType="begin"/>
        </w:r>
        <w:r>
          <w:rPr>
            <w:noProof/>
            <w:webHidden/>
          </w:rPr>
          <w:instrText xml:space="preserve"> PAGEREF _Toc180504661 \h </w:instrText>
        </w:r>
        <w:r>
          <w:rPr>
            <w:noProof/>
            <w:webHidden/>
          </w:rPr>
        </w:r>
        <w:r>
          <w:rPr>
            <w:noProof/>
            <w:webHidden/>
          </w:rPr>
          <w:fldChar w:fldCharType="separate"/>
        </w:r>
        <w:r>
          <w:rPr>
            <w:noProof/>
            <w:webHidden/>
          </w:rPr>
          <w:t>26</w:t>
        </w:r>
        <w:r>
          <w:rPr>
            <w:noProof/>
            <w:webHidden/>
          </w:rPr>
          <w:fldChar w:fldCharType="end"/>
        </w:r>
      </w:hyperlink>
    </w:p>
    <w:p w14:paraId="5853BC41" w14:textId="6EFBCD58" w:rsidR="004664C1" w:rsidRDefault="004664C1">
      <w:pPr>
        <w:pStyle w:val="TOC2"/>
        <w:tabs>
          <w:tab w:val="right" w:leader="dot" w:pos="9062"/>
        </w:tabs>
        <w:rPr>
          <w:rFonts w:eastAsiaTheme="minorEastAsia" w:cstheme="minorBidi"/>
          <w:noProof/>
          <w:kern w:val="2"/>
          <w:lang w:val="en-IE" w:eastAsia="en-IE"/>
          <w14:ligatures w14:val="standardContextual"/>
        </w:rPr>
      </w:pPr>
      <w:hyperlink w:anchor="_Toc180504662" w:history="1">
        <w:r w:rsidRPr="00FD0BB7">
          <w:rPr>
            <w:rStyle w:val="Hyperlink"/>
            <w:noProof/>
          </w:rPr>
          <w:t>Стъпка 8 Поддръжка, наблюдение и излизане от употреба</w:t>
        </w:r>
        <w:r>
          <w:rPr>
            <w:noProof/>
            <w:webHidden/>
          </w:rPr>
          <w:tab/>
        </w:r>
        <w:r>
          <w:rPr>
            <w:noProof/>
            <w:webHidden/>
          </w:rPr>
          <w:fldChar w:fldCharType="begin"/>
        </w:r>
        <w:r>
          <w:rPr>
            <w:noProof/>
            <w:webHidden/>
          </w:rPr>
          <w:instrText xml:space="preserve"> PAGEREF _Toc180504662 \h </w:instrText>
        </w:r>
        <w:r>
          <w:rPr>
            <w:noProof/>
            <w:webHidden/>
          </w:rPr>
        </w:r>
        <w:r>
          <w:rPr>
            <w:noProof/>
            <w:webHidden/>
          </w:rPr>
          <w:fldChar w:fldCharType="separate"/>
        </w:r>
        <w:r>
          <w:rPr>
            <w:noProof/>
            <w:webHidden/>
          </w:rPr>
          <w:t>28</w:t>
        </w:r>
        <w:r>
          <w:rPr>
            <w:noProof/>
            <w:webHidden/>
          </w:rPr>
          <w:fldChar w:fldCharType="end"/>
        </w:r>
      </w:hyperlink>
    </w:p>
    <w:p w14:paraId="1F69E87A" w14:textId="4975EF89"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63" w:history="1">
        <w:r w:rsidRPr="00FD0BB7">
          <w:rPr>
            <w:rStyle w:val="Hyperlink"/>
            <w:noProof/>
          </w:rPr>
          <w:t>Съкращения и акроними</w:t>
        </w:r>
        <w:r>
          <w:rPr>
            <w:noProof/>
            <w:webHidden/>
          </w:rPr>
          <w:tab/>
        </w:r>
        <w:r>
          <w:rPr>
            <w:noProof/>
            <w:webHidden/>
          </w:rPr>
          <w:fldChar w:fldCharType="begin"/>
        </w:r>
        <w:r>
          <w:rPr>
            <w:noProof/>
            <w:webHidden/>
          </w:rPr>
          <w:instrText xml:space="preserve"> PAGEREF _Toc180504663 \h </w:instrText>
        </w:r>
        <w:r>
          <w:rPr>
            <w:noProof/>
            <w:webHidden/>
          </w:rPr>
        </w:r>
        <w:r>
          <w:rPr>
            <w:noProof/>
            <w:webHidden/>
          </w:rPr>
          <w:fldChar w:fldCharType="separate"/>
        </w:r>
        <w:r>
          <w:rPr>
            <w:noProof/>
            <w:webHidden/>
          </w:rPr>
          <w:t>30</w:t>
        </w:r>
        <w:r>
          <w:rPr>
            <w:noProof/>
            <w:webHidden/>
          </w:rPr>
          <w:fldChar w:fldCharType="end"/>
        </w:r>
      </w:hyperlink>
    </w:p>
    <w:p w14:paraId="3D084226" w14:textId="485CBA93"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64" w:history="1">
        <w:r w:rsidRPr="00FD0BB7">
          <w:rPr>
            <w:rStyle w:val="Hyperlink"/>
            <w:noProof/>
          </w:rPr>
          <w:t>Приложение 1 — Технически консултанти</w:t>
        </w:r>
        <w:r>
          <w:rPr>
            <w:noProof/>
            <w:webHidden/>
          </w:rPr>
          <w:tab/>
        </w:r>
        <w:r>
          <w:rPr>
            <w:noProof/>
            <w:webHidden/>
          </w:rPr>
          <w:fldChar w:fldCharType="begin"/>
        </w:r>
        <w:r>
          <w:rPr>
            <w:noProof/>
            <w:webHidden/>
          </w:rPr>
          <w:instrText xml:space="preserve"> PAGEREF _Toc180504664 \h </w:instrText>
        </w:r>
        <w:r>
          <w:rPr>
            <w:noProof/>
            <w:webHidden/>
          </w:rPr>
        </w:r>
        <w:r>
          <w:rPr>
            <w:noProof/>
            <w:webHidden/>
          </w:rPr>
          <w:fldChar w:fldCharType="separate"/>
        </w:r>
        <w:r>
          <w:rPr>
            <w:noProof/>
            <w:webHidden/>
          </w:rPr>
          <w:t>32</w:t>
        </w:r>
        <w:r>
          <w:rPr>
            <w:noProof/>
            <w:webHidden/>
          </w:rPr>
          <w:fldChar w:fldCharType="end"/>
        </w:r>
      </w:hyperlink>
    </w:p>
    <w:p w14:paraId="00DE7DA1" w14:textId="6097637E"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65" w:history="1">
        <w:r w:rsidRPr="00FD0BB7">
          <w:rPr>
            <w:rStyle w:val="Hyperlink"/>
            <w:noProof/>
          </w:rPr>
          <w:t>Приложение 2 — Консултанти по сградна физика, строителни инженери, специализирани в товароносимост на покрива</w:t>
        </w:r>
        <w:r>
          <w:rPr>
            <w:noProof/>
            <w:webHidden/>
          </w:rPr>
          <w:tab/>
        </w:r>
        <w:r>
          <w:rPr>
            <w:noProof/>
            <w:webHidden/>
          </w:rPr>
          <w:fldChar w:fldCharType="begin"/>
        </w:r>
        <w:r>
          <w:rPr>
            <w:noProof/>
            <w:webHidden/>
          </w:rPr>
          <w:instrText xml:space="preserve"> PAGEREF _Toc180504665 \h </w:instrText>
        </w:r>
        <w:r>
          <w:rPr>
            <w:noProof/>
            <w:webHidden/>
          </w:rPr>
        </w:r>
        <w:r>
          <w:rPr>
            <w:noProof/>
            <w:webHidden/>
          </w:rPr>
          <w:fldChar w:fldCharType="separate"/>
        </w:r>
        <w:r>
          <w:rPr>
            <w:noProof/>
            <w:webHidden/>
          </w:rPr>
          <w:t>33</w:t>
        </w:r>
        <w:r>
          <w:rPr>
            <w:noProof/>
            <w:webHidden/>
          </w:rPr>
          <w:fldChar w:fldCharType="end"/>
        </w:r>
      </w:hyperlink>
    </w:p>
    <w:p w14:paraId="72864A73" w14:textId="65917EC8"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66" w:history="1">
        <w:r w:rsidRPr="00FD0BB7">
          <w:rPr>
            <w:rStyle w:val="Hyperlink"/>
            <w:noProof/>
          </w:rPr>
          <w:t>Приложение 3 — Дружества, които извършват монтаж,   EPC и организатори на проекта   за дружествата в сферата на фотоволатичните системи</w:t>
        </w:r>
        <w:r>
          <w:rPr>
            <w:noProof/>
            <w:webHidden/>
          </w:rPr>
          <w:tab/>
        </w:r>
        <w:r>
          <w:rPr>
            <w:noProof/>
            <w:webHidden/>
          </w:rPr>
          <w:fldChar w:fldCharType="begin"/>
        </w:r>
        <w:r>
          <w:rPr>
            <w:noProof/>
            <w:webHidden/>
          </w:rPr>
          <w:instrText xml:space="preserve"> PAGEREF _Toc180504666 \h </w:instrText>
        </w:r>
        <w:r>
          <w:rPr>
            <w:noProof/>
            <w:webHidden/>
          </w:rPr>
        </w:r>
        <w:r>
          <w:rPr>
            <w:noProof/>
            <w:webHidden/>
          </w:rPr>
          <w:fldChar w:fldCharType="separate"/>
        </w:r>
        <w:r>
          <w:rPr>
            <w:noProof/>
            <w:webHidden/>
          </w:rPr>
          <w:t>34</w:t>
        </w:r>
        <w:r>
          <w:rPr>
            <w:noProof/>
            <w:webHidden/>
          </w:rPr>
          <w:fldChar w:fldCharType="end"/>
        </w:r>
      </w:hyperlink>
    </w:p>
    <w:p w14:paraId="24E30A20" w14:textId="4974B0C1"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67" w:history="1">
        <w:r w:rsidRPr="00FD0BB7">
          <w:rPr>
            <w:rStyle w:val="Hyperlink"/>
            <w:noProof/>
          </w:rPr>
          <w:t>Приложение 4 — Консултанти и доставчици, специализирани в система за енергийно управление, батерии и управление на товара</w:t>
        </w:r>
        <w:r>
          <w:rPr>
            <w:noProof/>
            <w:webHidden/>
          </w:rPr>
          <w:tab/>
        </w:r>
        <w:r>
          <w:rPr>
            <w:noProof/>
            <w:webHidden/>
          </w:rPr>
          <w:fldChar w:fldCharType="begin"/>
        </w:r>
        <w:r>
          <w:rPr>
            <w:noProof/>
            <w:webHidden/>
          </w:rPr>
          <w:instrText xml:space="preserve"> PAGEREF _Toc180504667 \h </w:instrText>
        </w:r>
        <w:r>
          <w:rPr>
            <w:noProof/>
            <w:webHidden/>
          </w:rPr>
        </w:r>
        <w:r>
          <w:rPr>
            <w:noProof/>
            <w:webHidden/>
          </w:rPr>
          <w:fldChar w:fldCharType="separate"/>
        </w:r>
        <w:r>
          <w:rPr>
            <w:noProof/>
            <w:webHidden/>
          </w:rPr>
          <w:t>36</w:t>
        </w:r>
        <w:r>
          <w:rPr>
            <w:noProof/>
            <w:webHidden/>
          </w:rPr>
          <w:fldChar w:fldCharType="end"/>
        </w:r>
      </w:hyperlink>
    </w:p>
    <w:p w14:paraId="350845AB" w14:textId="2395927F"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68" w:history="1">
        <w:r w:rsidRPr="00FD0BB7">
          <w:rPr>
            <w:rStyle w:val="Hyperlink"/>
            <w:noProof/>
          </w:rPr>
          <w:t>Приложение 5 — Поддръжници за</w:t>
        </w:r>
        <w:r>
          <w:rPr>
            <w:noProof/>
            <w:webHidden/>
          </w:rPr>
          <w:tab/>
        </w:r>
        <w:r>
          <w:rPr>
            <w:noProof/>
            <w:webHidden/>
          </w:rPr>
          <w:fldChar w:fldCharType="begin"/>
        </w:r>
        <w:r>
          <w:rPr>
            <w:noProof/>
            <w:webHidden/>
          </w:rPr>
          <w:instrText xml:space="preserve"> PAGEREF _Toc180504668 \h </w:instrText>
        </w:r>
        <w:r>
          <w:rPr>
            <w:noProof/>
            <w:webHidden/>
          </w:rPr>
        </w:r>
        <w:r>
          <w:rPr>
            <w:noProof/>
            <w:webHidden/>
          </w:rPr>
          <w:fldChar w:fldCharType="separate"/>
        </w:r>
        <w:r>
          <w:rPr>
            <w:noProof/>
            <w:webHidden/>
          </w:rPr>
          <w:t>37</w:t>
        </w:r>
        <w:r>
          <w:rPr>
            <w:noProof/>
            <w:webHidden/>
          </w:rPr>
          <w:fldChar w:fldCharType="end"/>
        </w:r>
      </w:hyperlink>
    </w:p>
    <w:p w14:paraId="19657502" w14:textId="62CD3D90"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69" w:history="1">
        <w:r w:rsidRPr="00FD0BB7">
          <w:rPr>
            <w:rStyle w:val="Hyperlink"/>
            <w:noProof/>
          </w:rPr>
          <w:t>заемен капитал и собствен капитал</w:t>
        </w:r>
        <w:r>
          <w:rPr>
            <w:noProof/>
            <w:webHidden/>
          </w:rPr>
          <w:tab/>
        </w:r>
        <w:r>
          <w:rPr>
            <w:noProof/>
            <w:webHidden/>
          </w:rPr>
          <w:fldChar w:fldCharType="begin"/>
        </w:r>
        <w:r>
          <w:rPr>
            <w:noProof/>
            <w:webHidden/>
          </w:rPr>
          <w:instrText xml:space="preserve"> PAGEREF _Toc180504669 \h </w:instrText>
        </w:r>
        <w:r>
          <w:rPr>
            <w:noProof/>
            <w:webHidden/>
          </w:rPr>
        </w:r>
        <w:r>
          <w:rPr>
            <w:noProof/>
            <w:webHidden/>
          </w:rPr>
          <w:fldChar w:fldCharType="separate"/>
        </w:r>
        <w:r>
          <w:rPr>
            <w:noProof/>
            <w:webHidden/>
          </w:rPr>
          <w:t>37</w:t>
        </w:r>
        <w:r>
          <w:rPr>
            <w:noProof/>
            <w:webHidden/>
          </w:rPr>
          <w:fldChar w:fldCharType="end"/>
        </w:r>
      </w:hyperlink>
    </w:p>
    <w:p w14:paraId="644696EE" w14:textId="5643CDB8"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70" w:history="1">
        <w:r w:rsidRPr="00FD0BB7">
          <w:rPr>
            <w:rStyle w:val="Hyperlink"/>
            <w:noProof/>
          </w:rPr>
          <w:t>Приложение 6 — Проверки по „Обхват 12“</w:t>
        </w:r>
        <w:r>
          <w:rPr>
            <w:noProof/>
            <w:webHidden/>
          </w:rPr>
          <w:tab/>
        </w:r>
        <w:r>
          <w:rPr>
            <w:noProof/>
            <w:webHidden/>
          </w:rPr>
          <w:fldChar w:fldCharType="begin"/>
        </w:r>
        <w:r>
          <w:rPr>
            <w:noProof/>
            <w:webHidden/>
          </w:rPr>
          <w:instrText xml:space="preserve"> PAGEREF _Toc180504670 \h </w:instrText>
        </w:r>
        <w:r>
          <w:rPr>
            <w:noProof/>
            <w:webHidden/>
          </w:rPr>
        </w:r>
        <w:r>
          <w:rPr>
            <w:noProof/>
            <w:webHidden/>
          </w:rPr>
          <w:fldChar w:fldCharType="separate"/>
        </w:r>
        <w:r>
          <w:rPr>
            <w:noProof/>
            <w:webHidden/>
          </w:rPr>
          <w:t>38</w:t>
        </w:r>
        <w:r>
          <w:rPr>
            <w:noProof/>
            <w:webHidden/>
          </w:rPr>
          <w:fldChar w:fldCharType="end"/>
        </w:r>
      </w:hyperlink>
    </w:p>
    <w:p w14:paraId="03191410" w14:textId="3E7A7933"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71" w:history="1">
        <w:r w:rsidRPr="00FD0BB7">
          <w:rPr>
            <w:rStyle w:val="Hyperlink"/>
            <w:noProof/>
          </w:rPr>
          <w:t>Приложение 7 — Проверки на предприятието   и изпитване на произволни слънчеви панели</w:t>
        </w:r>
        <w:r>
          <w:rPr>
            <w:noProof/>
            <w:webHidden/>
          </w:rPr>
          <w:tab/>
        </w:r>
        <w:r>
          <w:rPr>
            <w:noProof/>
            <w:webHidden/>
          </w:rPr>
          <w:fldChar w:fldCharType="begin"/>
        </w:r>
        <w:r>
          <w:rPr>
            <w:noProof/>
            <w:webHidden/>
          </w:rPr>
          <w:instrText xml:space="preserve"> PAGEREF _Toc180504671 \h </w:instrText>
        </w:r>
        <w:r>
          <w:rPr>
            <w:noProof/>
            <w:webHidden/>
          </w:rPr>
        </w:r>
        <w:r>
          <w:rPr>
            <w:noProof/>
            <w:webHidden/>
          </w:rPr>
          <w:fldChar w:fldCharType="separate"/>
        </w:r>
        <w:r>
          <w:rPr>
            <w:noProof/>
            <w:webHidden/>
          </w:rPr>
          <w:t>39</w:t>
        </w:r>
        <w:r>
          <w:rPr>
            <w:noProof/>
            <w:webHidden/>
          </w:rPr>
          <w:fldChar w:fldCharType="end"/>
        </w:r>
      </w:hyperlink>
    </w:p>
    <w:p w14:paraId="742356FE" w14:textId="083155BD"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72" w:history="1">
        <w:r w:rsidRPr="00FD0BB7">
          <w:rPr>
            <w:rStyle w:val="Hyperlink"/>
            <w:noProof/>
          </w:rPr>
          <w:t>Приложение 8 — Наблюдение, поддръжка   и ремонти</w:t>
        </w:r>
        <w:r>
          <w:rPr>
            <w:noProof/>
            <w:webHidden/>
          </w:rPr>
          <w:tab/>
        </w:r>
        <w:r>
          <w:rPr>
            <w:noProof/>
            <w:webHidden/>
          </w:rPr>
          <w:fldChar w:fldCharType="begin"/>
        </w:r>
        <w:r>
          <w:rPr>
            <w:noProof/>
            <w:webHidden/>
          </w:rPr>
          <w:instrText xml:space="preserve"> PAGEREF _Toc180504672 \h </w:instrText>
        </w:r>
        <w:r>
          <w:rPr>
            <w:noProof/>
            <w:webHidden/>
          </w:rPr>
        </w:r>
        <w:r>
          <w:rPr>
            <w:noProof/>
            <w:webHidden/>
          </w:rPr>
          <w:fldChar w:fldCharType="separate"/>
        </w:r>
        <w:r>
          <w:rPr>
            <w:noProof/>
            <w:webHidden/>
          </w:rPr>
          <w:t>40</w:t>
        </w:r>
        <w:r>
          <w:rPr>
            <w:noProof/>
            <w:webHidden/>
          </w:rPr>
          <w:fldChar w:fldCharType="end"/>
        </w:r>
      </w:hyperlink>
    </w:p>
    <w:p w14:paraId="0ACD3C6D" w14:textId="156F0710" w:rsidR="004664C1" w:rsidRDefault="004664C1">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4673" w:history="1">
        <w:r w:rsidRPr="00FD0BB7">
          <w:rPr>
            <w:rStyle w:val="Hyperlink"/>
            <w:noProof/>
          </w:rPr>
          <w:t>Приложение 9 Преглед на застрахователното покритие „CAR“</w:t>
        </w:r>
        <w:r>
          <w:rPr>
            <w:noProof/>
            <w:webHidden/>
          </w:rPr>
          <w:tab/>
        </w:r>
        <w:r>
          <w:rPr>
            <w:noProof/>
            <w:webHidden/>
          </w:rPr>
          <w:fldChar w:fldCharType="begin"/>
        </w:r>
        <w:r>
          <w:rPr>
            <w:noProof/>
            <w:webHidden/>
          </w:rPr>
          <w:instrText xml:space="preserve"> PAGEREF _Toc180504673 \h </w:instrText>
        </w:r>
        <w:r>
          <w:rPr>
            <w:noProof/>
            <w:webHidden/>
          </w:rPr>
        </w:r>
        <w:r>
          <w:rPr>
            <w:noProof/>
            <w:webHidden/>
          </w:rPr>
          <w:fldChar w:fldCharType="separate"/>
        </w:r>
        <w:r>
          <w:rPr>
            <w:noProof/>
            <w:webHidden/>
          </w:rPr>
          <w:t>41</w:t>
        </w:r>
        <w:r>
          <w:rPr>
            <w:noProof/>
            <w:webHidden/>
          </w:rPr>
          <w:fldChar w:fldCharType="end"/>
        </w:r>
      </w:hyperlink>
    </w:p>
    <w:p w14:paraId="7E93C63C" w14:textId="4677DB74" w:rsidR="004664C1" w:rsidRDefault="004664C1">
      <w:pPr>
        <w:pStyle w:val="TOC3"/>
        <w:tabs>
          <w:tab w:val="right" w:leader="dot" w:pos="9062"/>
        </w:tabs>
        <w:rPr>
          <w:noProof/>
        </w:rPr>
      </w:pPr>
      <w:hyperlink w:anchor="_Toc180504674" w:history="1">
        <w:r w:rsidRPr="00FD0BB7">
          <w:rPr>
            <w:rStyle w:val="Hyperlink"/>
            <w:noProof/>
          </w:rPr>
          <w:t>Раздел I: Строителните работи</w:t>
        </w:r>
        <w:r>
          <w:rPr>
            <w:noProof/>
            <w:webHidden/>
          </w:rPr>
          <w:tab/>
        </w:r>
        <w:r>
          <w:rPr>
            <w:noProof/>
            <w:webHidden/>
          </w:rPr>
          <w:fldChar w:fldCharType="begin"/>
        </w:r>
        <w:r>
          <w:rPr>
            <w:noProof/>
            <w:webHidden/>
          </w:rPr>
          <w:instrText xml:space="preserve"> PAGEREF _Toc180504674 \h </w:instrText>
        </w:r>
        <w:r>
          <w:rPr>
            <w:noProof/>
            <w:webHidden/>
          </w:rPr>
        </w:r>
        <w:r>
          <w:rPr>
            <w:noProof/>
            <w:webHidden/>
          </w:rPr>
          <w:fldChar w:fldCharType="separate"/>
        </w:r>
        <w:r>
          <w:rPr>
            <w:noProof/>
            <w:webHidden/>
          </w:rPr>
          <w:t>41</w:t>
        </w:r>
        <w:r>
          <w:rPr>
            <w:noProof/>
            <w:webHidden/>
          </w:rPr>
          <w:fldChar w:fldCharType="end"/>
        </w:r>
      </w:hyperlink>
    </w:p>
    <w:p w14:paraId="47F55D33" w14:textId="0628E52F" w:rsidR="00845A98" w:rsidRPr="006E1674" w:rsidRDefault="00AE6706" w:rsidP="00AE6706">
      <w:pPr>
        <w:pStyle w:val="MH1"/>
      </w:pPr>
      <w:r>
        <w:rPr>
          <w:rFonts w:eastAsia="Times New Roman"/>
          <w:b w:val="0"/>
          <w:color w:val="auto"/>
          <w:sz w:val="22"/>
          <w:szCs w:val="22"/>
          <w:lang w:eastAsia="nl-NL"/>
        </w:rPr>
        <w:fldChar w:fldCharType="end"/>
      </w:r>
    </w:p>
    <w:p w14:paraId="053C2B11" w14:textId="77777777" w:rsidR="00845A98" w:rsidRPr="004C0EBD" w:rsidRDefault="00845A98" w:rsidP="00A3595E"/>
    <w:p w14:paraId="2BCE4A6D" w14:textId="77777777" w:rsidR="00845A98" w:rsidRDefault="00845A98" w:rsidP="00A3595E">
      <w:pPr>
        <w:rPr>
          <w:lang w:val="en-IE"/>
        </w:rPr>
      </w:pPr>
    </w:p>
    <w:p w14:paraId="6C9CDC04" w14:textId="77777777" w:rsidR="008156C8" w:rsidRDefault="008156C8" w:rsidP="00A3595E">
      <w:pPr>
        <w:rPr>
          <w:lang w:val="en-IE"/>
        </w:rPr>
      </w:pPr>
    </w:p>
    <w:p w14:paraId="2C3EFCEB" w14:textId="77777777" w:rsidR="008156C8" w:rsidRDefault="008156C8" w:rsidP="00A3595E">
      <w:pPr>
        <w:rPr>
          <w:lang w:val="en-IE"/>
        </w:rPr>
      </w:pPr>
    </w:p>
    <w:p w14:paraId="5AF9472F" w14:textId="77777777" w:rsidR="008156C8" w:rsidRDefault="008156C8" w:rsidP="00A3595E">
      <w:pPr>
        <w:rPr>
          <w:lang w:val="en-IE"/>
        </w:rPr>
      </w:pPr>
    </w:p>
    <w:p w14:paraId="54F55AB9" w14:textId="77777777" w:rsidR="008156C8" w:rsidRDefault="008156C8" w:rsidP="00A3595E">
      <w:pPr>
        <w:rPr>
          <w:lang w:val="en-IE"/>
        </w:rPr>
      </w:pPr>
    </w:p>
    <w:p w14:paraId="7DB94342" w14:textId="77777777" w:rsidR="008156C8" w:rsidRDefault="008156C8" w:rsidP="00A3595E">
      <w:pPr>
        <w:rPr>
          <w:lang w:val="en-IE"/>
        </w:rPr>
      </w:pPr>
    </w:p>
    <w:p w14:paraId="53627749" w14:textId="77777777" w:rsidR="008156C8" w:rsidRDefault="008156C8" w:rsidP="00A3595E">
      <w:pPr>
        <w:rPr>
          <w:lang w:val="en-IE"/>
        </w:rPr>
      </w:pPr>
    </w:p>
    <w:p w14:paraId="6F807999" w14:textId="77777777" w:rsidR="008156C8" w:rsidRDefault="008156C8" w:rsidP="00A3595E">
      <w:pPr>
        <w:rPr>
          <w:lang w:val="en-IE"/>
        </w:rPr>
      </w:pPr>
    </w:p>
    <w:p w14:paraId="76750364" w14:textId="77777777" w:rsidR="008156C8" w:rsidRDefault="008156C8" w:rsidP="00A3595E">
      <w:pPr>
        <w:rPr>
          <w:lang w:val="en-IE"/>
        </w:rPr>
      </w:pPr>
    </w:p>
    <w:p w14:paraId="3AF2DAF3" w14:textId="77777777" w:rsidR="008156C8" w:rsidRDefault="008156C8" w:rsidP="00A3595E">
      <w:pPr>
        <w:rPr>
          <w:lang w:val="en-IE"/>
        </w:rPr>
      </w:pPr>
    </w:p>
    <w:p w14:paraId="02F984BF" w14:textId="77777777" w:rsidR="008156C8" w:rsidRDefault="008156C8" w:rsidP="00A3595E">
      <w:pPr>
        <w:rPr>
          <w:lang w:val="en-IE"/>
        </w:rPr>
      </w:pPr>
    </w:p>
    <w:p w14:paraId="73D22D7F" w14:textId="77777777" w:rsidR="008156C8" w:rsidRDefault="008156C8" w:rsidP="00A3595E">
      <w:pPr>
        <w:rPr>
          <w:lang w:val="en-IE"/>
        </w:rPr>
      </w:pPr>
    </w:p>
    <w:p w14:paraId="652A77CB" w14:textId="77777777" w:rsidR="00DE36D8" w:rsidRPr="004664C1" w:rsidRDefault="00DE36D8" w:rsidP="004664C1">
      <w:pPr>
        <w:pStyle w:val="MH1"/>
        <w:ind w:left="0"/>
        <w:rPr>
          <w:lang w:val="en-IE"/>
        </w:rPr>
      </w:pPr>
    </w:p>
    <w:p w14:paraId="55F739A2" w14:textId="77777777" w:rsidR="008156C8" w:rsidRDefault="008156C8" w:rsidP="008156C8">
      <w:pPr>
        <w:pStyle w:val="MH1"/>
      </w:pPr>
      <w:bookmarkStart w:id="50" w:name="_Toc180504627"/>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and</w:t>
      </w:r>
      <w:proofErr w:type="spellEnd"/>
      <w:r w:rsidRPr="004C0EBD">
        <w:t xml:space="preserve"> </w:t>
      </w:r>
      <w:proofErr w:type="spellStart"/>
      <w:r w:rsidRPr="004C0EBD">
        <w:t>background</w:t>
      </w:r>
      <w:proofErr w:type="spellEnd"/>
      <w:r w:rsidRPr="004C0EBD">
        <w:t xml:space="preserve"> </w:t>
      </w:r>
      <w:r>
        <w:br/>
      </w:r>
      <w:proofErr w:type="spellStart"/>
      <w:r w:rsidRPr="004C0EBD">
        <w:t>to</w:t>
      </w:r>
      <w:proofErr w:type="spellEnd"/>
      <w:r w:rsidRPr="004C0EBD">
        <w:t xml:space="preserve"> </w:t>
      </w:r>
      <w:proofErr w:type="spellStart"/>
      <w:r w:rsidRPr="004C0EBD">
        <w:t>this</w:t>
      </w:r>
      <w:proofErr w:type="spellEnd"/>
      <w:r>
        <w:t xml:space="preserve"> </w:t>
      </w:r>
      <w:proofErr w:type="spellStart"/>
      <w:r w:rsidRPr="004C0EBD">
        <w:t>guide</w:t>
      </w:r>
      <w:bookmarkEnd w:id="50"/>
      <w:proofErr w:type="spellEnd"/>
    </w:p>
    <w:p w14:paraId="086AED99" w14:textId="77777777" w:rsidR="008156C8" w:rsidRPr="004C0EBD" w:rsidRDefault="008156C8" w:rsidP="008156C8">
      <w:pPr>
        <w:pStyle w:val="MH1"/>
      </w:pPr>
    </w:p>
    <w:p w14:paraId="0929AFB9" w14:textId="77777777" w:rsidR="008156C8" w:rsidRPr="00DE36D8" w:rsidRDefault="008156C8" w:rsidP="008156C8">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w:t>
      </w:r>
      <w:proofErr w:type="spellStart"/>
      <w:r w:rsidRPr="00DE36D8">
        <w:t>to</w:t>
      </w:r>
      <w:proofErr w:type="spellEnd"/>
      <w:r w:rsidRPr="00DE36D8">
        <w:t xml:space="preserve"> </w:t>
      </w:r>
      <w:proofErr w:type="spellStart"/>
      <w:r w:rsidRPr="00DE36D8">
        <w:t>implement</w:t>
      </w:r>
      <w:proofErr w:type="spellEnd"/>
      <w:r w:rsidRPr="00DE36D8">
        <w:t xml:space="preserve"> PV </w:t>
      </w:r>
      <w:proofErr w:type="spellStart"/>
      <w:r w:rsidRPr="00DE36D8">
        <w:t>projects</w:t>
      </w:r>
      <w:proofErr w:type="spellEnd"/>
      <w:r w:rsidRPr="00DE36D8">
        <w:t xml:space="preserve"> </w:t>
      </w:r>
      <w:proofErr w:type="spellStart"/>
      <w:r w:rsidRPr="00DE36D8">
        <w:t>on</w:t>
      </w:r>
      <w:proofErr w:type="spellEnd"/>
      <w:r w:rsidRPr="00DE36D8">
        <w:t xml:space="preserve">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w:t>
      </w:r>
      <w:proofErr w:type="spellStart"/>
      <w:r w:rsidRPr="00DE36D8">
        <w:t>out</w:t>
      </w:r>
      <w:proofErr w:type="spellEnd"/>
      <w:r w:rsidRPr="00DE36D8">
        <w:t xml:space="preserve"> </w:t>
      </w:r>
      <w:proofErr w:type="spellStart"/>
      <w:r w:rsidRPr="00DE36D8">
        <w:t>steps</w:t>
      </w:r>
      <w:proofErr w:type="spellEnd"/>
      <w:r w:rsidRPr="00DE36D8">
        <w:t xml:space="preserve"> </w:t>
      </w:r>
      <w:proofErr w:type="spellStart"/>
      <w:r w:rsidRPr="00DE36D8">
        <w:t>and</w:t>
      </w:r>
      <w:proofErr w:type="spellEnd"/>
      <w:r w:rsidRPr="00DE36D8">
        <w:t xml:space="preserve"> </w:t>
      </w:r>
      <w:proofErr w:type="spellStart"/>
      <w:r w:rsidRPr="00DE36D8">
        <w:t>choices</w:t>
      </w:r>
      <w:proofErr w:type="spellEnd"/>
      <w:r w:rsidRPr="00DE36D8">
        <w:t xml:space="preserve">, </w:t>
      </w:r>
      <w:proofErr w:type="spellStart"/>
      <w:r w:rsidRPr="00DE36D8">
        <w:t>and</w:t>
      </w:r>
      <w:proofErr w:type="spellEnd"/>
      <w:r w:rsidRPr="00DE36D8">
        <w:t xml:space="preserve"> </w:t>
      </w:r>
      <w:proofErr w:type="spellStart"/>
      <w:r w:rsidRPr="00DE36D8">
        <w:t>providing</w:t>
      </w:r>
      <w:proofErr w:type="spellEnd"/>
      <w:r w:rsidRPr="00DE36D8">
        <w:t xml:space="preserve"> </w:t>
      </w:r>
      <w:proofErr w:type="spellStart"/>
      <w:r w:rsidRPr="00DE36D8">
        <w:t>lists</w:t>
      </w:r>
      <w:proofErr w:type="spellEnd"/>
      <w:r w:rsidRPr="00DE36D8">
        <w:t xml:space="preserve"> </w:t>
      </w:r>
      <w:proofErr w:type="spellStart"/>
      <w:r w:rsidRPr="00DE36D8">
        <w:t>of</w:t>
      </w:r>
      <w:proofErr w:type="spellEnd"/>
      <w:r w:rsidRPr="00DE36D8">
        <w:t xml:space="preserve">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1F46F4F8" w14:textId="77777777" w:rsidR="008156C8" w:rsidRPr="00DE36D8" w:rsidRDefault="008156C8" w:rsidP="008156C8">
      <w:pPr>
        <w:pStyle w:val="BodyText1"/>
      </w:pPr>
    </w:p>
    <w:p w14:paraId="0030A0BE" w14:textId="77777777" w:rsidR="008156C8" w:rsidRPr="00DE36D8" w:rsidRDefault="008156C8" w:rsidP="008156C8">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is</w:t>
      </w:r>
      <w:proofErr w:type="spellEnd"/>
      <w:r w:rsidRPr="00DE36D8">
        <w:t xml:space="preserve"> </w:t>
      </w:r>
      <w:proofErr w:type="spellStart"/>
      <w:r w:rsidRPr="00DE36D8">
        <w:t>one</w:t>
      </w:r>
      <w:proofErr w:type="spellEnd"/>
      <w:r w:rsidRPr="00DE36D8">
        <w:t xml:space="preserve"> </w:t>
      </w:r>
      <w:proofErr w:type="spellStart"/>
      <w:r w:rsidRPr="00DE36D8">
        <w:t>of</w:t>
      </w:r>
      <w:proofErr w:type="spellEnd"/>
      <w:r w:rsidRPr="00DE36D8">
        <w:t xml:space="preserve">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proofErr w:type="spellStart"/>
      <w:r w:rsidRPr="00F36F46">
        <w:rPr>
          <w:i/>
          <w:iCs/>
        </w:rPr>
        <w:t>Template</w:t>
      </w:r>
      <w:proofErr w:type="spellEnd"/>
      <w:r w:rsidRPr="00F36F46">
        <w:rPr>
          <w:i/>
          <w:iCs/>
        </w:rPr>
        <w:t xml:space="preserve"> </w:t>
      </w:r>
      <w:proofErr w:type="spellStart"/>
      <w:r w:rsidRPr="00F36F46">
        <w:rPr>
          <w:i/>
          <w:iCs/>
        </w:rPr>
        <w:t>for</w:t>
      </w:r>
      <w:proofErr w:type="spellEnd"/>
      <w:r w:rsidRPr="00F36F46">
        <w:rPr>
          <w:i/>
          <w:iCs/>
        </w:rPr>
        <w:t xml:space="preserve"> </w:t>
      </w:r>
      <w:proofErr w:type="spellStart"/>
      <w:r w:rsidRPr="00F36F46">
        <w:rPr>
          <w:i/>
          <w:iCs/>
        </w:rPr>
        <w:t>purchase</w:t>
      </w:r>
      <w:proofErr w:type="spellEnd"/>
      <w:r w:rsidRPr="00F36F46">
        <w:rPr>
          <w:i/>
          <w:iCs/>
        </w:rPr>
        <w:t xml:space="preserve"> </w:t>
      </w:r>
      <w:proofErr w:type="spellStart"/>
      <w:r w:rsidRPr="00F36F46">
        <w:rPr>
          <w:i/>
          <w:iCs/>
        </w:rPr>
        <w:t>requirements</w:t>
      </w:r>
      <w:proofErr w:type="spellEnd"/>
      <w:r w:rsidRPr="00F36F46">
        <w:rPr>
          <w:i/>
          <w:iCs/>
        </w:rPr>
        <w:t xml:space="preserve"> </w:t>
      </w:r>
      <w:proofErr w:type="spellStart"/>
      <w:r w:rsidRPr="00F36F46">
        <w:rPr>
          <w:i/>
          <w:iCs/>
        </w:rPr>
        <w:t>and</w:t>
      </w:r>
      <w:proofErr w:type="spellEnd"/>
      <w:r w:rsidRPr="00F36F46">
        <w:rPr>
          <w:i/>
          <w:iCs/>
        </w:rPr>
        <w:t xml:space="preserve"> </w:t>
      </w:r>
      <w:proofErr w:type="spellStart"/>
      <w:r w:rsidRPr="00F36F46">
        <w:rPr>
          <w:i/>
          <w:iCs/>
        </w:rPr>
        <w:t>award</w:t>
      </w:r>
      <w:proofErr w:type="spellEnd"/>
      <w:r w:rsidRPr="00F36F46">
        <w:rPr>
          <w:i/>
          <w:iCs/>
        </w:rPr>
        <w:t xml:space="preserve"> </w:t>
      </w:r>
      <w:proofErr w:type="spellStart"/>
      <w:r w:rsidRPr="00F36F46">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8156C8" w:rsidRPr="00DE36D8" w14:paraId="03ED2507" w14:textId="77777777" w:rsidTr="00F36F46">
        <w:trPr>
          <w:trHeight w:val="32"/>
        </w:trPr>
        <w:tc>
          <w:tcPr>
            <w:tcW w:w="9448" w:type="dxa"/>
          </w:tcPr>
          <w:p w14:paraId="649359E9" w14:textId="77777777" w:rsidR="008156C8" w:rsidRPr="00DE36D8" w:rsidRDefault="008156C8" w:rsidP="00F36F46">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of</w:t>
            </w:r>
            <w:proofErr w:type="spellEnd"/>
            <w:r w:rsidRPr="00DE36D8">
              <w:t xml:space="preserve">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8156C8" w:rsidRPr="00DE36D8" w14:paraId="3ED5B591" w14:textId="77777777" w:rsidTr="00F36F46">
        <w:trPr>
          <w:trHeight w:val="33"/>
        </w:trPr>
        <w:tc>
          <w:tcPr>
            <w:tcW w:w="9448" w:type="dxa"/>
          </w:tcPr>
          <w:p w14:paraId="3BB23630" w14:textId="77777777" w:rsidR="008156C8" w:rsidRPr="00DE36D8" w:rsidRDefault="008156C8" w:rsidP="00F36F46">
            <w:pPr>
              <w:pStyle w:val="BodyText1"/>
              <w:rPr>
                <w:sz w:val="24"/>
                <w:szCs w:val="24"/>
              </w:rPr>
            </w:pPr>
            <w:r w:rsidRPr="00DE36D8">
              <w:t xml:space="preserve">II. </w:t>
            </w:r>
            <w:proofErr w:type="spellStart"/>
            <w:r>
              <w:t>Preparing</w:t>
            </w:r>
            <w:proofErr w:type="spellEnd"/>
            <w:r>
              <w:t xml:space="preserve"> a </w:t>
            </w:r>
            <w:proofErr w:type="spellStart"/>
            <w:r w:rsidRPr="00DE36D8">
              <w:t>tender</w:t>
            </w:r>
            <w:proofErr w:type="spellEnd"/>
            <w:r w:rsidRPr="00DE36D8">
              <w:t xml:space="preserve"> </w:t>
            </w:r>
            <w:proofErr w:type="spellStart"/>
            <w:r w:rsidRPr="00DE36D8">
              <w:t>for</w:t>
            </w:r>
            <w:proofErr w:type="spellEnd"/>
            <w:r w:rsidRPr="00DE36D8">
              <w:t xml:space="preserve"> a PV </w:t>
            </w:r>
            <w:proofErr w:type="spellStart"/>
            <w:r w:rsidRPr="00DE36D8">
              <w:t>project</w:t>
            </w:r>
            <w:proofErr w:type="spellEnd"/>
            <w:r>
              <w:t>,</w:t>
            </w:r>
            <w:r w:rsidRPr="00DE36D8">
              <w:t xml:space="preserve"> </w:t>
            </w:r>
            <w:proofErr w:type="spellStart"/>
            <w:r w:rsidRPr="00DE36D8">
              <w:t>and</w:t>
            </w:r>
            <w:proofErr w:type="spellEnd"/>
            <w:r w:rsidRPr="00DE36D8">
              <w:t xml:space="preserve"> </w:t>
            </w:r>
            <w:proofErr w:type="spellStart"/>
            <w:r w:rsidRPr="00DE36D8">
              <w:t>explanation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proofErr w:type="spellStart"/>
            <w:r>
              <w:t>T</w:t>
            </w:r>
            <w:r w:rsidRPr="00DE36D8">
              <w:t>emplate</w:t>
            </w:r>
            <w:proofErr w:type="spellEnd"/>
          </w:p>
        </w:tc>
      </w:tr>
      <w:tr w:rsidR="008156C8" w:rsidRPr="00DE36D8" w14:paraId="3DA4B6B0" w14:textId="77777777" w:rsidTr="0088732B">
        <w:trPr>
          <w:trHeight w:val="33"/>
        </w:trPr>
        <w:tc>
          <w:tcPr>
            <w:tcW w:w="9448" w:type="dxa"/>
          </w:tcPr>
          <w:p w14:paraId="27A34542" w14:textId="77777777" w:rsidR="008156C8" w:rsidRPr="00DE36D8" w:rsidRDefault="008156C8" w:rsidP="00F36F46">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w:t>
            </w:r>
            <w:proofErr w:type="spellStart"/>
            <w:r w:rsidRPr="00DE36D8">
              <w:t>and</w:t>
            </w:r>
            <w:proofErr w:type="spellEnd"/>
            <w:r w:rsidRPr="00DE36D8">
              <w:t xml:space="preserve"> </w:t>
            </w:r>
            <w:proofErr w:type="spellStart"/>
            <w:r w:rsidRPr="00DE36D8">
              <w:t>market</w:t>
            </w:r>
            <w:proofErr w:type="spellEnd"/>
            <w:r w:rsidRPr="00DE36D8">
              <w:t xml:space="preserve"> </w:t>
            </w:r>
            <w:proofErr w:type="spellStart"/>
            <w:r w:rsidRPr="00DE36D8">
              <w:t>scan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proofErr w:type="spellStart"/>
            <w:r w:rsidRPr="00DE36D8">
              <w:t>more</w:t>
            </w:r>
            <w:proofErr w:type="spellEnd"/>
            <w:r w:rsidRPr="00DE36D8">
              <w:t xml:space="preserve"> </w:t>
            </w:r>
            <w:proofErr w:type="spellStart"/>
            <w:r w:rsidRPr="00DE36D8">
              <w:t>sustainable</w:t>
            </w:r>
            <w:proofErr w:type="spellEnd"/>
            <w:r w:rsidRPr="00DE36D8">
              <w:t xml:space="preserve"> </w:t>
            </w:r>
            <w:proofErr w:type="spellStart"/>
            <w:r w:rsidRPr="00DE36D8">
              <w:t>solar</w:t>
            </w:r>
            <w:proofErr w:type="spellEnd"/>
            <w:r w:rsidRPr="00DE36D8">
              <w:t xml:space="preserve"> </w:t>
            </w:r>
            <w:proofErr w:type="spellStart"/>
            <w:r w:rsidRPr="00DE36D8">
              <w:t>panels</w:t>
            </w:r>
            <w:proofErr w:type="spellEnd"/>
          </w:p>
        </w:tc>
      </w:tr>
    </w:tbl>
    <w:p w14:paraId="7301633D" w14:textId="77777777" w:rsidR="008156C8" w:rsidRPr="0088732B" w:rsidRDefault="008156C8" w:rsidP="008156C8">
      <w:pPr>
        <w:pStyle w:val="BodyText1"/>
        <w:rPr>
          <w:rStyle w:val="SubtleEmphasis"/>
          <w:b w:val="0"/>
          <w:bCs w:val="0"/>
          <w:color w:val="auto"/>
        </w:rPr>
      </w:pPr>
      <w:r>
        <w:rPr>
          <w:rStyle w:val="SubtleEmphasis"/>
          <w:b w:val="0"/>
          <w:bCs w:val="0"/>
          <w:color w:val="auto"/>
        </w:rPr>
        <w:t xml:space="preserve">A </w:t>
      </w:r>
      <w:proofErr w:type="spellStart"/>
      <w:r>
        <w:rPr>
          <w:rStyle w:val="SubtleEmphasis"/>
          <w:b w:val="0"/>
          <w:bCs w:val="0"/>
          <w:color w:val="auto"/>
        </w:rPr>
        <w:t>draft</w:t>
      </w:r>
      <w:proofErr w:type="spellEnd"/>
      <w:r>
        <w:rPr>
          <w:rStyle w:val="SubtleEmphasis"/>
          <w:b w:val="0"/>
          <w:bCs w:val="0"/>
          <w:color w:val="auto"/>
        </w:rPr>
        <w:t xml:space="preserve"> </w:t>
      </w:r>
      <w:proofErr w:type="spellStart"/>
      <w:r>
        <w:rPr>
          <w:rStyle w:val="SubtleEmphasis"/>
          <w:b w:val="0"/>
          <w:bCs w:val="0"/>
          <w:color w:val="auto"/>
        </w:rPr>
        <w:t>of</w:t>
      </w:r>
      <w:proofErr w:type="spellEnd"/>
      <w:r>
        <w:rPr>
          <w:rStyle w:val="SubtleEmphasis"/>
          <w:b w:val="0"/>
          <w:bCs w:val="0"/>
          <w:color w:val="auto"/>
        </w:rPr>
        <w:t xml:space="preserve"> </w:t>
      </w:r>
      <w:proofErr w:type="spellStart"/>
      <w:r>
        <w:rPr>
          <w:rStyle w:val="SubtleEmphasis"/>
          <w:b w:val="0"/>
          <w:bCs w:val="0"/>
          <w:color w:val="auto"/>
        </w:rPr>
        <w:t>t</w:t>
      </w:r>
      <w:r w:rsidRPr="00F36F46">
        <w:rPr>
          <w:rStyle w:val="SubtleEmphasis"/>
          <w:b w:val="0"/>
          <w:bCs w:val="0"/>
          <w:color w:val="auto"/>
        </w:rPr>
        <w:t>he</w:t>
      </w:r>
      <w:proofErr w:type="spellEnd"/>
      <w:r w:rsidRPr="00F36F46">
        <w:rPr>
          <w:rStyle w:val="SubtleEmphasis"/>
          <w:b w:val="0"/>
          <w:bCs w:val="0"/>
          <w:color w:val="auto"/>
        </w:rPr>
        <w:t xml:space="preserve"> </w:t>
      </w:r>
      <w:r>
        <w:rPr>
          <w:rStyle w:val="SubtleEmphasis"/>
          <w:b w:val="0"/>
          <w:bCs w:val="0"/>
          <w:color w:val="auto"/>
        </w:rPr>
        <w:t>‘</w:t>
      </w:r>
      <w:proofErr w:type="spellStart"/>
      <w:r w:rsidRPr="00417768">
        <w:rPr>
          <w:i/>
          <w:iCs/>
        </w:rPr>
        <w:t>Template</w:t>
      </w:r>
      <w:proofErr w:type="spellEnd"/>
      <w:r w:rsidRPr="00417768">
        <w:rPr>
          <w:i/>
          <w:iCs/>
        </w:rPr>
        <w:t xml:space="preserve"> </w:t>
      </w:r>
      <w:proofErr w:type="spellStart"/>
      <w:r w:rsidRPr="00417768">
        <w:rPr>
          <w:i/>
          <w:iCs/>
        </w:rPr>
        <w:t>for</w:t>
      </w:r>
      <w:proofErr w:type="spellEnd"/>
      <w:r w:rsidRPr="00417768">
        <w:rPr>
          <w:i/>
          <w:iCs/>
        </w:rPr>
        <w:t xml:space="preserve">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w:t>
      </w:r>
      <w:proofErr w:type="spellStart"/>
      <w:r w:rsidRPr="00417768">
        <w:rPr>
          <w:i/>
          <w:iCs/>
        </w:rPr>
        <w:t>and</w:t>
      </w:r>
      <w:proofErr w:type="spellEnd"/>
      <w:r w:rsidRPr="00417768">
        <w:rPr>
          <w:i/>
          <w:iCs/>
        </w:rPr>
        <w:t xml:space="preserve">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w:t>
      </w:r>
      <w:proofErr w:type="spellStart"/>
      <w:r>
        <w:t>It</w:t>
      </w:r>
      <w:proofErr w:type="spellEnd"/>
      <w:r>
        <w:t xml:space="preserve"> </w:t>
      </w:r>
      <w:proofErr w:type="spellStart"/>
      <w:r>
        <w:t>is</w:t>
      </w:r>
      <w:proofErr w:type="spellEnd"/>
      <w:r>
        <w:t xml:space="preserve"> </w:t>
      </w:r>
      <w:proofErr w:type="spellStart"/>
      <w:r>
        <w:t>created</w:t>
      </w:r>
      <w:proofErr w:type="spellEnd"/>
      <w:r>
        <w:t xml:space="preserve"> </w:t>
      </w:r>
      <w:proofErr w:type="spellStart"/>
      <w:r>
        <w:t>as</w:t>
      </w:r>
      <w:proofErr w:type="spellEnd"/>
      <w:r>
        <w:t xml:space="preserve">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w:t>
      </w:r>
      <w:proofErr w:type="spellStart"/>
      <w:r>
        <w:t>be</w:t>
      </w:r>
      <w:proofErr w:type="spellEnd"/>
      <w:r>
        <w:t xml:space="preserve"> </w:t>
      </w:r>
      <w:proofErr w:type="spellStart"/>
      <w:r>
        <w:t>attached</w:t>
      </w:r>
      <w:proofErr w:type="spellEnd"/>
      <w:r>
        <w:t xml:space="preserve"> </w:t>
      </w:r>
      <w:proofErr w:type="spellStart"/>
      <w:r>
        <w:t>as</w:t>
      </w:r>
      <w:proofErr w:type="spellEnd"/>
      <w:r>
        <w:t xml:space="preserve"> </w:t>
      </w:r>
      <w:proofErr w:type="spellStart"/>
      <w:r>
        <w:t>in</w:t>
      </w:r>
      <w:proofErr w:type="spellEnd"/>
      <w:r>
        <w:t xml:space="preserve"> </w:t>
      </w:r>
      <w:proofErr w:type="spellStart"/>
      <w:r>
        <w:t>tender</w:t>
      </w:r>
      <w:proofErr w:type="spellEnd"/>
      <w:r>
        <w:t xml:space="preserve">/RFQ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w:t>
      </w:r>
      <w:proofErr w:type="spellStart"/>
      <w:r>
        <w:t>of</w:t>
      </w:r>
      <w:proofErr w:type="spellEnd"/>
      <w:r>
        <w:t xml:space="preserve">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17490B2E" w14:textId="77777777" w:rsidR="008156C8" w:rsidRPr="00F36F46" w:rsidRDefault="008156C8" w:rsidP="008156C8">
      <w:pPr>
        <w:pStyle w:val="BodyText1"/>
        <w:rPr>
          <w:rStyle w:val="SubtleEmphasis"/>
          <w:b w:val="0"/>
          <w:bCs w:val="0"/>
          <w:color w:val="auto"/>
        </w:rPr>
      </w:pPr>
    </w:p>
    <w:p w14:paraId="683EAC77" w14:textId="77777777" w:rsidR="008156C8" w:rsidRPr="00C42EE6" w:rsidRDefault="008156C8" w:rsidP="008156C8">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of</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476B3961" w14:textId="77777777" w:rsidR="008156C8" w:rsidRPr="004C0EBD" w:rsidRDefault="008156C8" w:rsidP="008156C8">
      <w:pPr>
        <w:pStyle w:val="BodyText1"/>
      </w:pPr>
      <w:r w:rsidRPr="006B1209">
        <w:rPr>
          <w:color w:val="104D54"/>
          <w:sz w:val="36"/>
          <w:szCs w:val="36"/>
        </w:rPr>
        <w:t xml:space="preserve"> </w:t>
      </w:r>
      <w:r w:rsidRPr="004C0EBD">
        <w:br/>
      </w:r>
      <w:proofErr w:type="spellStart"/>
      <w:r w:rsidRPr="004C0EBD">
        <w:t>The</w:t>
      </w:r>
      <w:proofErr w:type="spellEnd"/>
      <w:r w:rsidRPr="004C0EBD">
        <w:t xml:space="preserve"> </w:t>
      </w:r>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w:t>
      </w:r>
      <w:proofErr w:type="spellStart"/>
      <w:r w:rsidRPr="004C0EBD">
        <w:t>out</w:t>
      </w:r>
      <w:proofErr w:type="spellEnd"/>
      <w:r w:rsidRPr="004C0EBD">
        <w:t xml:space="preserve"> PV </w:t>
      </w:r>
      <w:proofErr w:type="spellStart"/>
      <w:r w:rsidRPr="004C0EBD">
        <w:t>projects</w:t>
      </w:r>
      <w:proofErr w:type="spellEnd"/>
      <w:r w:rsidRPr="004C0EBD">
        <w:t xml:space="preserve"> </w:t>
      </w:r>
      <w:proofErr w:type="spellStart"/>
      <w:r w:rsidRPr="004C0EBD">
        <w:t>offering</w:t>
      </w:r>
      <w:proofErr w:type="spellEnd"/>
      <w:r w:rsidRPr="004C0EBD">
        <w:t>:</w:t>
      </w:r>
    </w:p>
    <w:p w14:paraId="77852A82" w14:textId="77777777" w:rsidR="008156C8" w:rsidRPr="004C0EBD" w:rsidRDefault="008156C8" w:rsidP="008156C8">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4ABCA91F" w14:textId="77777777" w:rsidR="008156C8" w:rsidRPr="004C0EBD" w:rsidRDefault="008156C8" w:rsidP="008156C8">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42B0F9AE" w14:textId="77777777" w:rsidR="008156C8" w:rsidRPr="006B1209" w:rsidRDefault="008156C8" w:rsidP="008156C8">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1A6765E0" w14:textId="77777777" w:rsidR="008156C8" w:rsidRPr="004C0EBD" w:rsidRDefault="008156C8" w:rsidP="008156C8">
      <w:pPr>
        <w:pStyle w:val="ListParagraph"/>
        <w:ind w:left="709"/>
        <w:rPr>
          <w:sz w:val="21"/>
          <w:szCs w:val="21"/>
        </w:rPr>
      </w:pPr>
    </w:p>
    <w:p w14:paraId="0BBBF7CD" w14:textId="77777777" w:rsidR="008156C8" w:rsidRPr="001079C7" w:rsidRDefault="008156C8" w:rsidP="008156C8">
      <w:pPr>
        <w:pStyle w:val="MH3"/>
        <w:rPr>
          <w:rStyle w:val="SubtleEmphasis"/>
          <w:b/>
          <w:bCs w:val="0"/>
          <w:color w:val="104D54"/>
        </w:rPr>
      </w:pPr>
      <w:bookmarkStart w:id="51" w:name="_Toc180504628"/>
      <w:proofErr w:type="spellStart"/>
      <w:r>
        <w:rPr>
          <w:rStyle w:val="SubtleEmphasis"/>
          <w:b/>
          <w:bCs w:val="0"/>
          <w:color w:val="104D54"/>
        </w:rPr>
        <w:t>Why</w:t>
      </w:r>
      <w:bookmarkEnd w:id="51"/>
      <w:proofErr w:type="spellEnd"/>
      <w:r w:rsidRPr="001079C7">
        <w:rPr>
          <w:rStyle w:val="SubtleEmphasis"/>
          <w:b/>
          <w:bCs w:val="0"/>
          <w:color w:val="104D54"/>
        </w:rPr>
        <w:t xml:space="preserve"> </w:t>
      </w:r>
    </w:p>
    <w:p w14:paraId="451E3A81" w14:textId="77777777" w:rsidR="008156C8" w:rsidRPr="006B1209" w:rsidRDefault="008156C8" w:rsidP="008156C8">
      <w:pPr>
        <w:pStyle w:val="BodyText1"/>
      </w:pPr>
      <w:r w:rsidRPr="006B1209">
        <w:t xml:space="preserve">PV </w:t>
      </w:r>
      <w:proofErr w:type="spellStart"/>
      <w:r w:rsidRPr="006B1209">
        <w:t>projects</w:t>
      </w:r>
      <w:proofErr w:type="spellEnd"/>
      <w:r w:rsidRPr="006B1209">
        <w:t xml:space="preserve"> </w:t>
      </w:r>
      <w:proofErr w:type="spellStart"/>
      <w:r w:rsidRPr="006B1209">
        <w:t>are</w:t>
      </w:r>
      <w:proofErr w:type="spellEnd"/>
      <w:r w:rsidRPr="006B1209">
        <w:t xml:space="preserv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w:t>
      </w:r>
      <w:proofErr w:type="spellStart"/>
      <w:r w:rsidRPr="006B1209">
        <w:t>for</w:t>
      </w:r>
      <w:proofErr w:type="spellEnd"/>
      <w:r w:rsidRPr="006B1209">
        <w:t xml:space="preserve">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w:t>
      </w:r>
      <w:proofErr w:type="spellStart"/>
      <w:r w:rsidRPr="006B1209">
        <w:t>of</w:t>
      </w:r>
      <w:proofErr w:type="spellEnd"/>
      <w:r w:rsidRPr="006B1209">
        <w:t xml:space="preserve"> </w:t>
      </w:r>
      <w:proofErr w:type="spellStart"/>
      <w:r w:rsidRPr="006B1209">
        <w:t>solar</w:t>
      </w:r>
      <w:proofErr w:type="spellEnd"/>
      <w:r w:rsidRPr="006B1209">
        <w:t xml:space="preserve"> </w:t>
      </w:r>
      <w:proofErr w:type="spellStart"/>
      <w:r w:rsidRPr="006B1209">
        <w:t>panels</w:t>
      </w:r>
      <w:proofErr w:type="spellEnd"/>
      <w:r w:rsidRPr="006B1209">
        <w:t xml:space="preserve"> </w:t>
      </w:r>
      <w:proofErr w:type="spellStart"/>
      <w:r w:rsidRPr="006B1209">
        <w:t>themselves</w:t>
      </w:r>
      <w:proofErr w:type="spellEnd"/>
      <w:r w:rsidRPr="006B1209">
        <w:t xml:space="preserve"> </w:t>
      </w:r>
      <w:proofErr w:type="spellStart"/>
      <w:r w:rsidRPr="006B1209">
        <w:t>are</w:t>
      </w:r>
      <w:proofErr w:type="spellEnd"/>
      <w:r w:rsidRPr="006B1209">
        <w:t xml:space="preserve"> </w:t>
      </w:r>
      <w:proofErr w:type="spellStart"/>
      <w:r w:rsidRPr="006B1209">
        <w:t>often</w:t>
      </w:r>
      <w:proofErr w:type="spellEnd"/>
      <w:r w:rsidRPr="006B1209">
        <w:t xml:space="preserve"> </w:t>
      </w:r>
      <w:proofErr w:type="spellStart"/>
      <w:r w:rsidRPr="006B1209">
        <w:t>not</w:t>
      </w:r>
      <w:proofErr w:type="spellEnd"/>
      <w:r w:rsidRPr="006B1209">
        <w:t xml:space="preserve">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w:t>
      </w:r>
      <w:proofErr w:type="spellStart"/>
      <w:r w:rsidRPr="006B1209">
        <w:t>of</w:t>
      </w:r>
      <w:proofErr w:type="spellEnd"/>
      <w:r w:rsidRPr="006B1209">
        <w:t xml:space="preserve"> </w:t>
      </w:r>
      <w:proofErr w:type="spellStart"/>
      <w:r w:rsidRPr="006B1209">
        <w:t>the</w:t>
      </w:r>
      <w:proofErr w:type="spellEnd"/>
      <w:r w:rsidRPr="006B1209">
        <w:t xml:space="preserve"> </w:t>
      </w:r>
      <w:proofErr w:type="spellStart"/>
      <w:r w:rsidRPr="006B1209">
        <w:t>use</w:t>
      </w:r>
      <w:proofErr w:type="spellEnd"/>
      <w:r w:rsidRPr="006B1209">
        <w:t xml:space="preserve"> </w:t>
      </w:r>
      <w:proofErr w:type="spellStart"/>
      <w:r w:rsidRPr="006B1209">
        <w:t>of</w:t>
      </w:r>
      <w:proofErr w:type="spellEnd"/>
      <w:r w:rsidRPr="006B1209">
        <w:t xml:space="preserve"> PFAS </w:t>
      </w:r>
      <w:proofErr w:type="spellStart"/>
      <w:r w:rsidRPr="006B1209">
        <w:t>and</w:t>
      </w:r>
      <w:proofErr w:type="spellEnd"/>
      <w:r w:rsidRPr="006B1209">
        <w:t xml:space="preserve">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w:t>
      </w:r>
      <w:proofErr w:type="spellStart"/>
      <w:r w:rsidRPr="006B1209">
        <w:t>and</w:t>
      </w:r>
      <w:proofErr w:type="spellEnd"/>
      <w:r w:rsidRPr="006B1209">
        <w:t xml:space="preserve">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33B74832" w14:textId="77777777" w:rsidR="008156C8" w:rsidRPr="006B1209" w:rsidRDefault="008156C8" w:rsidP="008156C8">
      <w:pPr>
        <w:pStyle w:val="BodyText1"/>
      </w:pPr>
    </w:p>
    <w:p w14:paraId="19597E22" w14:textId="77777777" w:rsidR="008156C8" w:rsidRPr="004C0EBD" w:rsidRDefault="008156C8" w:rsidP="008156C8"/>
    <w:p w14:paraId="19489B45" w14:textId="77777777" w:rsidR="008156C8" w:rsidRPr="001079C7" w:rsidRDefault="008156C8" w:rsidP="008156C8">
      <w:pPr>
        <w:pStyle w:val="MH3"/>
        <w:rPr>
          <w:rStyle w:val="SubtleEmphasis"/>
          <w:b/>
          <w:bCs w:val="0"/>
          <w:color w:val="104D54"/>
        </w:rPr>
      </w:pPr>
      <w:bookmarkStart w:id="52" w:name="_Toc180504629"/>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w:t>
      </w:r>
      <w:proofErr w:type="spellStart"/>
      <w:r w:rsidRPr="001079C7">
        <w:rPr>
          <w:rStyle w:val="SubtleEmphasis"/>
          <w:b/>
          <w:bCs w:val="0"/>
          <w:color w:val="104D54"/>
        </w:rPr>
        <w:t>email</w:t>
      </w:r>
      <w:proofErr w:type="spellEnd"/>
      <w:r w:rsidRPr="001079C7">
        <w:rPr>
          <w:rStyle w:val="SubtleEmphasis"/>
          <w:b/>
          <w:bCs w:val="0"/>
          <w:color w:val="104D54"/>
        </w:rPr>
        <w:t xml:space="preserve"> </w:t>
      </w:r>
      <w:proofErr w:type="spellStart"/>
      <w:r w:rsidRPr="001079C7">
        <w:rPr>
          <w:rStyle w:val="SubtleEmphasis"/>
          <w:b/>
          <w:bCs w:val="0"/>
          <w:color w:val="104D54"/>
        </w:rPr>
        <w:t>to</w:t>
      </w:r>
      <w:proofErr w:type="spellEnd"/>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52"/>
      <w:r>
        <w:rPr>
          <w:rStyle w:val="SubtleEmphasis"/>
          <w:b/>
          <w:bCs w:val="0"/>
          <w:color w:val="104D54"/>
        </w:rPr>
        <w:t xml:space="preserve"> </w:t>
      </w:r>
    </w:p>
    <w:p w14:paraId="11797365" w14:textId="77777777" w:rsidR="008156C8" w:rsidRPr="006B1209" w:rsidRDefault="008156C8" w:rsidP="008156C8">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w:t>
      </w:r>
      <w:proofErr w:type="spellStart"/>
      <w:r>
        <w:t>draft</w:t>
      </w:r>
      <w:proofErr w:type="spellEnd"/>
      <w:r>
        <w:t xml:space="preserve"> </w:t>
      </w:r>
      <w:proofErr w:type="spellStart"/>
      <w:r w:rsidRPr="006B1209">
        <w:t>version</w:t>
      </w:r>
      <w:proofErr w:type="spellEnd"/>
      <w:r>
        <w:t>/</w:t>
      </w:r>
      <w:r w:rsidRPr="006B1209">
        <w:t xml:space="preserve"> </w:t>
      </w:r>
      <w:r>
        <w:t xml:space="preserve">. </w:t>
      </w:r>
      <w:proofErr w:type="spellStart"/>
      <w:r>
        <w:t>It</w:t>
      </w:r>
      <w:proofErr w:type="spellEnd"/>
      <w:r>
        <w:t xml:space="preserve"> </w:t>
      </w:r>
      <w:proofErr w:type="spellStart"/>
      <w:r>
        <w:t>was</w:t>
      </w:r>
      <w:proofErr w:type="spellEnd"/>
      <w:r>
        <w:t xml:space="preserve"> </w:t>
      </w:r>
      <w:proofErr w:type="spellStart"/>
      <w:r>
        <w:t>created</w:t>
      </w:r>
      <w:proofErr w:type="spellEnd"/>
      <w:r>
        <w:t xml:space="preserve"> </w:t>
      </w:r>
      <w:proofErr w:type="spellStart"/>
      <w:r>
        <w:t>in</w:t>
      </w:r>
      <w:proofErr w:type="spellEnd"/>
      <w:r>
        <w:t xml:space="preserve"> </w:t>
      </w:r>
      <w:proofErr w:type="spellStart"/>
      <w:r>
        <w:t>the</w:t>
      </w:r>
      <w:proofErr w:type="spellEnd"/>
      <w:r>
        <w:t xml:space="preserve"> </w:t>
      </w:r>
      <w:proofErr w:type="spellStart"/>
      <w:r>
        <w:t>Netherlands</w:t>
      </w:r>
      <w:proofErr w:type="spellEnd"/>
      <w:r>
        <w:t xml:space="preserve"> </w:t>
      </w:r>
      <w:proofErr w:type="spellStart"/>
      <w:r>
        <w:t>and</w:t>
      </w:r>
      <w:proofErr w:type="spellEnd"/>
      <w:r>
        <w:t xml:space="preserve"> </w:t>
      </w:r>
      <w:proofErr w:type="spellStart"/>
      <w:r>
        <w:t>thereafter</w:t>
      </w:r>
      <w:proofErr w:type="spellEnd"/>
      <w:r>
        <w:t xml:space="preserve"> </w:t>
      </w:r>
      <w:proofErr w:type="spellStart"/>
      <w:r>
        <w:t>auto-translated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w:t>
      </w:r>
      <w:proofErr w:type="spellStart"/>
      <w:r>
        <w:t>native</w:t>
      </w:r>
      <w:proofErr w:type="spellEnd"/>
      <w:r>
        <w:t xml:space="preser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w:t>
      </w:r>
      <w:proofErr w:type="spellStart"/>
      <w:r>
        <w:t>be</w:t>
      </w:r>
      <w:proofErr w:type="spellEnd"/>
      <w:r>
        <w:t xml:space="preserve"> </w:t>
      </w:r>
      <w:proofErr w:type="spellStart"/>
      <w:r>
        <w:t>used</w:t>
      </w:r>
      <w:proofErr w:type="spellEnd"/>
      <w:r>
        <w:t xml:space="preserve">. </w:t>
      </w:r>
      <w:proofErr w:type="spellStart"/>
      <w:r>
        <w:t>Further</w:t>
      </w:r>
      <w:proofErr w:type="spellEnd"/>
      <w:r>
        <w:t xml:space="preserve">, </w:t>
      </w:r>
      <w:proofErr w:type="spellStart"/>
      <w:r>
        <w:t>in</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w:t>
      </w:r>
      <w:proofErr w:type="spellStart"/>
      <w:r>
        <w:t>and</w:t>
      </w:r>
      <w:proofErr w:type="spellEnd"/>
      <w:r>
        <w:t xml:space="preserve"> </w:t>
      </w:r>
      <w:proofErr w:type="spellStart"/>
      <w:r>
        <w:t>subsidies</w:t>
      </w:r>
      <w:proofErr w:type="spellEnd"/>
      <w:r>
        <w:t xml:space="preserve"> </w:t>
      </w:r>
      <w:proofErr w:type="spellStart"/>
      <w:r>
        <w:t>will</w:t>
      </w:r>
      <w:proofErr w:type="spellEnd"/>
      <w:r>
        <w:t xml:space="preserve"> </w:t>
      </w:r>
      <w:proofErr w:type="spellStart"/>
      <w:r>
        <w:t>be</w:t>
      </w:r>
      <w:proofErr w:type="spellEnd"/>
      <w:r>
        <w:t xml:space="preserv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w:t>
      </w:r>
      <w:proofErr w:type="spellStart"/>
      <w:r>
        <w:t>in</w:t>
      </w:r>
      <w:proofErr w:type="spellEnd"/>
      <w:r>
        <w:t xml:space="preserve">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w:t>
      </w:r>
      <w:proofErr w:type="spellStart"/>
      <w:r>
        <w:t>auto-translated</w:t>
      </w:r>
      <w:proofErr w:type="spellEnd"/>
      <w:r>
        <w:t xml:space="preserve">. </w:t>
      </w:r>
      <w:proofErr w:type="spellStart"/>
      <w:r>
        <w:t>So</w:t>
      </w:r>
      <w:proofErr w:type="spellEnd"/>
      <w:r>
        <w:t xml:space="preserve">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w:t>
      </w:r>
      <w:proofErr w:type="spellStart"/>
      <w:r>
        <w:t>and</w:t>
      </w:r>
      <w:proofErr w:type="spellEnd"/>
      <w:r>
        <w:t xml:space="preserve"> </w:t>
      </w:r>
      <w:proofErr w:type="spellStart"/>
      <w:r>
        <w:t>needs</w:t>
      </w:r>
      <w:proofErr w:type="spellEnd"/>
      <w:r>
        <w:t xml:space="preserve"> </w:t>
      </w:r>
      <w:proofErr w:type="spellStart"/>
      <w:r>
        <w:t>to</w:t>
      </w:r>
      <w:proofErr w:type="spellEnd"/>
      <w:r>
        <w:t xml:space="preserve"> </w:t>
      </w:r>
      <w:proofErr w:type="spellStart"/>
      <w:r>
        <w:t>be</w:t>
      </w:r>
      <w:proofErr w:type="spellEnd"/>
      <w:r>
        <w:t xml:space="preserve"> </w:t>
      </w:r>
      <w:proofErr w:type="spellStart"/>
      <w:r>
        <w:t>improved</w:t>
      </w:r>
      <w:proofErr w:type="spellEnd"/>
      <w:r>
        <w:t xml:space="preserve">. </w:t>
      </w:r>
      <w:proofErr w:type="spellStart"/>
      <w:r>
        <w:t>In</w:t>
      </w:r>
      <w:proofErr w:type="spellEnd"/>
      <w:r>
        <w:t xml:space="preserve">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w:t>
      </w:r>
      <w:proofErr w:type="spellStart"/>
      <w:r>
        <w:t>in</w:t>
      </w:r>
      <w:proofErr w:type="spellEnd"/>
      <w:r>
        <w:t xml:space="preserve">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w:t>
      </w:r>
      <w:proofErr w:type="spellStart"/>
      <w:r>
        <w:t>of</w:t>
      </w:r>
      <w:proofErr w:type="spellEnd"/>
      <w:r>
        <w:t xml:space="preserve"> </w:t>
      </w:r>
      <w:proofErr w:type="spellStart"/>
      <w:r>
        <w:t>consultants</w:t>
      </w:r>
      <w:proofErr w:type="spellEnd"/>
      <w:r>
        <w:t>/</w:t>
      </w:r>
      <w:proofErr w:type="spellStart"/>
      <w:r>
        <w:t>experts</w:t>
      </w:r>
      <w:proofErr w:type="spellEnd"/>
      <w:r>
        <w:t xml:space="preserve"> </w:t>
      </w:r>
      <w:proofErr w:type="spellStart"/>
      <w:r>
        <w:t>need</w:t>
      </w:r>
      <w:proofErr w:type="spellEnd"/>
      <w:r>
        <w:t xml:space="preserve"> </w:t>
      </w:r>
      <w:proofErr w:type="spellStart"/>
      <w:r>
        <w:t>to</w:t>
      </w:r>
      <w:proofErr w:type="spellEnd"/>
      <w:r>
        <w:t xml:space="preserve">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w:t>
      </w:r>
      <w:proofErr w:type="spellStart"/>
      <w:r>
        <w:t>as</w:t>
      </w:r>
      <w:proofErr w:type="spellEnd"/>
      <w:r>
        <w:t xml:space="preserve"> </w:t>
      </w:r>
      <w:proofErr w:type="spellStart"/>
      <w:r>
        <w:t>these</w:t>
      </w:r>
      <w:proofErr w:type="spellEnd"/>
      <w:r>
        <w:t xml:space="preserve"> </w:t>
      </w:r>
      <w:proofErr w:type="spellStart"/>
      <w:r>
        <w:t>are</w:t>
      </w:r>
      <w:proofErr w:type="spellEnd"/>
      <w:r>
        <w:t xml:space="preserve"> </w:t>
      </w:r>
      <w:proofErr w:type="spellStart"/>
      <w:r>
        <w:t>mostly</w:t>
      </w:r>
      <w:proofErr w:type="spellEnd"/>
      <w:r>
        <w:t xml:space="preserve"> </w:t>
      </w:r>
      <w:proofErr w:type="spellStart"/>
      <w:r>
        <w:t>Dutch</w:t>
      </w:r>
      <w:proofErr w:type="spellEnd"/>
      <w:r>
        <w:t xml:space="preserve"> </w:t>
      </w:r>
      <w:proofErr w:type="spellStart"/>
      <w:r>
        <w:t>organisations</w:t>
      </w:r>
      <w:proofErr w:type="spellEnd"/>
      <w:r>
        <w:t xml:space="preserve">. </w:t>
      </w:r>
      <w:proofErr w:type="spellStart"/>
      <w:r>
        <w:t>It</w:t>
      </w:r>
      <w:proofErr w:type="spellEnd"/>
      <w:r>
        <w:t xml:space="preserve">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w:t>
      </w:r>
      <w:proofErr w:type="spellStart"/>
      <w:r>
        <w:t>if</w:t>
      </w:r>
      <w:proofErr w:type="spellEnd"/>
      <w:r>
        <w:t xml:space="preserve"> </w:t>
      </w:r>
      <w:proofErr w:type="spellStart"/>
      <w:r>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w:t>
      </w:r>
      <w:proofErr w:type="spellStart"/>
      <w:r>
        <w:t>solar</w:t>
      </w:r>
      <w:proofErr w:type="spellEnd"/>
      <w:r>
        <w:t xml:space="preserve"> </w:t>
      </w:r>
      <w:proofErr w:type="spellStart"/>
      <w:r>
        <w:t>trade</w:t>
      </w:r>
      <w:proofErr w:type="spellEnd"/>
      <w:r>
        <w:t xml:space="preserve"> </w:t>
      </w:r>
      <w:proofErr w:type="spellStart"/>
      <w:r>
        <w:t>association</w:t>
      </w:r>
      <w:proofErr w:type="spellEnd"/>
      <w:r>
        <w:t xml:space="preserve"> </w:t>
      </w:r>
      <w:proofErr w:type="spellStart"/>
      <w:r>
        <w:t>in</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7B4CAE8C" w14:textId="77777777" w:rsidR="008156C8" w:rsidRPr="004C0EBD" w:rsidRDefault="008156C8" w:rsidP="008156C8"/>
    <w:p w14:paraId="47D12E4A" w14:textId="77777777" w:rsidR="008156C8" w:rsidRPr="001079C7" w:rsidRDefault="008156C8" w:rsidP="008156C8">
      <w:pPr>
        <w:pStyle w:val="MH3"/>
        <w:rPr>
          <w:rStyle w:val="SubtleEmphasis"/>
          <w:b/>
          <w:bCs w:val="0"/>
          <w:color w:val="104D54"/>
        </w:rPr>
      </w:pPr>
      <w:bookmarkStart w:id="53" w:name="_Toc180504630"/>
      <w:proofErr w:type="spellStart"/>
      <w:r w:rsidRPr="001079C7">
        <w:rPr>
          <w:rStyle w:val="SubtleEmphasis"/>
          <w:b/>
          <w:bCs w:val="0"/>
          <w:color w:val="104D54"/>
        </w:rPr>
        <w:t>Responsibility</w:t>
      </w:r>
      <w:bookmarkEnd w:id="53"/>
      <w:proofErr w:type="spellEnd"/>
    </w:p>
    <w:p w14:paraId="3EE9A96B" w14:textId="77777777" w:rsidR="008156C8" w:rsidRPr="004C0EBD" w:rsidRDefault="008156C8" w:rsidP="008156C8">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initiative</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t>Dutch</w:t>
      </w:r>
      <w:proofErr w:type="spellEnd"/>
      <w:r>
        <w:t xml:space="preserve"> </w:t>
      </w:r>
      <w:proofErr w:type="spellStart"/>
      <w:r>
        <w:t>Public</w:t>
      </w:r>
      <w:proofErr w:type="spellEnd"/>
      <w:r>
        <w:t xml:space="preserve"> </w:t>
      </w:r>
      <w:proofErr w:type="spellStart"/>
      <w:r w:rsidRPr="004C0EBD">
        <w:t>Buyers</w:t>
      </w:r>
      <w:proofErr w:type="spellEnd"/>
      <w:r w:rsidRPr="004C0EBD">
        <w:t xml:space="preserve"> Group </w:t>
      </w:r>
      <w:proofErr w:type="spellStart"/>
      <w:r w:rsidRPr="004C0EBD">
        <w:t>for</w:t>
      </w:r>
      <w:proofErr w:type="spellEnd"/>
      <w:r w:rsidRPr="004C0EBD">
        <w:t xml:space="preserve">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Group </w:t>
      </w:r>
      <w:proofErr w:type="spellStart"/>
      <w:r w:rsidRPr="004C0EBD">
        <w:t>consists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Dutch</w:t>
      </w:r>
      <w:proofErr w:type="spellEnd"/>
      <w:r w:rsidRPr="004C0EBD">
        <w:t xml:space="preserve"> </w:t>
      </w:r>
      <w:proofErr w:type="spellStart"/>
      <w:r w:rsidRPr="004C0EBD">
        <w:t>Public</w:t>
      </w:r>
      <w:proofErr w:type="spellEnd"/>
      <w:r w:rsidRPr="004C0EBD">
        <w:t xml:space="preserve"> </w:t>
      </w:r>
      <w:proofErr w:type="spellStart"/>
      <w:r w:rsidRPr="004C0EBD">
        <w:t>Procurement</w:t>
      </w:r>
      <w:proofErr w:type="spellEnd"/>
      <w:r w:rsidRPr="004C0EBD">
        <w:t xml:space="preserve"> </w:t>
      </w:r>
      <w:proofErr w:type="spellStart"/>
      <w:r w:rsidRPr="004C0EBD">
        <w:t>Expertise</w:t>
      </w:r>
      <w:proofErr w:type="spellEnd"/>
      <w:r w:rsidRPr="004C0EBD">
        <w:t xml:space="preserve"> </w:t>
      </w:r>
      <w:proofErr w:type="spellStart"/>
      <w:r w:rsidRPr="004C0EBD">
        <w:t>Centre</w:t>
      </w:r>
      <w:proofErr w:type="spellEnd"/>
      <w:r w:rsidRPr="004C0EBD">
        <w:t xml:space="preserve">, </w:t>
      </w:r>
      <w:proofErr w:type="spellStart"/>
      <w:r w:rsidRPr="004C0EBD">
        <w:t>PIANOo</w:t>
      </w:r>
      <w:proofErr w:type="spellEnd"/>
      <w:r w:rsidRPr="004C0EBD">
        <w:t xml:space="preserve">, </w:t>
      </w:r>
      <w:proofErr w:type="spellStart"/>
      <w:r w:rsidRPr="004C0EBD">
        <w:t>and</w:t>
      </w:r>
      <w:proofErr w:type="spellEnd"/>
      <w:r w:rsidRPr="004C0EBD">
        <w:t xml:space="preserve"> </w:t>
      </w:r>
      <w:proofErr w:type="spellStart"/>
      <w:r w:rsidRPr="004C0EBD">
        <w:t>is</w:t>
      </w:r>
      <w:proofErr w:type="spellEnd"/>
      <w:r w:rsidRPr="004C0EBD">
        <w:t xml:space="preserve"> </w:t>
      </w:r>
      <w:proofErr w:type="spellStart"/>
      <w:r w:rsidRPr="004C0EBD">
        <w:t>made</w:t>
      </w:r>
      <w:proofErr w:type="spellEnd"/>
      <w:r w:rsidRPr="004C0EBD">
        <w:t xml:space="preserve"> </w:t>
      </w:r>
      <w:proofErr w:type="spellStart"/>
      <w:r w:rsidRPr="004C0EBD">
        <w:t>possible</w:t>
      </w:r>
      <w:proofErr w:type="spellEnd"/>
      <w:r w:rsidRPr="004C0EBD">
        <w:t xml:space="preserve"> </w:t>
      </w:r>
      <w:proofErr w:type="spellStart"/>
      <w:r w:rsidRPr="004C0EBD">
        <w:t>by</w:t>
      </w:r>
      <w:proofErr w:type="spellEnd"/>
      <w:r w:rsidRPr="004C0EBD">
        <w:t xml:space="preserve"> </w:t>
      </w:r>
      <w:proofErr w:type="spellStart"/>
      <w:r w:rsidRPr="004C0EBD">
        <w:t>the</w:t>
      </w:r>
      <w:proofErr w:type="spellEnd"/>
      <w:r w:rsidRPr="004C0EBD">
        <w:t xml:space="preserve"> </w:t>
      </w:r>
      <w:proofErr w:type="spellStart"/>
      <w:r w:rsidRPr="004C0EBD">
        <w:t>Ministry</w:t>
      </w:r>
      <w:proofErr w:type="spellEnd"/>
      <w:r w:rsidRPr="004C0EBD">
        <w:t xml:space="preserve"> </w:t>
      </w:r>
      <w:proofErr w:type="spellStart"/>
      <w:r w:rsidRPr="004C0EBD">
        <w:t>of</w:t>
      </w:r>
      <w:proofErr w:type="spellEnd"/>
      <w:r w:rsidRPr="004C0EBD">
        <w:t xml:space="preserve"> </w:t>
      </w:r>
      <w:proofErr w:type="spellStart"/>
      <w:r w:rsidRPr="004C0EBD">
        <w:t>Infrastructure</w:t>
      </w:r>
      <w:proofErr w:type="spellEnd"/>
      <w:r w:rsidRPr="004C0EBD">
        <w:t xml:space="preserve"> </w:t>
      </w:r>
      <w:proofErr w:type="spellStart"/>
      <w:r w:rsidRPr="004C0EBD">
        <w:t>and</w:t>
      </w:r>
      <w:proofErr w:type="spellEnd"/>
      <w:r w:rsidRPr="004C0EBD">
        <w:t xml:space="preserve"> </w:t>
      </w:r>
      <w:proofErr w:type="spellStart"/>
      <w:r w:rsidRPr="004C0EBD">
        <w:t>Water</w:t>
      </w:r>
      <w:proofErr w:type="spellEnd"/>
      <w:r w:rsidRPr="004C0EBD">
        <w:t xml:space="preserve"> </w:t>
      </w:r>
      <w:proofErr w:type="spellStart"/>
      <w:r w:rsidRPr="004C0EBD">
        <w:t>Management</w:t>
      </w:r>
      <w:proofErr w:type="spellEnd"/>
      <w:r w:rsidRPr="004C0EBD">
        <w:t xml:space="preserve">. . </w:t>
      </w:r>
      <w:proofErr w:type="spellStart"/>
      <w:r w:rsidRPr="004C0EBD">
        <w:t>The</w:t>
      </w:r>
      <w:proofErr w:type="spellEnd"/>
      <w:r w:rsidRPr="004C0EBD">
        <w:t xml:space="preserve"> </w:t>
      </w:r>
      <w:proofErr w:type="spellStart"/>
      <w:r w:rsidRPr="004C0EBD">
        <w:t>Buyers</w:t>
      </w:r>
      <w:proofErr w:type="spellEnd"/>
      <w:r w:rsidRPr="004C0EBD">
        <w:t xml:space="preserve">’ Group </w:t>
      </w:r>
      <w:proofErr w:type="spellStart"/>
      <w:r w:rsidRPr="004C0EBD">
        <w:t>is</w:t>
      </w:r>
      <w:proofErr w:type="spellEnd"/>
      <w:r w:rsidRPr="004C0EBD">
        <w:t xml:space="preserve"> </w:t>
      </w:r>
      <w:proofErr w:type="spellStart"/>
      <w:r w:rsidRPr="004C0EBD">
        <w:t>headed</w:t>
      </w:r>
      <w:proofErr w:type="spellEnd"/>
      <w:r w:rsidRPr="004C0EBD">
        <w:t xml:space="preserve"> </w:t>
      </w:r>
      <w:proofErr w:type="spellStart"/>
      <w:r w:rsidRPr="004C0EBD">
        <w:t>by</w:t>
      </w:r>
      <w:proofErr w:type="spellEnd"/>
      <w:r w:rsidRPr="004C0EBD">
        <w:t xml:space="preserve"> </w:t>
      </w:r>
      <w:proofErr w:type="spellStart"/>
      <w:r w:rsidRPr="004C0EBD">
        <w:t>Bart-Jeroen</w:t>
      </w:r>
      <w:proofErr w:type="spellEnd"/>
      <w:r w:rsidRPr="004C0EBD">
        <w:t xml:space="preserve"> </w:t>
      </w:r>
      <w:proofErr w:type="spellStart"/>
      <w:r w:rsidRPr="004C0EBD">
        <w:t>Bierens</w:t>
      </w:r>
      <w:proofErr w:type="spellEnd"/>
      <w:r w:rsidRPr="004C0EBD">
        <w:t xml:space="preserve"> </w:t>
      </w:r>
      <w:proofErr w:type="spellStart"/>
      <w:r w:rsidRPr="004C0EBD">
        <w:t>and</w:t>
      </w:r>
      <w:proofErr w:type="spellEnd"/>
      <w:r w:rsidRPr="004C0EBD">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Enterprise </w:t>
      </w:r>
      <w:proofErr w:type="spellStart"/>
      <w:r w:rsidRPr="004C0EBD">
        <w:t>Agency</w:t>
      </w:r>
      <w:proofErr w:type="spellEnd"/>
      <w:r w:rsidRPr="004C0EBD">
        <w:t xml:space="preserve"> .</w:t>
      </w:r>
    </w:p>
    <w:p w14:paraId="2515543A" w14:textId="77777777" w:rsidR="008156C8" w:rsidRPr="004C0EBD" w:rsidRDefault="008156C8" w:rsidP="008156C8">
      <w:pPr>
        <w:rPr>
          <w:rFonts w:eastAsia="Calibri"/>
        </w:rPr>
      </w:pPr>
    </w:p>
    <w:p w14:paraId="3E4CED31" w14:textId="77777777" w:rsidR="008156C8" w:rsidRPr="001079C7" w:rsidRDefault="008156C8" w:rsidP="008156C8">
      <w:pPr>
        <w:pStyle w:val="MH3"/>
        <w:rPr>
          <w:rStyle w:val="SubtleEmphasis"/>
          <w:b/>
          <w:bCs w:val="0"/>
          <w:color w:val="104D54"/>
        </w:rPr>
      </w:pPr>
      <w:bookmarkStart w:id="54" w:name="_Toc180504631"/>
      <w:proofErr w:type="spellStart"/>
      <w:r w:rsidRPr="001079C7">
        <w:rPr>
          <w:rStyle w:val="SubtleEmphasis"/>
          <w:b/>
          <w:bCs w:val="0"/>
          <w:color w:val="104D54"/>
        </w:rPr>
        <w:t>Disclaimer</w:t>
      </w:r>
      <w:bookmarkEnd w:id="54"/>
      <w:proofErr w:type="spellEnd"/>
      <w:r w:rsidRPr="001079C7">
        <w:rPr>
          <w:rStyle w:val="SubtleEmphasis"/>
          <w:b/>
          <w:bCs w:val="0"/>
          <w:color w:val="104D54"/>
        </w:rPr>
        <w:t xml:space="preserve"> </w:t>
      </w:r>
    </w:p>
    <w:p w14:paraId="28344C84" w14:textId="77777777" w:rsidR="008156C8" w:rsidRPr="004C0EBD" w:rsidRDefault="008156C8" w:rsidP="008156C8">
      <w:pPr>
        <w:pStyle w:val="BodyText1"/>
        <w:rPr>
          <w:rFonts w:eastAsia="Calibri"/>
          <w:szCs w:val="21"/>
        </w:rPr>
      </w:pPr>
      <w:proofErr w:type="spellStart"/>
      <w:r w:rsidRPr="004C0EBD">
        <w:t>The</w:t>
      </w:r>
      <w:proofErr w:type="spellEnd"/>
      <w:r w:rsidRPr="004C0EBD">
        <w:t xml:space="preserve"> </w:t>
      </w:r>
      <w:proofErr w:type="spellStart"/>
      <w:r w:rsidRPr="004C0EBD">
        <w:t>purpose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provide</w:t>
      </w:r>
      <w:proofErr w:type="spellEnd"/>
      <w:r w:rsidRPr="004C0EBD">
        <w:t xml:space="preserve"> </w:t>
      </w:r>
      <w:proofErr w:type="spellStart"/>
      <w:r w:rsidRPr="004C0EBD">
        <w:t>assistance</w:t>
      </w:r>
      <w:proofErr w:type="spellEnd"/>
      <w:r w:rsidRPr="004C0EBD">
        <w:t xml:space="preserve"> </w:t>
      </w:r>
      <w:proofErr w:type="spellStart"/>
      <w:r w:rsidRPr="004C0EBD">
        <w:t>and</w:t>
      </w:r>
      <w:proofErr w:type="spellEnd"/>
      <w:r w:rsidRPr="004C0EBD">
        <w:t xml:space="preserve"> </w:t>
      </w:r>
      <w:proofErr w:type="spellStart"/>
      <w:r w:rsidRPr="004C0EBD">
        <w:t>support</w:t>
      </w:r>
      <w:proofErr w:type="spellEnd"/>
      <w:r w:rsidRPr="004C0EBD">
        <w:t xml:space="preserve"> </w:t>
      </w:r>
      <w:proofErr w:type="spellStart"/>
      <w:r w:rsidRPr="004C0EBD">
        <w:t>to</w:t>
      </w:r>
      <w:proofErr w:type="spellEnd"/>
      <w:r w:rsidRPr="004C0EBD">
        <w:t xml:space="preserve"> </w:t>
      </w:r>
      <w:proofErr w:type="spellStart"/>
      <w:r>
        <w:t>private</w:t>
      </w:r>
      <w:proofErr w:type="spellEnd"/>
      <w:r>
        <w:t xml:space="preserve"> </w:t>
      </w:r>
      <w:proofErr w:type="spellStart"/>
      <w:r>
        <w:t>organisations</w:t>
      </w:r>
      <w:proofErr w:type="spellEnd"/>
      <w:r>
        <w:t xml:space="preserve"> </w:t>
      </w:r>
      <w:proofErr w:type="spellStart"/>
      <w:r>
        <w:t>and</w:t>
      </w:r>
      <w:proofErr w:type="spellEnd"/>
      <w:r>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for</w:t>
      </w:r>
      <w:proofErr w:type="spellEnd"/>
      <w:r w:rsidRPr="004C0EBD">
        <w:t xml:space="preserve"> PV </w:t>
      </w:r>
      <w:proofErr w:type="spellStart"/>
      <w:r w:rsidRPr="004C0EBD">
        <w:t>projects</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sector</w:t>
      </w:r>
      <w:proofErr w:type="spellEnd"/>
      <w:r w:rsidRPr="004C0EBD">
        <w:t xml:space="preserve">. </w:t>
      </w:r>
      <w:proofErr w:type="spellStart"/>
      <w:r w:rsidRPr="004C0EBD">
        <w:t>It</w:t>
      </w:r>
      <w:proofErr w:type="spellEnd"/>
      <w:r w:rsidRPr="004C0EBD">
        <w:t xml:space="preserve">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w:t>
      </w:r>
      <w:proofErr w:type="spellStart"/>
      <w:r w:rsidRPr="004C0EBD">
        <w:t>for</w:t>
      </w:r>
      <w:proofErr w:type="spellEnd"/>
      <w:r w:rsidRPr="004C0EBD">
        <w:t xml:space="preserve"> </w:t>
      </w:r>
      <w:proofErr w:type="spellStart"/>
      <w:r w:rsidRPr="004C0EBD">
        <w:t>individual</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to</w:t>
      </w:r>
      <w:proofErr w:type="spellEnd"/>
      <w:r w:rsidRPr="004C0EBD">
        <w:t xml:space="preserve">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w:t>
      </w:r>
      <w:proofErr w:type="spellStart"/>
      <w:r w:rsidRPr="004C0EBD">
        <w:t>are</w:t>
      </w:r>
      <w:proofErr w:type="spellEnd"/>
      <w:r w:rsidRPr="004C0EBD">
        <w:t xml:space="preserve"> </w:t>
      </w:r>
      <w:proofErr w:type="spellStart"/>
      <w:r w:rsidRPr="004C0EBD">
        <w:t>not</w:t>
      </w:r>
      <w:proofErr w:type="spellEnd"/>
      <w:r w:rsidRPr="004C0EBD">
        <w:t xml:space="preserve"> </w:t>
      </w:r>
      <w:proofErr w:type="spellStart"/>
      <w:r w:rsidRPr="004C0EBD">
        <w:t>in</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or</w:t>
      </w:r>
      <w:proofErr w:type="spellEnd"/>
      <w:r w:rsidRPr="004C0EBD">
        <w:t xml:space="preserve"> </w:t>
      </w:r>
      <w:proofErr w:type="spellStart"/>
      <w:r w:rsidRPr="004C0EBD">
        <w:t>to</w:t>
      </w:r>
      <w:proofErr w:type="spellEnd"/>
      <w:r w:rsidRPr="004C0EBD">
        <w:t xml:space="preserve"> </w:t>
      </w:r>
      <w:proofErr w:type="spellStart"/>
      <w:r w:rsidRPr="004C0EBD">
        <w:t>adjust</w:t>
      </w:r>
      <w:proofErr w:type="spellEnd"/>
      <w:r w:rsidRPr="004C0EBD">
        <w:t xml:space="preserve"> </w:t>
      </w:r>
      <w:proofErr w:type="spellStart"/>
      <w:r w:rsidRPr="004C0EBD">
        <w:t>criteria</w:t>
      </w:r>
      <w:proofErr w:type="spellEnd"/>
      <w:r w:rsidRPr="004C0EBD">
        <w:t xml:space="preserve">, </w:t>
      </w:r>
      <w:proofErr w:type="spellStart"/>
      <w:r w:rsidRPr="004C0EBD">
        <w:t>for</w:t>
      </w:r>
      <w:proofErr w:type="spellEnd"/>
      <w:r w:rsidRPr="004C0EBD">
        <w:t xml:space="preserve"> </w:t>
      </w:r>
      <w:proofErr w:type="spellStart"/>
      <w:r w:rsidRPr="004C0EBD">
        <w:t>example</w:t>
      </w:r>
      <w:proofErr w:type="spellEnd"/>
      <w:r w:rsidRPr="004C0EBD">
        <w:t xml:space="preserve"> </w:t>
      </w:r>
      <w:proofErr w:type="spellStart"/>
      <w:r w:rsidRPr="004C0EBD">
        <w:t>due</w:t>
      </w:r>
      <w:proofErr w:type="spellEnd"/>
      <w:r w:rsidRPr="004C0EBD">
        <w:t xml:space="preserve"> </w:t>
      </w:r>
      <w:proofErr w:type="spellStart"/>
      <w:r w:rsidRPr="004C0EBD">
        <w:t>to</w:t>
      </w:r>
      <w:proofErr w:type="spellEnd"/>
      <w:r w:rsidRPr="004C0EBD">
        <w:t xml:space="preserve">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w:t>
      </w:r>
      <w:proofErr w:type="spellStart"/>
      <w:r w:rsidRPr="004C0EBD">
        <w:t>Both</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and</w:t>
      </w:r>
      <w:proofErr w:type="spellEnd"/>
      <w:r w:rsidRPr="004C0EBD">
        <w:t xml:space="preserve"> </w:t>
      </w:r>
      <w:proofErr w:type="spellStart"/>
      <w:r w:rsidRPr="004C0EBD">
        <w:t>the</w:t>
      </w:r>
      <w:proofErr w:type="spellEnd"/>
      <w:r w:rsidRPr="004C0EBD">
        <w:t xml:space="preserve"> </w:t>
      </w:r>
      <w:proofErr w:type="spellStart"/>
      <w:r w:rsidRPr="004C0EBD">
        <w:t>criteria</w:t>
      </w:r>
      <w:proofErr w:type="spellEnd"/>
      <w:r w:rsidRPr="004C0EBD">
        <w:t xml:space="preserve"> </w:t>
      </w:r>
      <w:proofErr w:type="spellStart"/>
      <w:r w:rsidRPr="004C0EBD">
        <w:t>are</w:t>
      </w:r>
      <w:proofErr w:type="spellEnd"/>
      <w:r w:rsidRPr="004C0EBD">
        <w:t xml:space="preserv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w:t>
      </w:r>
      <w:proofErr w:type="spellStart"/>
      <w:r w:rsidRPr="004C0EBD">
        <w:t>on</w:t>
      </w:r>
      <w:proofErr w:type="spellEnd"/>
      <w:r w:rsidRPr="004C0EBD">
        <w:t xml:space="preserve"> </w:t>
      </w:r>
      <w:proofErr w:type="spellStart"/>
      <w:r w:rsidRPr="004C0EBD">
        <w:t>the</w:t>
      </w:r>
      <w:proofErr w:type="spellEnd"/>
      <w:r w:rsidRPr="004C0EBD">
        <w:t xml:space="preserve"> </w:t>
      </w:r>
      <w:proofErr w:type="spellStart"/>
      <w:r w:rsidRPr="004C0EBD">
        <w:t>accuracy</w:t>
      </w:r>
      <w:proofErr w:type="spellEnd"/>
      <w:r w:rsidRPr="004C0EBD">
        <w:t xml:space="preserve"> </w:t>
      </w:r>
      <w:proofErr w:type="spellStart"/>
      <w:r w:rsidRPr="004C0EBD">
        <w:t>and</w:t>
      </w:r>
      <w:proofErr w:type="spellEnd"/>
      <w:r w:rsidRPr="004C0EBD">
        <w:t xml:space="preserve"> </w:t>
      </w:r>
      <w:proofErr w:type="spellStart"/>
      <w:r w:rsidRPr="004C0EBD">
        <w:t>completeness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content</w:t>
      </w:r>
      <w:proofErr w:type="spellEnd"/>
      <w:r w:rsidRPr="004C0EBD">
        <w:t xml:space="preserve"> </w:t>
      </w:r>
      <w:proofErr w:type="spellStart"/>
      <w:r w:rsidRPr="004C0EBD">
        <w:t>or</w:t>
      </w:r>
      <w:proofErr w:type="spellEnd"/>
      <w:r w:rsidRPr="004C0EBD">
        <w:t xml:space="preserve">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79682403" w14:textId="77777777" w:rsidR="008156C8" w:rsidRPr="004C0EBD" w:rsidRDefault="008156C8" w:rsidP="008156C8"/>
    <w:p w14:paraId="2B3A92E8" w14:textId="77777777" w:rsidR="008156C8" w:rsidRPr="004C0EBD" w:rsidRDefault="008156C8" w:rsidP="008156C8">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and</w:t>
      </w:r>
      <w:proofErr w:type="spellEnd"/>
      <w:r w:rsidRPr="004C0EBD">
        <w:t xml:space="preserve"> </w:t>
      </w:r>
      <w:proofErr w:type="spellStart"/>
      <w:r w:rsidRPr="004C0EBD">
        <w:t>Marcello</w:t>
      </w:r>
      <w:proofErr w:type="spellEnd"/>
      <w:r w:rsidRPr="004C0EBD">
        <w:t xml:space="preserve"> </w:t>
      </w:r>
      <w:proofErr w:type="spellStart"/>
      <w:r w:rsidRPr="004C0EBD">
        <w:t>Passaro</w:t>
      </w:r>
      <w:proofErr w:type="spellEnd"/>
      <w:r w:rsidRPr="004C0EBD">
        <w:t xml:space="preserve"> </w:t>
      </w:r>
    </w:p>
    <w:p w14:paraId="0122A607" w14:textId="77777777" w:rsidR="008156C8" w:rsidRPr="00A031E5" w:rsidRDefault="008156C8" w:rsidP="008156C8">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Default="00A11B94"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4A5B6C79" w14:textId="77777777" w:rsidR="006B1209" w:rsidRDefault="006B1209" w:rsidP="00A3595E">
      <w:pPr>
        <w:rPr>
          <w:rFonts w:eastAsiaTheme="majorEastAsia"/>
          <w:color w:val="92D050"/>
          <w:sz w:val="40"/>
          <w:szCs w:val="40"/>
          <w:lang w:val="da-DK"/>
        </w:rPr>
      </w:pPr>
    </w:p>
    <w:p w14:paraId="51872B65" w14:textId="77777777" w:rsidR="006B1209" w:rsidRDefault="006B1209" w:rsidP="00A3595E">
      <w:pPr>
        <w:rPr>
          <w:rFonts w:eastAsiaTheme="majorEastAsia"/>
          <w:color w:val="92D050"/>
          <w:sz w:val="40"/>
          <w:szCs w:val="40"/>
          <w:lang w:val="da-DK"/>
        </w:rPr>
      </w:pPr>
    </w:p>
    <w:p w14:paraId="016FB7C3" w14:textId="77777777" w:rsidR="006B1209" w:rsidRDefault="006B1209" w:rsidP="00A3595E">
      <w:pPr>
        <w:rPr>
          <w:rFonts w:eastAsiaTheme="majorEastAsia"/>
          <w:color w:val="92D050"/>
          <w:sz w:val="40"/>
          <w:szCs w:val="40"/>
          <w:lang w:val="da-DK"/>
        </w:rPr>
      </w:pPr>
    </w:p>
    <w:p w14:paraId="7125039A" w14:textId="77777777" w:rsidR="006B1209" w:rsidRDefault="006B1209" w:rsidP="00A3595E">
      <w:pPr>
        <w:rPr>
          <w:rFonts w:eastAsiaTheme="majorEastAsia"/>
          <w:color w:val="92D050"/>
          <w:sz w:val="40"/>
          <w:szCs w:val="40"/>
          <w:lang w:val="da-DK"/>
        </w:rPr>
      </w:pPr>
    </w:p>
    <w:p w14:paraId="2B3E0AB0" w14:textId="77777777" w:rsidR="006B1209" w:rsidRPr="00A031E5" w:rsidRDefault="006B1209" w:rsidP="00A3595E">
      <w:pPr>
        <w:rPr>
          <w:rFonts w:eastAsiaTheme="majorEastAsia"/>
          <w:color w:val="92D050"/>
          <w:sz w:val="40"/>
          <w:szCs w:val="40"/>
          <w:lang w:val="da-DK"/>
        </w:rPr>
      </w:pPr>
    </w:p>
    <w:p w14:paraId="2842012E" w14:textId="47DED13E" w:rsidR="0029348A" w:rsidRPr="004C0EBD" w:rsidRDefault="0049076B" w:rsidP="00AE6706">
      <w:pPr>
        <w:pStyle w:val="MH1"/>
      </w:pPr>
      <w:bookmarkStart w:id="55" w:name="_Toc180504632"/>
      <w:r>
        <w:t>Въведение</w:t>
      </w:r>
      <w:bookmarkEnd w:id="55"/>
      <w:r>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37FAF62A">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t xml:space="preserve">Проектите за фотоволтаични системи обикновено преминават през следните етапи: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Настоящото ръководство е съсредоточено върху етап I: предварителното проучване.</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Необходимо е да вземете главните решения по време на предварителното проучване, след което е възможно ефективното изготвяне на покана за участие в търг или RFQ („искане на котировки“). Можете да адаптирате Образеца на изисквания и критерии за възлагане според Вашия проект и да го добавяте като приложение към RFQ или поканата за участие в търг.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В ръководството са разгледани следните теми:</w:t>
      </w:r>
    </w:p>
    <w:p w14:paraId="4E53A1EA" w14:textId="39D4E044" w:rsidR="00917A73" w:rsidRPr="004C0EBD" w:rsidRDefault="00917A73" w:rsidP="0075115D">
      <w:pPr>
        <w:pStyle w:val="BodyText1"/>
        <w:numPr>
          <w:ilvl w:val="0"/>
          <w:numId w:val="11"/>
        </w:numPr>
      </w:pPr>
      <w:r>
        <w:t>Проучване за осъществимост — размер на проекта, товароносимост на покрива, присъединяване към мрежата</w:t>
      </w:r>
    </w:p>
    <w:p w14:paraId="6329141A" w14:textId="61DF3732" w:rsidR="006E3E63" w:rsidRPr="004C0EBD" w:rsidRDefault="006E3E63" w:rsidP="0075115D">
      <w:pPr>
        <w:pStyle w:val="BodyText1"/>
        <w:numPr>
          <w:ilvl w:val="0"/>
          <w:numId w:val="11"/>
        </w:numPr>
      </w:pPr>
      <w:r>
        <w:t>Размер на проекта и ограничения на търга (за публични субекти)</w:t>
      </w:r>
    </w:p>
    <w:p w14:paraId="4C5A1B47" w14:textId="4B6026E9" w:rsidR="00E254BC" w:rsidRPr="004C0EBD" w:rsidRDefault="00E254BC" w:rsidP="0075115D">
      <w:pPr>
        <w:pStyle w:val="BodyText1"/>
        <w:numPr>
          <w:ilvl w:val="0"/>
          <w:numId w:val="11"/>
        </w:numPr>
      </w:pPr>
      <w:r>
        <w:t xml:space="preserve">Избор на собственост или наем на квадратни метри?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Финансиране</w:t>
      </w:r>
    </w:p>
    <w:p w14:paraId="5D5F0168" w14:textId="1CCC38F9" w:rsidR="006E3E63" w:rsidRPr="004C0EBD" w:rsidRDefault="006E3E63" w:rsidP="0075115D">
      <w:pPr>
        <w:pStyle w:val="BodyText1"/>
        <w:numPr>
          <w:ilvl w:val="0"/>
          <w:numId w:val="11"/>
        </w:numPr>
      </w:pPr>
      <w:r>
        <w:t xml:space="preserve">Решения относно експлоатационния етап — поддръжка и наблюдение </w:t>
      </w:r>
    </w:p>
    <w:p w14:paraId="418350A1" w14:textId="3DB470CA" w:rsidR="00E254BC" w:rsidRPr="004C0EBD" w:rsidRDefault="00E254BC" w:rsidP="0075115D">
      <w:pPr>
        <w:pStyle w:val="BodyText1"/>
        <w:numPr>
          <w:ilvl w:val="0"/>
          <w:numId w:val="11"/>
        </w:numPr>
      </w:pPr>
      <w:r>
        <w:t xml:space="preserve">Продължителност и излизане от употреба на проекта </w:t>
      </w:r>
    </w:p>
    <w:p w14:paraId="077C28E4" w14:textId="5C429578" w:rsidR="00843185" w:rsidRPr="006F4930" w:rsidRDefault="00843185" w:rsidP="0075115D">
      <w:pPr>
        <w:pStyle w:val="BodyText1"/>
        <w:numPr>
          <w:ilvl w:val="0"/>
          <w:numId w:val="11"/>
        </w:numPr>
      </w:pPr>
      <w:r>
        <w:t>Контрол на качеството</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В следващата версия на ръководството се надяваме да включим и:</w:t>
      </w:r>
    </w:p>
    <w:p w14:paraId="393D0B84" w14:textId="5892589F" w:rsidR="00BA688B" w:rsidRPr="004C0EBD" w:rsidRDefault="00843185" w:rsidP="0075115D">
      <w:pPr>
        <w:pStyle w:val="BodyText1"/>
        <w:numPr>
          <w:ilvl w:val="0"/>
          <w:numId w:val="11"/>
        </w:numPr>
      </w:pPr>
      <w:r>
        <w:t xml:space="preserve">Системи за управление на енергията </w:t>
      </w:r>
    </w:p>
    <w:p w14:paraId="796348A6" w14:textId="33BB1EB0" w:rsidR="00843185" w:rsidRPr="004C0EBD" w:rsidRDefault="00FE679B" w:rsidP="0075115D">
      <w:pPr>
        <w:pStyle w:val="BodyText1"/>
        <w:numPr>
          <w:ilvl w:val="0"/>
          <w:numId w:val="11"/>
        </w:numPr>
      </w:pPr>
      <w:r>
        <w:t>Съхранение (батерии)</w:t>
      </w:r>
    </w:p>
    <w:p w14:paraId="0E6D1B86" w14:textId="7066331A" w:rsidR="00DA6DB7" w:rsidRPr="004C0EBD" w:rsidRDefault="00917A73" w:rsidP="0075115D">
      <w:pPr>
        <w:pStyle w:val="BodyText1"/>
        <w:numPr>
          <w:ilvl w:val="0"/>
          <w:numId w:val="11"/>
        </w:numPr>
      </w:pPr>
      <w:r>
        <w:t>Зарядни точки (ако са комбинирани с проект за фотоволтаични системи)</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AE6706">
      <w:pPr>
        <w:pStyle w:val="MH1"/>
      </w:pPr>
      <w:bookmarkStart w:id="56" w:name="_Toc180504633"/>
      <w:r>
        <w:t>Предварителното проучване</w:t>
      </w:r>
      <w:bookmarkEnd w:id="56"/>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На този етап определяте проекта в общи линии, а също и неговите потребности и изисквания.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Съвет 1</w:t>
      </w:r>
      <w:r>
        <w:rPr>
          <w:rStyle w:val="IntenseEmphasis"/>
          <w:rFonts w:ascii="Arial" w:hAnsi="Arial"/>
          <w:b/>
          <w:color w:val="104D54"/>
        </w:rPr>
        <w:t>: Ползвайте услугите на технически консултант!</w:t>
      </w:r>
    </w:p>
    <w:p w14:paraId="72CA230B" w14:textId="5A0929F3" w:rsidR="00FE679B" w:rsidRPr="004C0EBD" w:rsidRDefault="00845E96" w:rsidP="006F4930">
      <w:pPr>
        <w:pStyle w:val="BodyText1"/>
      </w:pPr>
      <w:r>
        <w:t xml:space="preserve">В </w:t>
      </w:r>
      <w:r>
        <w:rPr>
          <w:b/>
          <w:color w:val="3DC3C6"/>
          <w:u w:val="single"/>
        </w:rPr>
        <w:t>приложение 1</w:t>
      </w:r>
      <w:r>
        <w:rPr>
          <w:color w:val="3DC3C6"/>
        </w:rPr>
        <w:t xml:space="preserve"> </w:t>
      </w:r>
      <w:r>
        <w:t>ще намерите списък на техническите консултанти, които могат да Ви помогнат с първоначалните етапи. Разбира се, това не е необходимо, ако Вие или Вашата организация имате достатъчно експертен опит и знания.</w:t>
      </w:r>
    </w:p>
    <w:p w14:paraId="40F6E162" w14:textId="5C4AC5B5" w:rsidR="00CC023A" w:rsidRPr="00C42EE6" w:rsidRDefault="002530C0" w:rsidP="006F4930">
      <w:pPr>
        <w:pStyle w:val="BodyText1"/>
      </w:pPr>
      <w:r>
        <w:rPr>
          <w:i/>
        </w:rPr>
        <w:t xml:space="preserve">Моля, имайте предвид: списъкът не е изчерпателен — има много консултанти, които все още не са включени! </w:t>
      </w:r>
      <w:r>
        <w:t xml:space="preserve"> </w:t>
      </w:r>
    </w:p>
    <w:p w14:paraId="6F7A9714" w14:textId="4BEBD562" w:rsidR="00CC023A" w:rsidRPr="004C0EBD" w:rsidRDefault="001614A7" w:rsidP="006F4930">
      <w:pPr>
        <w:pStyle w:val="BodyText1"/>
      </w:pPr>
      <w:r>
        <w:t xml:space="preserve">Можете да гледате на предварителното проучване като на поетапен план: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Предварително проучване</w:t>
      </w:r>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 xml:space="preserve">1.  Преглед </w:t>
            </w:r>
            <w:r>
              <w:rPr>
                <w:rFonts w:ascii="Arial" w:hAnsi="Arial"/>
              </w:rPr>
              <w:t xml:space="preserve"> </w:t>
            </w:r>
            <w:r>
              <w:rPr>
                <w:rFonts w:ascii="Arial" w:hAnsi="Arial"/>
              </w:rPr>
              <w:cr/>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Списък на обектите</w:t>
            </w:r>
          </w:p>
          <w:p w14:paraId="565DECB3" w14:textId="74F0992D" w:rsidR="002E4ADD" w:rsidRPr="004C0EBD" w:rsidRDefault="002E4ADD" w:rsidP="0075115D">
            <w:pPr>
              <w:pStyle w:val="BodyText1"/>
              <w:numPr>
                <w:ilvl w:val="0"/>
                <w:numId w:val="12"/>
              </w:numPr>
              <w:ind w:left="492" w:hanging="492"/>
              <w:jc w:val="left"/>
            </w:pPr>
            <w:r>
              <w:t>Измервания на покрив/парцел</w:t>
            </w:r>
          </w:p>
          <w:p w14:paraId="33154646" w14:textId="0EDDE547" w:rsidR="002E4ADD" w:rsidRPr="004C0EBD" w:rsidRDefault="00D113C8" w:rsidP="0075115D">
            <w:pPr>
              <w:pStyle w:val="BodyText1"/>
              <w:numPr>
                <w:ilvl w:val="0"/>
                <w:numId w:val="12"/>
              </w:numPr>
              <w:ind w:left="492" w:hanging="492"/>
              <w:jc w:val="left"/>
            </w:pPr>
            <w:r>
              <w:t xml:space="preserve">Снимки и график на поддръжката </w:t>
            </w:r>
          </w:p>
          <w:p w14:paraId="3AABCC4E" w14:textId="2541FE59" w:rsidR="002E4ADD" w:rsidRPr="004C0EBD" w:rsidRDefault="00502061" w:rsidP="0075115D">
            <w:pPr>
              <w:pStyle w:val="BodyText1"/>
              <w:numPr>
                <w:ilvl w:val="0"/>
                <w:numId w:val="12"/>
              </w:numPr>
              <w:ind w:left="492" w:hanging="492"/>
              <w:jc w:val="left"/>
            </w:pPr>
            <w:r>
              <w:t xml:space="preserve">Товароносимост на покрива, присъединяване към мрежата и използване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 xml:space="preserve">2.  Примерно проектиране  </w:t>
            </w:r>
            <w:r>
              <w:rPr>
                <w:rFonts w:ascii="Arial" w:hAnsi="Arial"/>
              </w:rPr>
              <w:t xml:space="preserve"> </w:t>
            </w:r>
            <w:r>
              <w:rPr>
                <w:rFonts w:ascii="Arial" w:hAnsi="Arial"/>
              </w:rPr>
              <w:cr/>
            </w:r>
            <w:r>
              <w:rPr>
                <w:rFonts w:ascii="Arial" w:hAnsi="Arial"/>
              </w:rPr>
              <w:br/>
            </w:r>
          </w:p>
        </w:tc>
        <w:tc>
          <w:tcPr>
            <w:tcW w:w="5450" w:type="dxa"/>
          </w:tcPr>
          <w:p w14:paraId="2ADF59CE" w14:textId="77777777" w:rsidR="00BC1A03" w:rsidRPr="004C0EBD" w:rsidRDefault="00BC1A03" w:rsidP="0075115D">
            <w:pPr>
              <w:pStyle w:val="BodyText1"/>
              <w:numPr>
                <w:ilvl w:val="0"/>
                <w:numId w:val="12"/>
              </w:numPr>
              <w:ind w:left="492" w:hanging="492"/>
              <w:jc w:val="left"/>
            </w:pPr>
            <w:r>
              <w:t>Брой панели и капацитет на обект</w:t>
            </w:r>
          </w:p>
          <w:p w14:paraId="25BF810F" w14:textId="659B8210" w:rsidR="00021D7E" w:rsidRPr="004C0EBD" w:rsidRDefault="00502061" w:rsidP="0075115D">
            <w:pPr>
              <w:pStyle w:val="BodyText1"/>
              <w:numPr>
                <w:ilvl w:val="0"/>
                <w:numId w:val="12"/>
              </w:numPr>
              <w:ind w:left="492" w:hanging="492"/>
              <w:jc w:val="left"/>
            </w:pPr>
            <w:r>
              <w:t>Проект на икономическа обосновка</w:t>
            </w:r>
          </w:p>
          <w:p w14:paraId="5D5A6002" w14:textId="72863708" w:rsidR="00502061" w:rsidRPr="004C0EBD" w:rsidRDefault="00502061" w:rsidP="0075115D">
            <w:pPr>
              <w:pStyle w:val="BodyText1"/>
              <w:numPr>
                <w:ilvl w:val="0"/>
                <w:numId w:val="12"/>
              </w:numPr>
              <w:ind w:left="492" w:hanging="492"/>
              <w:jc w:val="left"/>
            </w:pPr>
            <w:r>
              <w:t>Примерни спецификации</w:t>
            </w:r>
          </w:p>
        </w:tc>
      </w:tr>
      <w:tr w:rsidR="00D113C8" w:rsidRPr="004C0EBD" w14:paraId="50D5279D" w14:textId="77777777" w:rsidTr="006F4930">
        <w:trPr>
          <w:trHeight w:val="1234"/>
        </w:trPr>
        <w:tc>
          <w:tcPr>
            <w:tcW w:w="3660" w:type="dxa"/>
          </w:tcPr>
          <w:p w14:paraId="08C72A51" w14:textId="70DC8EE7"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3.  Собственост и</w:t>
            </w:r>
            <w:r>
              <w:rPr>
                <w:rFonts w:ascii="Arial" w:hAnsi="Arial"/>
                <w:color w:val="FFFFFF" w:themeColor="background1"/>
              </w:rPr>
              <w:cr/>
            </w:r>
            <w:r>
              <w:rPr>
                <w:rFonts w:ascii="Arial" w:hAnsi="Arial"/>
                <w:color w:val="FFFFFF" w:themeColor="background1"/>
              </w:rPr>
              <w:br/>
              <w:t xml:space="preserve">процес на подбор </w:t>
            </w:r>
            <w:r>
              <w:rPr>
                <w:rFonts w:ascii="Arial" w:hAnsi="Arial"/>
              </w:rPr>
              <w:t xml:space="preserve"> </w:t>
            </w:r>
            <w:r>
              <w:rPr>
                <w:rFonts w:ascii="Arial" w:hAnsi="Arial"/>
              </w:rPr>
              <w:cr/>
            </w:r>
            <w:r>
              <w:rPr>
                <w:rFonts w:ascii="Arial" w:hAnsi="Arial"/>
              </w:rPr>
              <w:br/>
            </w:r>
            <w:r>
              <w:rPr>
                <w:rFonts w:ascii="Arial" w:hAnsi="Arial"/>
                <w:color w:val="FFFFFF" w:themeColor="background1"/>
              </w:rPr>
              <w:t xml:space="preserve"> </w:t>
            </w:r>
            <w:r>
              <w:rPr>
                <w:rFonts w:ascii="Arial" w:hAnsi="Arial"/>
              </w:rPr>
              <w:t xml:space="preserve"> </w:t>
            </w:r>
            <w:r>
              <w:rPr>
                <w:rFonts w:ascii="Arial" w:hAnsi="Arial"/>
              </w:rPr>
              <w:cr/>
            </w:r>
            <w:r>
              <w:rPr>
                <w:rFonts w:ascii="Arial" w:hAnsi="Arial"/>
              </w:rPr>
              <w:br/>
            </w:r>
            <w:r>
              <w:rPr>
                <w:rFonts w:ascii="Arial" w:hAnsi="Arial"/>
                <w:i/>
                <w:color w:val="FFFFFF" w:themeColor="background1"/>
              </w:rPr>
              <w:t xml:space="preserve"> </w:t>
            </w:r>
          </w:p>
        </w:tc>
        <w:tc>
          <w:tcPr>
            <w:tcW w:w="5450" w:type="dxa"/>
          </w:tcPr>
          <w:p w14:paraId="57601827" w14:textId="1C8B87C2" w:rsidR="00950CF7" w:rsidRPr="004C0EBD" w:rsidRDefault="00950CF7" w:rsidP="0075115D">
            <w:pPr>
              <w:pStyle w:val="BodyText1"/>
              <w:numPr>
                <w:ilvl w:val="0"/>
                <w:numId w:val="12"/>
              </w:numPr>
              <w:ind w:left="492" w:hanging="492"/>
              <w:jc w:val="left"/>
            </w:pPr>
            <w:r>
              <w:t xml:space="preserve">Концесия/отдаване под наем?  </w:t>
            </w:r>
          </w:p>
          <w:p w14:paraId="4DC14438" w14:textId="4DABEAEB" w:rsidR="00BC1A03" w:rsidRPr="004C0EBD" w:rsidRDefault="00BC1A03" w:rsidP="0075115D">
            <w:pPr>
              <w:pStyle w:val="BodyText1"/>
              <w:numPr>
                <w:ilvl w:val="0"/>
                <w:numId w:val="12"/>
              </w:numPr>
              <w:ind w:left="492" w:hanging="492"/>
              <w:jc w:val="left"/>
            </w:pPr>
            <w:r>
              <w:t xml:space="preserve">Пряко възлагане? </w:t>
            </w:r>
          </w:p>
          <w:p w14:paraId="65783D51" w14:textId="7165A80B" w:rsidR="00D113C8" w:rsidRPr="004C0EBD" w:rsidRDefault="00BC1A03" w:rsidP="0075115D">
            <w:pPr>
              <w:pStyle w:val="BodyText1"/>
              <w:numPr>
                <w:ilvl w:val="0"/>
                <w:numId w:val="12"/>
              </w:numPr>
              <w:ind w:left="492" w:hanging="492"/>
              <w:jc w:val="left"/>
            </w:pPr>
            <w:r>
              <w:t>Национална или европейска покана за участие в търг?</w:t>
            </w:r>
          </w:p>
        </w:tc>
      </w:tr>
      <w:tr w:rsidR="00CC46CB" w:rsidRPr="004C0EBD" w14:paraId="48ED35FA" w14:textId="77777777" w:rsidTr="006F4930">
        <w:trPr>
          <w:trHeight w:val="1243"/>
        </w:trPr>
        <w:tc>
          <w:tcPr>
            <w:tcW w:w="3660" w:type="dxa"/>
          </w:tcPr>
          <w:p w14:paraId="02863A1B" w14:textId="3C85CCF3"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Pr>
                <w:rFonts w:ascii="Arial" w:hAnsi="Arial"/>
                <w:color w:val="FFFFFF" w:themeColor="background1"/>
              </w:rPr>
              <w:t>4.  Разрешения и</w:t>
            </w:r>
            <w:r>
              <w:rPr>
                <w:rFonts w:ascii="Arial" w:hAnsi="Arial"/>
                <w:color w:val="FFFFFF" w:themeColor="background1"/>
              </w:rPr>
              <w:cr/>
            </w:r>
            <w:r>
              <w:rPr>
                <w:rFonts w:ascii="Arial" w:hAnsi="Arial"/>
                <w:color w:val="FFFFFF" w:themeColor="background1"/>
              </w:rPr>
              <w:br/>
              <w:t xml:space="preserve">присъединяване към мрежата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Изискват ли се екологични разрешения? </w:t>
            </w:r>
          </w:p>
          <w:p w14:paraId="275DFA18" w14:textId="6574EB53" w:rsidR="00144E8B" w:rsidRPr="004C0EBD" w:rsidRDefault="00144E8B" w:rsidP="0075115D">
            <w:pPr>
              <w:pStyle w:val="BodyText1"/>
              <w:numPr>
                <w:ilvl w:val="0"/>
                <w:numId w:val="12"/>
              </w:numPr>
              <w:ind w:left="492" w:hanging="492"/>
              <w:jc w:val="left"/>
            </w:pPr>
            <w:r>
              <w:t xml:space="preserve">Увеличаване на присъединяване към мрежата? </w:t>
            </w:r>
          </w:p>
          <w:p w14:paraId="726FDFE5" w14:textId="7A2773DA" w:rsidR="00681E9B" w:rsidRPr="004C0EBD" w:rsidRDefault="00BC1A03" w:rsidP="0075115D">
            <w:pPr>
              <w:pStyle w:val="BodyText1"/>
              <w:numPr>
                <w:ilvl w:val="0"/>
                <w:numId w:val="12"/>
              </w:numPr>
              <w:ind w:left="492" w:hanging="492"/>
              <w:jc w:val="left"/>
            </w:pPr>
            <w:r>
              <w:t>Зарядни точки? EMS [Система за енергийно управление] или батерии?</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Pr>
                <w:rFonts w:ascii="Arial" w:hAnsi="Arial"/>
                <w:color w:val="FFFFFF" w:themeColor="background1"/>
              </w:rPr>
              <w:t xml:space="preserve">5. Оборот, субсидии, финансиране </w:t>
            </w:r>
            <w:r>
              <w:rPr>
                <w:rFonts w:ascii="Arial" w:hAnsi="Arial"/>
                <w:color w:val="FFFFFF" w:themeColor="background1"/>
              </w:rPr>
              <w:cr/>
            </w:r>
            <w:r>
              <w:rPr>
                <w:rFonts w:ascii="Arial" w:hAnsi="Arial"/>
                <w:color w:val="FFFFFF" w:themeColor="background1"/>
              </w:rPr>
              <w:br/>
              <w:t>и застраховки</w:t>
            </w:r>
          </w:p>
        </w:tc>
        <w:tc>
          <w:tcPr>
            <w:tcW w:w="5450" w:type="dxa"/>
          </w:tcPr>
          <w:p w14:paraId="7E016335" w14:textId="251AE1C0" w:rsidR="00CE1B39" w:rsidRPr="004C0EBD" w:rsidRDefault="00F16ACA" w:rsidP="0075115D">
            <w:pPr>
              <w:pStyle w:val="BodyText1"/>
              <w:numPr>
                <w:ilvl w:val="0"/>
                <w:numId w:val="12"/>
              </w:numPr>
              <w:ind w:left="492" w:hanging="492"/>
              <w:jc w:val="left"/>
            </w:pPr>
            <w:r>
              <w:t xml:space="preserve">Продажба на електроенергия; SDE++ [Схема за стимули за устойчиво производство на енергия и климатичен преход] или други субсидии? </w:t>
            </w:r>
          </w:p>
          <w:p w14:paraId="1C6D623F" w14:textId="77777777" w:rsidR="005A6695" w:rsidRPr="004C0EBD" w:rsidRDefault="005A6695" w:rsidP="0075115D">
            <w:pPr>
              <w:pStyle w:val="BodyText1"/>
              <w:numPr>
                <w:ilvl w:val="0"/>
                <w:numId w:val="12"/>
              </w:numPr>
              <w:ind w:left="492" w:hanging="492"/>
              <w:jc w:val="left"/>
            </w:pPr>
            <w:r>
              <w:t xml:space="preserve">Финансиране (вътрешно + външно)? </w:t>
            </w:r>
          </w:p>
          <w:p w14:paraId="65A5BE93" w14:textId="6C515738" w:rsidR="005A6695" w:rsidRPr="004C0EBD" w:rsidRDefault="005A6695" w:rsidP="0075115D">
            <w:pPr>
              <w:pStyle w:val="BodyText1"/>
              <w:numPr>
                <w:ilvl w:val="0"/>
                <w:numId w:val="12"/>
              </w:numPr>
              <w:ind w:left="492" w:hanging="492"/>
              <w:jc w:val="left"/>
            </w:pPr>
            <w:r>
              <w:t>Застраховане</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Pr>
                <w:rFonts w:ascii="Arial" w:hAnsi="Arial"/>
                <w:color w:val="FFFFFF" w:themeColor="background1"/>
              </w:rPr>
              <w:t xml:space="preserve">6. Въпроси, свързани с устойчивостта </w:t>
            </w:r>
          </w:p>
        </w:tc>
        <w:tc>
          <w:tcPr>
            <w:tcW w:w="5450" w:type="dxa"/>
          </w:tcPr>
          <w:p w14:paraId="2AFC672C" w14:textId="5561B16E" w:rsidR="00B63BBC" w:rsidRPr="004C0EBD" w:rsidRDefault="00FA5774" w:rsidP="0075115D">
            <w:pPr>
              <w:pStyle w:val="BodyText1"/>
              <w:numPr>
                <w:ilvl w:val="0"/>
                <w:numId w:val="12"/>
              </w:numPr>
              <w:ind w:left="492" w:hanging="492"/>
              <w:jc w:val="left"/>
            </w:pPr>
            <w:r>
              <w:t>Аспекти на устойчивостта на слънчевите панели</w:t>
            </w:r>
          </w:p>
          <w:p w14:paraId="52D6FAC6" w14:textId="77777777" w:rsidR="00F7042B" w:rsidRPr="004C0EBD" w:rsidRDefault="00FA5774" w:rsidP="0075115D">
            <w:pPr>
              <w:pStyle w:val="BodyText1"/>
              <w:numPr>
                <w:ilvl w:val="0"/>
                <w:numId w:val="12"/>
              </w:numPr>
              <w:ind w:left="492" w:hanging="492"/>
              <w:jc w:val="left"/>
            </w:pPr>
            <w:r>
              <w:t xml:space="preserve">Екологични проблеми </w:t>
            </w:r>
          </w:p>
          <w:p w14:paraId="0F7EF8A0" w14:textId="58E18293" w:rsidR="00C677D9" w:rsidRPr="004C0EBD" w:rsidRDefault="00F7042B" w:rsidP="0075115D">
            <w:pPr>
              <w:pStyle w:val="BodyText1"/>
              <w:numPr>
                <w:ilvl w:val="0"/>
                <w:numId w:val="12"/>
              </w:numPr>
              <w:ind w:left="492" w:hanging="492"/>
              <w:jc w:val="left"/>
            </w:pPr>
            <w:r>
              <w:t xml:space="preserve">Условия на труд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Pr>
                <w:rFonts w:ascii="Arial" w:hAnsi="Arial"/>
                <w:color w:val="FFFFFF" w:themeColor="background1"/>
              </w:rPr>
              <w:t>7.  Изпълнение и осъществяване</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SCIOS Обхват 12 </w:t>
            </w:r>
          </w:p>
          <w:p w14:paraId="68836B08" w14:textId="61E71DA6" w:rsidR="004E647C" w:rsidRPr="004C0EBD" w:rsidRDefault="004E647C" w:rsidP="0075115D">
            <w:pPr>
              <w:pStyle w:val="BodyText1"/>
              <w:numPr>
                <w:ilvl w:val="0"/>
                <w:numId w:val="12"/>
              </w:numPr>
              <w:ind w:left="492" w:hanging="492"/>
              <w:jc w:val="left"/>
            </w:pPr>
            <w:r>
              <w:t>Други тестове и проверка</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Поддръжка и наблюдение</w:t>
            </w:r>
          </w:p>
        </w:tc>
        <w:tc>
          <w:tcPr>
            <w:tcW w:w="5450" w:type="dxa"/>
          </w:tcPr>
          <w:p w14:paraId="46556BA3" w14:textId="77777777" w:rsidR="00E44898" w:rsidRPr="004C0EBD" w:rsidRDefault="00D01A67" w:rsidP="0075115D">
            <w:pPr>
              <w:pStyle w:val="BodyText1"/>
              <w:numPr>
                <w:ilvl w:val="0"/>
                <w:numId w:val="12"/>
              </w:numPr>
              <w:ind w:left="492" w:hanging="492"/>
              <w:jc w:val="left"/>
            </w:pPr>
            <w:r>
              <w:t>Поддръжка</w:t>
            </w:r>
          </w:p>
          <w:p w14:paraId="46B4C901" w14:textId="4E85AC8A" w:rsidR="00D01A67" w:rsidRPr="004C0EBD" w:rsidRDefault="00D01A67" w:rsidP="0075115D">
            <w:pPr>
              <w:pStyle w:val="BodyText1"/>
              <w:numPr>
                <w:ilvl w:val="0"/>
                <w:numId w:val="12"/>
              </w:numPr>
              <w:ind w:left="492" w:hanging="492"/>
              <w:jc w:val="left"/>
            </w:pPr>
            <w:r>
              <w:t>Наблюдение</w:t>
            </w:r>
          </w:p>
        </w:tc>
      </w:tr>
    </w:tbl>
    <w:p w14:paraId="25927F44" w14:textId="77777777" w:rsidR="008D2EA0" w:rsidRPr="004C0EBD" w:rsidRDefault="008D2EA0" w:rsidP="00A3595E">
      <w:pPr>
        <w:pStyle w:val="Heading2"/>
      </w:pPr>
    </w:p>
    <w:p w14:paraId="164855BD" w14:textId="12D8E33E" w:rsidR="00CC46CB" w:rsidRPr="001079C7" w:rsidRDefault="00BC1A03" w:rsidP="00AE6706">
      <w:pPr>
        <w:pStyle w:val="MH2"/>
      </w:pPr>
      <w:bookmarkStart w:id="57" w:name="_Toc180504634"/>
      <w:r>
        <w:t>Стъпка 1 Преглед</w:t>
      </w:r>
      <w:bookmarkEnd w:id="57"/>
    </w:p>
    <w:p w14:paraId="1B214EE4" w14:textId="77777777" w:rsidR="00411443" w:rsidRPr="004C0EBD" w:rsidRDefault="00411443" w:rsidP="00A3595E"/>
    <w:p w14:paraId="420861F0" w14:textId="3B0B2D94" w:rsidR="00681E9B" w:rsidRPr="004C0EBD" w:rsidRDefault="00E7122D" w:rsidP="001079C7">
      <w:pPr>
        <w:pStyle w:val="BodyText1"/>
      </w:pPr>
      <w:r>
        <w:t xml:space="preserve">Първата стъпка от проекта е да се извърши преглед на наличните покриви или парцели, включени в проекта. Можете да направите това (отчасти) сами или с помощта на технически консултант (вж. съвет 1). Когато става въпрос за множество обекти, общ преглед често бива представен в таблица заедно със снимки и карти за всеки обект. </w:t>
      </w:r>
    </w:p>
    <w:p w14:paraId="76D4D889" w14:textId="77777777" w:rsidR="00681E9B" w:rsidRPr="004C0EBD" w:rsidRDefault="00681E9B" w:rsidP="00A3595E"/>
    <w:p w14:paraId="5D2BA25A" w14:textId="5C92DB7E" w:rsidR="00114C41" w:rsidRPr="004C0EBD" w:rsidRDefault="00444DFF" w:rsidP="00AE6706">
      <w:pPr>
        <w:pStyle w:val="MH3"/>
      </w:pPr>
      <w:bookmarkStart w:id="58" w:name="_Toc180504635"/>
      <w:r>
        <w:t>1.1 Общи положения</w:t>
      </w:r>
      <w:bookmarkEnd w:id="58"/>
      <w:r>
        <w:t xml:space="preserve"> </w:t>
      </w:r>
    </w:p>
    <w:p w14:paraId="5B6D9F83" w14:textId="77777777" w:rsidR="00114C41" w:rsidRPr="004C0EBD" w:rsidRDefault="00114C41" w:rsidP="0075115D">
      <w:pPr>
        <w:pStyle w:val="BodyText1"/>
        <w:numPr>
          <w:ilvl w:val="0"/>
          <w:numId w:val="13"/>
        </w:numPr>
      </w:pPr>
      <w:r>
        <w:t xml:space="preserve">Адрес на обекта </w:t>
      </w:r>
    </w:p>
    <w:p w14:paraId="5DB92B22" w14:textId="7931C678" w:rsidR="00114C41" w:rsidRPr="004C0EBD" w:rsidRDefault="00114C41" w:rsidP="0075115D">
      <w:pPr>
        <w:pStyle w:val="BodyText1"/>
        <w:numPr>
          <w:ilvl w:val="0"/>
          <w:numId w:val="13"/>
        </w:numPr>
      </w:pPr>
      <w:r>
        <w:t>Кратко описание на обекта</w:t>
      </w:r>
    </w:p>
    <w:p w14:paraId="0A07B288" w14:textId="2F3857E4" w:rsidR="00114C41" w:rsidRPr="004C0EBD" w:rsidRDefault="00114C41" w:rsidP="0075115D">
      <w:pPr>
        <w:pStyle w:val="BodyText1"/>
        <w:numPr>
          <w:ilvl w:val="0"/>
          <w:numId w:val="13"/>
        </w:numPr>
      </w:pPr>
      <w:r>
        <w:t xml:space="preserve">Приблизителни размери на площта на фотоволтаичната система (дължина х широчина) </w:t>
      </w:r>
    </w:p>
    <w:p w14:paraId="72BD0897" w14:textId="5E125031" w:rsidR="00114C41" w:rsidRPr="001079C7" w:rsidRDefault="00114C41" w:rsidP="0075115D">
      <w:pPr>
        <w:pStyle w:val="BodyText1"/>
        <w:numPr>
          <w:ilvl w:val="0"/>
          <w:numId w:val="13"/>
        </w:numPr>
      </w:pPr>
      <w:r>
        <w:t xml:space="preserve">Възможна начална дата за инсталиране и крайна дата, ако е приложимо </w:t>
      </w:r>
    </w:p>
    <w:p w14:paraId="3806F316" w14:textId="77777777" w:rsidR="001079C7" w:rsidRPr="004C0EBD" w:rsidRDefault="001079C7" w:rsidP="001079C7">
      <w:pPr>
        <w:pStyle w:val="BodyText1"/>
      </w:pPr>
    </w:p>
    <w:p w14:paraId="7F334611" w14:textId="5E538399" w:rsidR="00E7122D" w:rsidRPr="004C0EBD" w:rsidRDefault="00444DFF" w:rsidP="00AE6706">
      <w:pPr>
        <w:pStyle w:val="MH3"/>
      </w:pPr>
      <w:bookmarkStart w:id="59" w:name="_Toc180504636"/>
      <w:r>
        <w:t>1.2 Съображения от гледна точка на електроенергията</w:t>
      </w:r>
      <w:bookmarkEnd w:id="59"/>
    </w:p>
    <w:p w14:paraId="0E76CFDD" w14:textId="5681F8E5" w:rsidR="003C1054" w:rsidRPr="004C0EBD" w:rsidRDefault="003C1054" w:rsidP="001079C7">
      <w:pPr>
        <w:pStyle w:val="BodyText1"/>
      </w:pPr>
      <w:r>
        <w:t xml:space="preserve">Заедно с управителя на обекта/сградата уточнете: </w:t>
      </w:r>
    </w:p>
    <w:p w14:paraId="52AB198E" w14:textId="7D194B9A" w:rsidR="007C4E71" w:rsidRPr="004C0EBD" w:rsidRDefault="007C4E71" w:rsidP="0075115D">
      <w:pPr>
        <w:pStyle w:val="BodyText1"/>
        <w:numPr>
          <w:ilvl w:val="0"/>
          <w:numId w:val="14"/>
        </w:numPr>
      </w:pPr>
      <w:r>
        <w:t>Има ли собствено потребление? Има ли присъединяване към мрежата на този обект?</w:t>
      </w:r>
    </w:p>
    <w:p w14:paraId="26D1DF1B" w14:textId="5B0621F7" w:rsidR="00411443" w:rsidRPr="004C0EBD" w:rsidRDefault="00114C41" w:rsidP="0075115D">
      <w:pPr>
        <w:pStyle w:val="BodyText1"/>
        <w:numPr>
          <w:ilvl w:val="0"/>
          <w:numId w:val="14"/>
        </w:numPr>
      </w:pPr>
      <w:r>
        <w:t>Размер на присъединяването към мрежата на този обект (например 3 х 80 А)</w:t>
      </w:r>
    </w:p>
    <w:p w14:paraId="2F3D523B" w14:textId="441412C2" w:rsidR="00E7122D" w:rsidRPr="004C0EBD" w:rsidRDefault="003C1054" w:rsidP="0075115D">
      <w:pPr>
        <w:pStyle w:val="BodyText1"/>
        <w:numPr>
          <w:ilvl w:val="0"/>
          <w:numId w:val="14"/>
        </w:numPr>
      </w:pPr>
      <w:r>
        <w:t xml:space="preserve">Собствено потребление на електроенергия на обекта </w:t>
      </w:r>
    </w:p>
    <w:p w14:paraId="3DEE601E" w14:textId="59CB8CD6" w:rsidR="00496B5F" w:rsidRPr="004C0EBD" w:rsidRDefault="007C4E71" w:rsidP="0075115D">
      <w:pPr>
        <w:pStyle w:val="BodyText1"/>
        <w:numPr>
          <w:ilvl w:val="0"/>
          <w:numId w:val="14"/>
        </w:numPr>
      </w:pPr>
      <w:r>
        <w:t>Очаквани промени в потреблението на електроенергия</w:t>
      </w:r>
    </w:p>
    <w:p w14:paraId="774CA499" w14:textId="647800FF" w:rsidR="00BC1A03" w:rsidRPr="001079C7" w:rsidRDefault="00BC1A03" w:rsidP="0075115D">
      <w:pPr>
        <w:pStyle w:val="BodyText1"/>
        <w:numPr>
          <w:ilvl w:val="0"/>
          <w:numId w:val="14"/>
        </w:numPr>
      </w:pPr>
      <w:r>
        <w:t>Евентуално: необходимост от зарядни точки</w:t>
      </w:r>
    </w:p>
    <w:p w14:paraId="55F12E43" w14:textId="77777777" w:rsidR="001079C7" w:rsidRPr="004C0EBD" w:rsidRDefault="001079C7" w:rsidP="001079C7">
      <w:pPr>
        <w:pStyle w:val="BodyText1"/>
      </w:pPr>
    </w:p>
    <w:p w14:paraId="379FE481" w14:textId="418BDC35" w:rsidR="007C4E71" w:rsidRPr="004C0EBD" w:rsidRDefault="00444DFF" w:rsidP="00AE6706">
      <w:pPr>
        <w:pStyle w:val="MH3"/>
      </w:pPr>
      <w:bookmarkStart w:id="60" w:name="_Toc180504637"/>
      <w:r>
        <w:t>1.3 Снимки и карти</w:t>
      </w:r>
      <w:bookmarkEnd w:id="60"/>
    </w:p>
    <w:p w14:paraId="652FBA37" w14:textId="77777777" w:rsidR="001079C7" w:rsidRPr="00C42EE6" w:rsidRDefault="003C1054" w:rsidP="001079C7">
      <w:pPr>
        <w:pStyle w:val="BodyText1"/>
      </w:pPr>
      <w:r>
        <w:t xml:space="preserve">Подгответе цифрово досие с карти на обекта, сателитни снимки и снимки отблизо, включително </w:t>
      </w:r>
    </w:p>
    <w:p w14:paraId="513C6494" w14:textId="066ED6B6" w:rsidR="00114C41" w:rsidRPr="004C0EBD" w:rsidRDefault="003C1054" w:rsidP="001079C7">
      <w:pPr>
        <w:pStyle w:val="BodyText1"/>
      </w:pPr>
      <w:r>
        <w:t xml:space="preserve">на всякакви пречки. </w:t>
      </w:r>
    </w:p>
    <w:p w14:paraId="54052296" w14:textId="77777777" w:rsidR="00444DFF" w:rsidRPr="004C0EBD" w:rsidRDefault="00444DFF" w:rsidP="00A3595E"/>
    <w:p w14:paraId="1C7C8400" w14:textId="1B33421D" w:rsidR="00411443" w:rsidRPr="004C0EBD" w:rsidRDefault="00444DFF" w:rsidP="00AE6706">
      <w:pPr>
        <w:pStyle w:val="MH3"/>
      </w:pPr>
      <w:bookmarkStart w:id="61" w:name="_Toc180504638"/>
      <w:r>
        <w:t>1.4 Планиране</w:t>
      </w:r>
      <w:bookmarkEnd w:id="61"/>
      <w:r>
        <w:t xml:space="preserve"> </w:t>
      </w:r>
    </w:p>
    <w:p w14:paraId="4F82EC2B" w14:textId="7ADC4DEC" w:rsidR="003C1054" w:rsidRPr="004C0EBD" w:rsidRDefault="003C1054" w:rsidP="00A70E7F">
      <w:pPr>
        <w:pStyle w:val="BodyText1"/>
      </w:pPr>
      <w:r>
        <w:t xml:space="preserve">Заедно с управителя на обекта/сградата уточнете: </w:t>
      </w:r>
    </w:p>
    <w:p w14:paraId="407FE870" w14:textId="0BB90B32" w:rsidR="00411443" w:rsidRPr="004C0EBD" w:rsidRDefault="003C1054" w:rsidP="0075115D">
      <w:pPr>
        <w:pStyle w:val="BodyText1"/>
        <w:numPr>
          <w:ilvl w:val="0"/>
          <w:numId w:val="15"/>
        </w:numPr>
      </w:pPr>
      <w:r>
        <w:t xml:space="preserve">Поддръжка в голям мащаб — например подмяна на покрива </w:t>
      </w:r>
    </w:p>
    <w:p w14:paraId="5A17C2AA" w14:textId="54EF4339" w:rsidR="007C4E71" w:rsidRPr="00A70E7F" w:rsidRDefault="00411443" w:rsidP="0075115D">
      <w:pPr>
        <w:pStyle w:val="BodyText1"/>
        <w:numPr>
          <w:ilvl w:val="0"/>
          <w:numId w:val="15"/>
        </w:numPr>
      </w:pPr>
      <w:r>
        <w:t xml:space="preserve">Планове относно парцелите/покривите — в бъдеще планирано ли е строителство/развойна дейност? </w:t>
      </w:r>
    </w:p>
    <w:p w14:paraId="0BBD0BB9" w14:textId="77777777" w:rsidR="00A70E7F" w:rsidRPr="004C0EBD" w:rsidRDefault="00A70E7F" w:rsidP="00A70E7F">
      <w:pPr>
        <w:pStyle w:val="BodyText1"/>
      </w:pPr>
    </w:p>
    <w:p w14:paraId="26C0B24E" w14:textId="201CBAB8" w:rsidR="003C1054" w:rsidRPr="004C0EBD" w:rsidRDefault="00444DFF" w:rsidP="00AE6706">
      <w:pPr>
        <w:pStyle w:val="MH3"/>
      </w:pPr>
      <w:bookmarkStart w:id="62" w:name="_Toc180504639"/>
      <w:r>
        <w:t>1.5 Товароносимост на покрива</w:t>
      </w:r>
      <w:bookmarkEnd w:id="62"/>
    </w:p>
    <w:p w14:paraId="77E710BB" w14:textId="73038DB9" w:rsidR="00D347ED" w:rsidRPr="004C0EBD" w:rsidRDefault="00444DFF" w:rsidP="00A70E7F">
      <w:pPr>
        <w:pStyle w:val="BodyText1"/>
      </w:pPr>
      <w:r>
        <w:t>Допустимата товароносимост на тавана е важен параметър за проекти от типа „</w:t>
      </w:r>
      <w:proofErr w:type="spellStart"/>
      <w:r>
        <w:rPr>
          <w:i/>
        </w:rPr>
        <w:t>Zon-op-Dak</w:t>
      </w:r>
      <w:proofErr w:type="spellEnd"/>
      <w:r>
        <w:rPr>
          <w:i/>
        </w:rPr>
        <w:t xml:space="preserve">“ </w:t>
      </w:r>
      <w:r>
        <w:t xml:space="preserve">[Слънце на покрива]. В Нидерландия около половината от всички покриви </w:t>
      </w:r>
      <w:r>
        <w:rPr>
          <w:i/>
        </w:rPr>
        <w:t>не</w:t>
      </w:r>
      <w:r>
        <w:t xml:space="preserve"> са подходящи за стандартна фотоволтаична система, тъй като баластът, който не позволява на панелите да бъдат издухани от покрива, е твърде тежък. </w:t>
      </w:r>
    </w:p>
    <w:p w14:paraId="6EBC3381" w14:textId="1D4D5D99" w:rsidR="00444DFF" w:rsidRPr="004C0EBD" w:rsidRDefault="00D347ED" w:rsidP="00A70E7F">
      <w:pPr>
        <w:pStyle w:val="BodyText1"/>
      </w:pPr>
      <w:r>
        <w:t xml:space="preserve"> </w:t>
      </w:r>
      <w:r>
        <w:cr/>
      </w:r>
      <w:r>
        <w:br/>
        <w:t>Ако покривът е твърде нестабилен, има различни решения, включително:</w:t>
      </w:r>
    </w:p>
    <w:p w14:paraId="6C09C343" w14:textId="69AD8252" w:rsidR="00444DFF" w:rsidRPr="004C0EBD" w:rsidRDefault="00377C7A" w:rsidP="0075115D">
      <w:pPr>
        <w:pStyle w:val="BodyText1"/>
        <w:numPr>
          <w:ilvl w:val="0"/>
          <w:numId w:val="16"/>
        </w:numPr>
      </w:pPr>
      <w:r>
        <w:t>фотоволтаична система, при която не се използва баласт, а която се закрепва върху покрива</w:t>
      </w:r>
    </w:p>
    <w:p w14:paraId="5FD78EB2" w14:textId="41AD75BC" w:rsidR="00444DFF" w:rsidRPr="004C0EBD" w:rsidRDefault="00D347ED" w:rsidP="0075115D">
      <w:pPr>
        <w:pStyle w:val="BodyText1"/>
        <w:numPr>
          <w:ilvl w:val="0"/>
          <w:numId w:val="16"/>
        </w:numPr>
      </w:pPr>
      <w:r>
        <w:t xml:space="preserve">гъвкави слънчеви панели, които се залепват за покрива </w:t>
      </w:r>
    </w:p>
    <w:p w14:paraId="72237B61" w14:textId="398B99EF" w:rsidR="00BC1A03" w:rsidRPr="004C0EBD" w:rsidRDefault="00D347ED" w:rsidP="0075115D">
      <w:pPr>
        <w:pStyle w:val="BodyText1"/>
        <w:numPr>
          <w:ilvl w:val="0"/>
          <w:numId w:val="16"/>
        </w:numPr>
      </w:pPr>
      <w:r>
        <w:t xml:space="preserve">специални леки слънчеви панели (например </w:t>
      </w:r>
      <w:proofErr w:type="spellStart"/>
      <w:r>
        <w:t>Solarge</w:t>
      </w:r>
      <w:proofErr w:type="spellEnd"/>
      <w:r>
        <w:t>) или специални системи за закрепване</w:t>
      </w:r>
    </w:p>
    <w:p w14:paraId="6FF6B0D8" w14:textId="10CF4FAB" w:rsidR="00D347ED" w:rsidRPr="004C0EBD" w:rsidRDefault="00D347ED" w:rsidP="0075115D">
      <w:pPr>
        <w:pStyle w:val="BodyText1"/>
        <w:numPr>
          <w:ilvl w:val="0"/>
          <w:numId w:val="16"/>
        </w:numPr>
      </w:pPr>
      <w:r>
        <w:t>Укрепване на структурата на покрива</w:t>
      </w:r>
    </w:p>
    <w:p w14:paraId="2E50202C" w14:textId="05AFEF77" w:rsidR="00D347ED" w:rsidRPr="004C0EBD" w:rsidRDefault="003C1054" w:rsidP="00A70E7F">
      <w:pPr>
        <w:pStyle w:val="BodyText1"/>
      </w:pPr>
      <w:r>
        <w:t>Допустимата товароносимост на покрива може да бъде обяснена или изчислена от изпълнителя или архитекта на сградата/покрива; в противен случай може да се определи от независим консултант по сградна физика или строителен инженер.</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Съвет 2</w:t>
      </w:r>
      <w:r>
        <w:rPr>
          <w:rFonts w:ascii="Arial" w:hAnsi="Arial"/>
          <w:b/>
          <w:color w:val="104D54"/>
        </w:rPr>
        <w:t xml:space="preserve">: В </w:t>
      </w:r>
      <w:r>
        <w:rPr>
          <w:rFonts w:ascii="Arial" w:hAnsi="Arial"/>
          <w:b/>
          <w:color w:val="104D54"/>
          <w:u w:val="single"/>
        </w:rPr>
        <w:t>приложение 2</w:t>
      </w:r>
      <w:r>
        <w:rPr>
          <w:rFonts w:ascii="Arial" w:hAnsi="Arial"/>
          <w:b/>
          <w:color w:val="104D54"/>
        </w:rPr>
        <w:t xml:space="preserve"> ще намерите списък на независимите експерти, които могат да Ви помогнат с това.</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AE6706">
      <w:pPr>
        <w:pStyle w:val="MH2"/>
        <w:rPr>
          <w:rFonts w:eastAsiaTheme="majorEastAsia"/>
          <w:bCs/>
          <w:color w:val="92D050"/>
          <w:sz w:val="26"/>
          <w:szCs w:val="26"/>
        </w:rPr>
      </w:pPr>
      <w:bookmarkStart w:id="63" w:name="_Toc180504640"/>
      <w:r>
        <w:t>Стъпка 2. Примерно проектиране</w:t>
      </w:r>
      <w:bookmarkEnd w:id="63"/>
    </w:p>
    <w:p w14:paraId="08ADCCFC" w14:textId="77777777" w:rsidR="00EF504B" w:rsidRPr="004C0EBD" w:rsidRDefault="00EF504B" w:rsidP="00A3595E"/>
    <w:p w14:paraId="746B00D5" w14:textId="77777777" w:rsidR="00A70E7F" w:rsidRPr="00C42EE6" w:rsidRDefault="00151032" w:rsidP="00A70E7F">
      <w:pPr>
        <w:pStyle w:val="BodyText1"/>
      </w:pPr>
      <w:r>
        <w:t>Ако Вашата организация има богат опит с проекти за фотоволтаични системи и подходящ софтуер, можете да го направите и сами, но в противен случай следва да използвате услугите на технически консултант.</w:t>
      </w:r>
    </w:p>
    <w:p w14:paraId="43DBAA02" w14:textId="480BF3D3" w:rsidR="004C453E" w:rsidRPr="00621554" w:rsidRDefault="004C453E" w:rsidP="00A70E7F">
      <w:pPr>
        <w:pStyle w:val="BodyText1"/>
      </w:pPr>
    </w:p>
    <w:p w14:paraId="31ED8F63" w14:textId="7202D20A" w:rsidR="004C453E" w:rsidRPr="004C0EBD" w:rsidRDefault="00151032" w:rsidP="00A70E7F">
      <w:pPr>
        <w:pStyle w:val="BodyText1"/>
      </w:pPr>
      <w:r>
        <w:t xml:space="preserve">На този етап определяте примерните спецификации на фотоволтаичната инсталация; това е важно, за да се осигури по-голяма яснота на задачата, което на свой ред дава възможност на договарящите се страни да подадат по-точна оферта в по-кратък срок.  </w:t>
      </w:r>
    </w:p>
    <w:p w14:paraId="46EE7F19" w14:textId="77777777" w:rsidR="004C453E" w:rsidRPr="004C0EBD" w:rsidRDefault="004C453E" w:rsidP="00A3595E"/>
    <w:p w14:paraId="189EACD7" w14:textId="3FAE0B9D" w:rsidR="004C453E" w:rsidRPr="00C42EE6" w:rsidRDefault="00444DFF" w:rsidP="00AE6706">
      <w:pPr>
        <w:pStyle w:val="MH3"/>
      </w:pPr>
      <w:bookmarkStart w:id="64" w:name="_Toc180504641"/>
      <w:r>
        <w:t>2.1 Определяне на максималния брой слънчеви панели и максималното генериране на електроенергия</w:t>
      </w:r>
      <w:bookmarkEnd w:id="64"/>
      <w:r>
        <w:t xml:space="preserve"> </w:t>
      </w:r>
    </w:p>
    <w:p w14:paraId="17543A43" w14:textId="0B57A84B" w:rsidR="00DC2765" w:rsidRPr="004C0EBD" w:rsidRDefault="00DC2765" w:rsidP="0075115D">
      <w:pPr>
        <w:pStyle w:val="BodyText1"/>
        <w:numPr>
          <w:ilvl w:val="0"/>
          <w:numId w:val="18"/>
        </w:numPr>
      </w:pPr>
      <w:r>
        <w:t xml:space="preserve">Определете посоката — на изток-запад или на юг, или друга посока — </w:t>
      </w:r>
      <w:r>
        <w:cr/>
      </w:r>
      <w:r>
        <w:br/>
        <w:t xml:space="preserve">            на слънчевите панели </w:t>
      </w:r>
    </w:p>
    <w:p w14:paraId="7E349BD3" w14:textId="51DF5FBE" w:rsidR="00FC7CC6" w:rsidRPr="004C0EBD" w:rsidRDefault="00BC3C5E" w:rsidP="0075115D">
      <w:pPr>
        <w:pStyle w:val="BodyText1"/>
        <w:numPr>
          <w:ilvl w:val="0"/>
          <w:numId w:val="17"/>
        </w:numPr>
      </w:pPr>
      <w:r>
        <w:t>Примерен брой слънчеви панели на обект</w:t>
      </w:r>
    </w:p>
    <w:p w14:paraId="5F53603B" w14:textId="0E9D80BC" w:rsidR="00A613D4" w:rsidRPr="004C0EBD" w:rsidRDefault="00FC7CC6" w:rsidP="0075115D">
      <w:pPr>
        <w:pStyle w:val="BodyText1"/>
        <w:numPr>
          <w:ilvl w:val="0"/>
          <w:numId w:val="17"/>
        </w:numPr>
      </w:pPr>
      <w:r>
        <w:t xml:space="preserve">Определете максималния брой панели  </w:t>
      </w:r>
    </w:p>
    <w:p w14:paraId="49135BFD" w14:textId="177FC8D9" w:rsidR="00FC7CC6" w:rsidRPr="004C0EBD" w:rsidRDefault="00FC7CC6" w:rsidP="0075115D">
      <w:pPr>
        <w:pStyle w:val="BodyText1"/>
        <w:numPr>
          <w:ilvl w:val="0"/>
          <w:numId w:val="17"/>
        </w:numPr>
      </w:pPr>
      <w:r>
        <w:t xml:space="preserve">Определете максималната мощност на обект </w:t>
      </w:r>
    </w:p>
    <w:p w14:paraId="6FAE0A43" w14:textId="6E47CF5D" w:rsidR="00FC7CC6" w:rsidRPr="004C0EBD" w:rsidRDefault="00FC7CC6" w:rsidP="0075115D">
      <w:pPr>
        <w:pStyle w:val="BodyText1"/>
        <w:numPr>
          <w:ilvl w:val="0"/>
          <w:numId w:val="17"/>
        </w:numPr>
      </w:pPr>
      <w:r>
        <w:t xml:space="preserve">Определете максималното годишно производство на електроенергия </w:t>
      </w:r>
    </w:p>
    <w:p w14:paraId="7B06B5CA" w14:textId="16B76D1E" w:rsidR="00DC2765" w:rsidRPr="00A70E7F" w:rsidRDefault="00DC2765" w:rsidP="0075115D">
      <w:pPr>
        <w:pStyle w:val="BodyText1"/>
        <w:numPr>
          <w:ilvl w:val="0"/>
          <w:numId w:val="17"/>
        </w:numPr>
      </w:pPr>
      <w:r>
        <w:t>Проверете дали максималното производство на електроенергия е съобразено със съществуващата връзка</w:t>
      </w:r>
    </w:p>
    <w:p w14:paraId="057FE66C" w14:textId="77777777" w:rsidR="00A70E7F" w:rsidRPr="004C0EBD" w:rsidRDefault="00A70E7F" w:rsidP="00A70E7F">
      <w:pPr>
        <w:pStyle w:val="BodyText1"/>
      </w:pPr>
    </w:p>
    <w:p w14:paraId="3604A7E9" w14:textId="7246DAD6" w:rsidR="00A613D4" w:rsidRPr="004C0EBD" w:rsidRDefault="00444DFF" w:rsidP="00AE6706">
      <w:pPr>
        <w:pStyle w:val="MH3"/>
      </w:pPr>
      <w:bookmarkStart w:id="65" w:name="_Toc180504642"/>
      <w:r>
        <w:t>2.2 Съставете общата рамка на икономическата обосновка</w:t>
      </w:r>
      <w:bookmarkEnd w:id="65"/>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Примерна инвестиция за монтиране на фотоволтаичната система: на </w:t>
      </w:r>
      <w:proofErr w:type="spellStart"/>
      <w:r>
        <w:rPr>
          <w:rFonts w:ascii="Arial" w:hAnsi="Arial"/>
        </w:rPr>
        <w:t>Wp</w:t>
      </w:r>
      <w:proofErr w:type="spellEnd"/>
      <w:r>
        <w:rPr>
          <w:rFonts w:ascii="Arial" w:hAnsi="Arial"/>
        </w:rPr>
        <w:t xml:space="preserve"> и общ размер в хиляди евро.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Присъединяване към мрежата: да се адаптира или не?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Ако ще се адаптира: примерен график от оператора на мрежата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Добив: SDE++ схема или друга субсидия? </w:t>
      </w:r>
    </w:p>
    <w:p w14:paraId="618E254A" w14:textId="5D01DA4B" w:rsidR="00DC2765" w:rsidRPr="00A70E7F" w:rsidRDefault="00DC2765" w:rsidP="0075115D">
      <w:pPr>
        <w:pStyle w:val="ListParagraph"/>
        <w:numPr>
          <w:ilvl w:val="1"/>
          <w:numId w:val="19"/>
        </w:numPr>
        <w:rPr>
          <w:rFonts w:ascii="Arial" w:hAnsi="Arial" w:cs="Arial"/>
        </w:rPr>
      </w:pPr>
      <w:r>
        <w:rPr>
          <w:rFonts w:ascii="Arial" w:hAnsi="Arial"/>
        </w:rPr>
        <w:t xml:space="preserve">В случай на SDE++: проверете до колко мощности за променлив ток можете да свържете в най-добрия случай;  </w:t>
      </w:r>
      <w:r>
        <w:rPr>
          <w:rFonts w:ascii="Arial" w:hAnsi="Arial"/>
        </w:rPr>
        <w:cr/>
      </w:r>
      <w:r>
        <w:rPr>
          <w:rFonts w:ascii="Arial" w:hAnsi="Arial"/>
        </w:rPr>
        <w:br/>
        <w:t xml:space="preserve">това са най-много 50 %, понякога 70 % от мощностите за постоянен ток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Добив: Прогнозирайте намаление на количеството електроенергия, която ще бъде закупувана, и икономиите на разходи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Добив: Прогнозиране на приходи от продажбата на слънчева енергия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t xml:space="preserve">Евентуално: Как да се справите с отрицателните цени — система за енергийно управление? </w:t>
      </w:r>
    </w:p>
    <w:p w14:paraId="41F4C0DB" w14:textId="77777777" w:rsidR="00FF7CCF" w:rsidRDefault="00FF7CCF" w:rsidP="00AE6706">
      <w:pPr>
        <w:pStyle w:val="MH3"/>
      </w:pPr>
    </w:p>
    <w:p w14:paraId="67A1D1C4" w14:textId="77777777" w:rsidR="005C5B6D" w:rsidRDefault="005C5B6D" w:rsidP="00AE6706">
      <w:pPr>
        <w:pStyle w:val="MH3"/>
      </w:pPr>
    </w:p>
    <w:p w14:paraId="037A170F" w14:textId="77777777" w:rsidR="005C5B6D" w:rsidRDefault="005C5B6D" w:rsidP="00AE6706">
      <w:pPr>
        <w:pStyle w:val="MH3"/>
      </w:pPr>
    </w:p>
    <w:p w14:paraId="2D83F8BB" w14:textId="77777777" w:rsidR="005C5B6D" w:rsidRDefault="005C5B6D" w:rsidP="00AE6706">
      <w:pPr>
        <w:pStyle w:val="MH3"/>
      </w:pPr>
    </w:p>
    <w:p w14:paraId="60BF0DC9" w14:textId="4E8E3E31" w:rsidR="00A430E2" w:rsidRPr="004C0EBD" w:rsidRDefault="00444DFF" w:rsidP="00AE6706">
      <w:pPr>
        <w:pStyle w:val="MH3"/>
      </w:pPr>
      <w:bookmarkStart w:id="66" w:name="_Toc180504643"/>
      <w:r>
        <w:t>2.3 Определяне на примерното производство на електроенергия, разходите по проекта и броя слънчеви панели</w:t>
      </w:r>
      <w:bookmarkEnd w:id="66"/>
      <w:r>
        <w:t xml:space="preserve"> </w:t>
      </w:r>
    </w:p>
    <w:p w14:paraId="61AB905F" w14:textId="419CBC21" w:rsidR="006A4807" w:rsidRPr="004C0EBD" w:rsidRDefault="006A4807" w:rsidP="00FF7CCF">
      <w:pPr>
        <w:pStyle w:val="BodyText1"/>
      </w:pPr>
      <w:r>
        <w:t xml:space="preserve">Често ще е необходимо да изчислите примерните спецификации няколко пъти, преди да ги определите окончателно, отчасти защото това зависи от различни целеви стойности и ограничения. Примерните спецификации са: </w:t>
      </w:r>
    </w:p>
    <w:p w14:paraId="1D5721C3" w14:textId="5E89B471" w:rsidR="006A4807" w:rsidRPr="004C0EBD" w:rsidRDefault="006A4807" w:rsidP="0075115D">
      <w:pPr>
        <w:pStyle w:val="BodyText1"/>
        <w:numPr>
          <w:ilvl w:val="0"/>
          <w:numId w:val="21"/>
        </w:numPr>
      </w:pPr>
      <w:r>
        <w:t xml:space="preserve">Общият капацитет на слънчевите панели (мощност за постоянен ток) </w:t>
      </w:r>
    </w:p>
    <w:p w14:paraId="4D0A6C41" w14:textId="63DC4491" w:rsidR="006A4807" w:rsidRPr="004C0EBD" w:rsidRDefault="006A4807" w:rsidP="0075115D">
      <w:pPr>
        <w:pStyle w:val="BodyText1"/>
        <w:numPr>
          <w:ilvl w:val="0"/>
          <w:numId w:val="21"/>
        </w:numPr>
      </w:pPr>
      <w:r>
        <w:t xml:space="preserve">Мощностите за променлив ток на инверторите </w:t>
      </w:r>
    </w:p>
    <w:p w14:paraId="1F6D6089" w14:textId="143F4FA3" w:rsidR="006A4807" w:rsidRPr="004C0EBD" w:rsidRDefault="006A4807" w:rsidP="0075115D">
      <w:pPr>
        <w:pStyle w:val="BodyText1"/>
        <w:numPr>
          <w:ilvl w:val="0"/>
          <w:numId w:val="21"/>
        </w:numPr>
      </w:pPr>
      <w:r>
        <w:t xml:space="preserve">Годишното производство на електроенергия </w:t>
      </w:r>
    </w:p>
    <w:p w14:paraId="59A0CAC4" w14:textId="0718C367" w:rsidR="00950CF7" w:rsidRPr="004C0EBD" w:rsidRDefault="006A4807" w:rsidP="0075115D">
      <w:pPr>
        <w:pStyle w:val="BodyText1"/>
        <w:numPr>
          <w:ilvl w:val="0"/>
          <w:numId w:val="21"/>
        </w:numPr>
      </w:pPr>
      <w:r>
        <w:t xml:space="preserve">Примерните разходи по проекта (мощност за постоянен ток в </w:t>
      </w:r>
      <w:proofErr w:type="spellStart"/>
      <w:r>
        <w:t>Wp</w:t>
      </w:r>
      <w:proofErr w:type="spellEnd"/>
      <w:r>
        <w:t xml:space="preserve"> x 1 EUR на </w:t>
      </w:r>
      <w:proofErr w:type="spellStart"/>
      <w:r>
        <w:t>Watt</w:t>
      </w:r>
      <w:proofErr w:type="spellEnd"/>
      <w:r>
        <w: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AE6706">
      <w:pPr>
        <w:pStyle w:val="MH3"/>
      </w:pPr>
      <w:bookmarkStart w:id="67" w:name="_Toc180504644"/>
      <w:r>
        <w:t>2.4 По желание</w:t>
      </w:r>
      <w:bookmarkEnd w:id="67"/>
    </w:p>
    <w:p w14:paraId="46F06188" w14:textId="557DB0C6" w:rsidR="00FC7CC6" w:rsidRPr="004C0EBD" w:rsidRDefault="00A430E2" w:rsidP="0075115D">
      <w:pPr>
        <w:pStyle w:val="BodyText1"/>
        <w:numPr>
          <w:ilvl w:val="0"/>
          <w:numId w:val="20"/>
        </w:numPr>
      </w:pPr>
      <w:r>
        <w:t xml:space="preserve">Разделяне на обектите на етапи </w:t>
      </w:r>
    </w:p>
    <w:p w14:paraId="61BF59F1" w14:textId="51F37E63" w:rsidR="00BC3C5E" w:rsidRPr="004C0EBD" w:rsidRDefault="00BC3C5E" w:rsidP="0075115D">
      <w:pPr>
        <w:pStyle w:val="BodyText1"/>
        <w:numPr>
          <w:ilvl w:val="0"/>
          <w:numId w:val="20"/>
        </w:numPr>
      </w:pPr>
      <w:r>
        <w:t xml:space="preserve">Евентуално: избор на еднолицеви/двулицеви слънчеви панели </w:t>
      </w:r>
    </w:p>
    <w:p w14:paraId="3A9DF611" w14:textId="56AE3FC5" w:rsidR="00B33249" w:rsidRPr="004C0EBD" w:rsidRDefault="00BC3C5E" w:rsidP="0075115D">
      <w:pPr>
        <w:pStyle w:val="BodyText1"/>
        <w:numPr>
          <w:ilvl w:val="0"/>
          <w:numId w:val="20"/>
        </w:numPr>
      </w:pPr>
      <w:r>
        <w:t>Евентуално: за „</w:t>
      </w:r>
      <w:proofErr w:type="spellStart"/>
      <w:r>
        <w:t>Sun-on-Land</w:t>
      </w:r>
      <w:proofErr w:type="spellEnd"/>
      <w:r>
        <w:t>“/„</w:t>
      </w:r>
      <w:proofErr w:type="spellStart"/>
      <w:r>
        <w:t>Sun-on-Water</w:t>
      </w:r>
      <w:proofErr w:type="spellEnd"/>
      <w:r>
        <w:t>“: система за проследяване на слънцето?</w:t>
      </w:r>
    </w:p>
    <w:p w14:paraId="2C56632E" w14:textId="77777777" w:rsidR="00FF7CCF" w:rsidRDefault="00FF7CCF" w:rsidP="00FF7CCF"/>
    <w:p w14:paraId="53ABF10C" w14:textId="77777777" w:rsidR="00FF7CCF" w:rsidRDefault="00FF7CCF" w:rsidP="00FF7CCF"/>
    <w:p w14:paraId="7DBDB130" w14:textId="77777777" w:rsidR="00FF7CCF" w:rsidRDefault="00FF7CCF" w:rsidP="00AE6706">
      <w:pPr>
        <w:pStyle w:val="MH2"/>
      </w:pPr>
    </w:p>
    <w:p w14:paraId="44C8B20D" w14:textId="77777777" w:rsidR="00FF7CCF" w:rsidRDefault="00FF7CCF" w:rsidP="00AE6706">
      <w:pPr>
        <w:pStyle w:val="MH2"/>
      </w:pPr>
    </w:p>
    <w:p w14:paraId="5FE7E779" w14:textId="71437ABE" w:rsidR="00151032" w:rsidRPr="004C0EBD" w:rsidRDefault="00151032" w:rsidP="00AE6706">
      <w:pPr>
        <w:pStyle w:val="MH2"/>
      </w:pPr>
      <w:bookmarkStart w:id="68" w:name="_Toc180504645"/>
      <w:r>
        <w:t xml:space="preserve">Стъпка 3 Собственост и отправяне на покана </w:t>
      </w:r>
      <w:r>
        <w:cr/>
      </w:r>
      <w:r>
        <w:br/>
        <w:t>за представяне на оферти/възлагане на обществена поръчка</w:t>
      </w:r>
      <w:bookmarkEnd w:id="68"/>
      <w: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t xml:space="preserve">В предишните две стъпки се определят в общи линии размерът и планът на проекта. Тук е важно да се прецени дали Вие самите искате да сте собственик на фотоволтаичната инсталация, или да отдавате под наем покривната повърхност или парцела земя в рамките на споразумение за концесия. В такъв случай въпросът е как да бъде избран доставчик или договаряща се страна.  </w:t>
      </w:r>
    </w:p>
    <w:p w14:paraId="68B0E7A7" w14:textId="77777777" w:rsidR="00FC1525" w:rsidRPr="004C0EBD" w:rsidRDefault="00FC1525" w:rsidP="00A3595E"/>
    <w:p w14:paraId="5AFF0A5E" w14:textId="573FB55B" w:rsidR="00502061" w:rsidRPr="004C0EBD" w:rsidRDefault="00444DFF" w:rsidP="00AE6706">
      <w:pPr>
        <w:pStyle w:val="MH3"/>
      </w:pPr>
      <w:bookmarkStart w:id="69" w:name="_Toc180504646"/>
      <w:r>
        <w:t>3.1 Собственик или наемател?</w:t>
      </w:r>
      <w:bookmarkEnd w:id="69"/>
    </w:p>
    <w:p w14:paraId="08A261E9" w14:textId="5C0D08E1" w:rsidR="009A0DA0" w:rsidRPr="004C0EBD" w:rsidRDefault="00FC1525" w:rsidP="00FF7CCF">
      <w:pPr>
        <w:pStyle w:val="BodyText1"/>
      </w:pPr>
      <w:r>
        <w:t xml:space="preserve">Ако сте наемател, ще получите определена цена на квадратен метър на година. Предимство: това Ви пести много време.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Потенциалните недостатъци са, че няма да се възползвате в толкова голяма степен от финансовите облаги, свързани фотоволтаичната инсталация, че нямате особен контрол върху инсталацията и че ще се откажете от гъвкавостта. Затова, ако на по-късен етап поискате да направите нещо друго с покрива или парцела, може да се окажете обвързани от договор с наемател. </w:t>
      </w:r>
    </w:p>
    <w:p w14:paraId="7B394F21" w14:textId="77777777" w:rsidR="009A0DA0" w:rsidRPr="004C0EBD" w:rsidRDefault="009A0DA0" w:rsidP="00A3595E"/>
    <w:p w14:paraId="4FFBBA84" w14:textId="3AD18753" w:rsidR="00151032" w:rsidRPr="004C0EBD" w:rsidRDefault="00444DFF" w:rsidP="00AE6706">
      <w:pPr>
        <w:pStyle w:val="MH3"/>
      </w:pPr>
      <w:bookmarkStart w:id="70" w:name="_Toc180504647"/>
      <w:r>
        <w:t>3.2 За публични организации: възлагане на обществена поръчка или пряко възлагане?</w:t>
      </w:r>
      <w:bookmarkEnd w:id="70"/>
    </w:p>
    <w:p w14:paraId="04BE1967" w14:textId="1DDD73B2" w:rsidR="004C4869" w:rsidRPr="004C0EBD" w:rsidRDefault="00770820" w:rsidP="00A3595E">
      <w:r>
        <w:t xml:space="preserve"> Тази точка не се отнася до дружества или други частни организации. Частните организации могат просто да поискат редица потенциални договарящи се страни да отправят оферти.  </w:t>
      </w:r>
      <w:r>
        <w:cr/>
      </w:r>
      <w:r>
        <w:br/>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b/>
        </w:rPr>
        <w:t>При</w:t>
      </w:r>
      <w:r>
        <w:rPr>
          <w:rFonts w:ascii="Arial" w:hAnsi="Arial"/>
        </w:rPr>
        <w:t xml:space="preserve"> всички случаи, когато се отправя искане за стандартни оферти, е необходима и програма с изисквания. </w:t>
      </w:r>
      <w:r>
        <w:rPr>
          <w:rFonts w:ascii="Arial" w:hAnsi="Arial"/>
          <w:b/>
          <w:color w:val="FFFFFF" w:themeColor="background1"/>
          <w:highlight w:val="darkCyan"/>
        </w:rPr>
        <w:t>„Образецът на изисквания за покупки</w:t>
      </w:r>
      <w:r>
        <w:rPr>
          <w:rFonts w:ascii="Arial" w:hAnsi="Arial"/>
          <w:b/>
          <w:highlight w:val="darkCyan"/>
        </w:rPr>
        <w:t>“</w:t>
      </w:r>
      <w:r>
        <w:rPr>
          <w:rFonts w:ascii="Arial" w:hAnsi="Arial"/>
        </w:rPr>
        <w:t xml:space="preserve"> също е напълно подходящ за тази цел. </w:t>
      </w:r>
    </w:p>
    <w:p w14:paraId="4F157CB7" w14:textId="77777777" w:rsidR="009E09C2" w:rsidRPr="004C0EBD" w:rsidRDefault="009E09C2" w:rsidP="00A3595E"/>
    <w:p w14:paraId="019FF291" w14:textId="0356618C" w:rsidR="00624300" w:rsidRPr="004C0EBD" w:rsidRDefault="009E09C2" w:rsidP="00FF7CCF">
      <w:pPr>
        <w:pStyle w:val="BodyText1"/>
        <w:rPr>
          <w:color w:val="343434"/>
        </w:rPr>
      </w:pPr>
      <w:r>
        <w:t xml:space="preserve">Законът за обществените поръчки от 2012 г. </w:t>
      </w:r>
      <w:r>
        <w:rPr>
          <w:color w:val="3DC3C6"/>
        </w:rPr>
        <w:t>[</w:t>
      </w:r>
      <w:proofErr w:type="spellStart"/>
      <w:r w:rsidR="004664C1">
        <w:fldChar w:fldCharType="begin"/>
      </w:r>
      <w:r w:rsidR="004664C1">
        <w:instrText>HYPERLINK "https://wetten.overheid.nl/BWBR0032203/2022-03-02/0" \o "Външна връзка: Закон за обществените поръчки (на нидерландски език) на overheid.nl"</w:instrText>
      </w:r>
      <w:r w:rsidR="004664C1">
        <w:fldChar w:fldCharType="separate"/>
      </w:r>
      <w:r>
        <w:rPr>
          <w:i/>
          <w:color w:val="3DC3C6"/>
          <w:u w:val="single"/>
        </w:rPr>
        <w:t>Aanbestedingswet</w:t>
      </w:r>
      <w:proofErr w:type="spellEnd"/>
      <w:r>
        <w:rPr>
          <w:i/>
          <w:color w:val="3DC3C6"/>
          <w:u w:val="single"/>
        </w:rPr>
        <w:t xml:space="preserve"> 2012</w:t>
      </w:r>
      <w:r w:rsidR="004664C1">
        <w:rPr>
          <w:i/>
          <w:color w:val="3DC3C6"/>
          <w:u w:val="single"/>
        </w:rPr>
        <w:fldChar w:fldCharType="end"/>
      </w:r>
      <w:r>
        <w:rPr>
          <w:color w:val="3DC3C6"/>
        </w:rPr>
        <w:t xml:space="preserve">] </w:t>
      </w:r>
      <w:r>
        <w:t>се прилага за обществените поръчки на (частично) публични институции в Нидерландия.</w:t>
      </w:r>
      <w:r>
        <w:rPr>
          <w:color w:val="343434"/>
        </w:rPr>
        <w:t xml:space="preserve"> Колкото по-голям е проектът, толкова по-малко са вариантите за възможни процедури. Някои процедури (като например пряко възлагане) не са разрешени над определен праг.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Прагът зависи от вида на проекта: „Строителни работи“ или „Доставка/Услуга“.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Видът зависи от насочеността на проекта: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Доставка </w:t>
      </w:r>
    </w:p>
    <w:p w14:paraId="3FF0867A" w14:textId="1DB2602C" w:rsidR="00624300" w:rsidRPr="004C0EBD" w:rsidRDefault="00624300" w:rsidP="0075115D">
      <w:pPr>
        <w:pStyle w:val="BodyText1"/>
        <w:numPr>
          <w:ilvl w:val="0"/>
          <w:numId w:val="22"/>
        </w:numPr>
        <w:ind w:left="1418" w:hanging="425"/>
        <w:rPr>
          <w:i/>
          <w:iCs/>
        </w:rPr>
      </w:pPr>
      <w:r>
        <w:t xml:space="preserve">Доставка единствено на слънчеви панели  </w:t>
      </w:r>
    </w:p>
    <w:p w14:paraId="22703909" w14:textId="62056830" w:rsidR="00624300" w:rsidRPr="004C0EBD" w:rsidRDefault="00624300" w:rsidP="0075115D">
      <w:pPr>
        <w:pStyle w:val="BodyText1"/>
        <w:numPr>
          <w:ilvl w:val="0"/>
          <w:numId w:val="22"/>
        </w:numPr>
        <w:ind w:left="1418" w:hanging="425"/>
        <w:rPr>
          <w:i/>
          <w:iCs/>
        </w:rPr>
      </w:pPr>
      <w:r>
        <w:t>Инсталиране единствено на електрическата система и компонентите на постояннотоковата страна</w:t>
      </w:r>
    </w:p>
    <w:p w14:paraId="064AD047" w14:textId="337E3F6D" w:rsidR="00624300" w:rsidRPr="004C0EBD" w:rsidRDefault="00624300" w:rsidP="0075115D">
      <w:pPr>
        <w:pStyle w:val="BodyText1"/>
        <w:numPr>
          <w:ilvl w:val="0"/>
          <w:numId w:val="22"/>
        </w:numPr>
        <w:ind w:left="1418" w:hanging="425"/>
        <w:rPr>
          <w:i/>
          <w:iCs/>
        </w:rPr>
      </w:pPr>
      <w:r>
        <w:t xml:space="preserve">Инсталиране единствено на електрическата система и компонентите откъм страната на променливото напрежение </w:t>
      </w:r>
      <w:r>
        <w:cr/>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Строителни работи</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Договарящата се страна носи пълна отговорност за изпълнението на проекта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Съчетание от проектиране, доставка и строителни работи: -&gt; строителни работи</w:t>
      </w:r>
    </w:p>
    <w:p w14:paraId="2754C0BF" w14:textId="77777777" w:rsidR="00770820" w:rsidRPr="004C0EBD" w:rsidRDefault="00624300" w:rsidP="00FF7CCF">
      <w:pPr>
        <w:pStyle w:val="BodyText1"/>
      </w:pPr>
      <w:r>
        <w:t xml:space="preserve">Освен това за някои организации са приложими други специфични прагови стойности. </w:t>
      </w:r>
    </w:p>
    <w:p w14:paraId="056740D2" w14:textId="77777777" w:rsidR="00FF7CCF" w:rsidRDefault="00624300" w:rsidP="00FF7CCF">
      <w:pPr>
        <w:pStyle w:val="BodyText1"/>
      </w:pPr>
      <w:r>
        <w:t xml:space="preserve">Затова параграфът по-долу следва да се разглежда само </w:t>
      </w:r>
      <w:r>
        <w:rPr>
          <w:i/>
        </w:rPr>
        <w:t>примерно</w:t>
      </w:r>
      <w:r>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Моля, имайте предвид: Тези суми са валидни за 2023 г. През 2024 г. сумите вероятно ще бъдат </w:t>
      </w:r>
    </w:p>
    <w:p w14:paraId="59BA22B8" w14:textId="2C1F9501" w:rsidR="00624300" w:rsidRDefault="00E24CEC" w:rsidP="005C5B6D">
      <w:pPr>
        <w:pStyle w:val="BodyText1"/>
      </w:pPr>
      <w:r>
        <w:t xml:space="preserve">малко по-високи.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Обикновено пряко възлагане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rPr>
        <w:t xml:space="preserve">За </w:t>
      </w:r>
      <w:r>
        <w:rPr>
          <w:rFonts w:ascii="Arial" w:hAnsi="Arial"/>
          <w:i/>
        </w:rPr>
        <w:t>Доставки</w:t>
      </w:r>
      <w:r>
        <w:rPr>
          <w:rFonts w:ascii="Arial" w:hAnsi="Arial"/>
        </w:rPr>
        <w:t xml:space="preserve">: </w:t>
      </w:r>
      <w:r>
        <w:rPr>
          <w:rFonts w:ascii="Arial" w:hAnsi="Arial"/>
        </w:rPr>
        <w:tab/>
        <w:t>&lt; 50 000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За </w:t>
      </w:r>
      <w:r>
        <w:rPr>
          <w:rFonts w:ascii="Arial" w:hAnsi="Arial"/>
          <w:i/>
        </w:rPr>
        <w:t>Строителни работи</w:t>
      </w:r>
      <w:r>
        <w:rPr>
          <w:rFonts w:ascii="Arial" w:hAnsi="Arial"/>
        </w:rPr>
        <w:t xml:space="preserve">: </w:t>
      </w:r>
      <w:r>
        <w:rPr>
          <w:rFonts w:ascii="Arial" w:hAnsi="Arial"/>
        </w:rPr>
        <w:tab/>
        <w:t>&lt; 150 000 EUR</w:t>
      </w:r>
    </w:p>
    <w:p w14:paraId="2F1F5933" w14:textId="5C9075AE" w:rsidR="00560408" w:rsidRPr="004C0EBD" w:rsidRDefault="00033DC3" w:rsidP="00FF7CCF">
      <w:pPr>
        <w:pStyle w:val="BodyText1"/>
        <w:ind w:left="426"/>
      </w:pPr>
      <w:r>
        <w:t xml:space="preserve">Проекти от малък мащаб могат да бъдат възлагани пряко на една страна, например едно обикновено дружество, което извършва инсталиране, или който и да е друг местен доставчик. </w:t>
      </w:r>
    </w:p>
    <w:p w14:paraId="25AC0C47" w14:textId="373E9907" w:rsidR="00624300" w:rsidRPr="004C0EBD" w:rsidRDefault="009E09C2" w:rsidP="00FF7CCF">
      <w:pPr>
        <w:pStyle w:val="BodyText1"/>
        <w:ind w:left="426"/>
      </w:pPr>
      <w:r>
        <w:rPr>
          <w:i/>
        </w:rPr>
        <w:t>Предимства</w:t>
      </w:r>
      <w:r>
        <w:t>: Кратко време за изпълнение, ниски процедурни разходи, възможност за договаряне, гъвкавост</w:t>
      </w:r>
      <w:r>
        <w:cr/>
      </w:r>
      <w:r>
        <w:br/>
      </w:r>
      <w:r>
        <w:rPr>
          <w:i/>
        </w:rPr>
        <w:t>Недостатъци</w:t>
      </w:r>
      <w:r>
        <w:t>:</w:t>
      </w:r>
      <w:r>
        <w:tab/>
        <w:t xml:space="preserve"> Възможно е съотношението цена/качество да не е най-доброто, риск от конфликт на интереси.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Процедура по пряко възлагане на множество доставчици</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За </w:t>
      </w:r>
      <w:r>
        <w:rPr>
          <w:rFonts w:ascii="Arial" w:hAnsi="Arial"/>
          <w:i/>
        </w:rPr>
        <w:t>Доставки</w:t>
      </w:r>
      <w:r>
        <w:rPr>
          <w:rFonts w:ascii="Arial" w:hAnsi="Arial"/>
        </w:rPr>
        <w:t xml:space="preserve"> на децентрализирани (частично) публични институции: &lt; 215 000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За </w:t>
      </w:r>
      <w:r>
        <w:rPr>
          <w:rFonts w:ascii="Arial" w:hAnsi="Arial"/>
          <w:i/>
        </w:rPr>
        <w:t>Доставки</w:t>
      </w:r>
      <w:r>
        <w:rPr>
          <w:rFonts w:ascii="Arial" w:hAnsi="Arial"/>
        </w:rPr>
        <w:t xml:space="preserve"> на организации от, наред с другото, сектора на водите, енергетиката или транспорта: &lt; 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За </w:t>
      </w:r>
      <w:r>
        <w:rPr>
          <w:rFonts w:ascii="Arial" w:hAnsi="Arial"/>
          <w:i/>
        </w:rPr>
        <w:t>Строителни работи</w:t>
      </w:r>
      <w:r>
        <w:rPr>
          <w:rFonts w:ascii="Arial" w:hAnsi="Arial"/>
        </w:rPr>
        <w:t>: &lt; 1 500 000 EUR</w:t>
      </w:r>
    </w:p>
    <w:p w14:paraId="41F89E74" w14:textId="46E0540E" w:rsidR="00560408" w:rsidRPr="00FF7CCF" w:rsidRDefault="00624300" w:rsidP="00FF7CCF">
      <w:pPr>
        <w:ind w:left="426"/>
        <w:rPr>
          <w:rFonts w:ascii="Arial" w:hAnsi="Arial" w:cs="Arial"/>
        </w:rPr>
      </w:pPr>
      <w:r>
        <w:rPr>
          <w:rFonts w:ascii="Arial" w:hAnsi="Arial"/>
        </w:rPr>
        <w:t xml:space="preserve">Искане на оферта от множество доставчици. Възлагане на „Икономически най-изгодната оферта“. </w:t>
      </w:r>
    </w:p>
    <w:p w14:paraId="722B33D7" w14:textId="3BE24D5E" w:rsidR="00560408" w:rsidRPr="00FF7CCF" w:rsidRDefault="00033DC3" w:rsidP="00FF7CCF">
      <w:pPr>
        <w:ind w:left="426"/>
        <w:rPr>
          <w:rFonts w:ascii="Arial" w:hAnsi="Arial" w:cs="Arial"/>
        </w:rPr>
      </w:pPr>
      <w:r>
        <w:rPr>
          <w:rFonts w:ascii="Arial" w:hAnsi="Arial"/>
          <w:i/>
        </w:rPr>
        <w:t>Предимства</w:t>
      </w:r>
      <w:r>
        <w:rPr>
          <w:rFonts w:ascii="Arial" w:hAnsi="Arial"/>
        </w:rPr>
        <w:t xml:space="preserve">: Кратко време за изпълнение, ниски процедурни разходи, възможност за договаряне, гъвкавост   </w:t>
      </w:r>
    </w:p>
    <w:p w14:paraId="13255528" w14:textId="0554B7E5" w:rsidR="00FF7CCF" w:rsidRPr="005C5B6D" w:rsidRDefault="00033DC3" w:rsidP="005C5B6D">
      <w:pPr>
        <w:ind w:left="426"/>
        <w:rPr>
          <w:rFonts w:ascii="Arial" w:hAnsi="Arial" w:cs="Arial"/>
        </w:rPr>
      </w:pPr>
      <w:r>
        <w:rPr>
          <w:rFonts w:ascii="Arial" w:hAnsi="Arial"/>
          <w:i/>
        </w:rPr>
        <w:t>Недостатъци</w:t>
      </w:r>
      <w:r>
        <w:rPr>
          <w:rFonts w:ascii="Arial" w:hAnsi="Arial"/>
        </w:rPr>
        <w:t xml:space="preserve">: Много оференти не виждат поканата; няма възможност за договаряне.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color w:val="3DC3C6"/>
        </w:rPr>
        <w:t>Национална процедура</w:t>
      </w:r>
      <w:r>
        <w:rPr>
          <w:rFonts w:ascii="Arial" w:hAnsi="Arial"/>
          <w:color w:val="3DC3C6"/>
        </w:rPr>
        <w:t xml:space="preserve">: </w:t>
      </w:r>
      <w:r>
        <w:rPr>
          <w:rFonts w:ascii="Arial" w:hAnsi="Arial"/>
        </w:rPr>
        <w:t>със или без кръг за подбор</w:t>
      </w:r>
    </w:p>
    <w:p w14:paraId="4B7F6BC3" w14:textId="2F9CEEB4" w:rsidR="00560408" w:rsidRPr="004C0EBD" w:rsidRDefault="00560408" w:rsidP="0075115D">
      <w:pPr>
        <w:pStyle w:val="BodyText1"/>
        <w:numPr>
          <w:ilvl w:val="0"/>
          <w:numId w:val="26"/>
        </w:numPr>
        <w:ind w:left="1134" w:firstLine="0"/>
      </w:pPr>
      <w:r>
        <w:t xml:space="preserve">За </w:t>
      </w:r>
      <w:r>
        <w:rPr>
          <w:i/>
        </w:rPr>
        <w:t>Доставки</w:t>
      </w:r>
      <w:r>
        <w:t xml:space="preserve"> на децентрализирани (частично публични) органи: &lt; 215 000 EUR</w:t>
      </w:r>
    </w:p>
    <w:p w14:paraId="1E677ECC" w14:textId="327E482F" w:rsidR="00560408" w:rsidRPr="004C0EBD" w:rsidRDefault="00560408" w:rsidP="0075115D">
      <w:pPr>
        <w:pStyle w:val="BodyText1"/>
        <w:numPr>
          <w:ilvl w:val="0"/>
          <w:numId w:val="26"/>
        </w:numPr>
        <w:ind w:left="1418" w:hanging="284"/>
      </w:pPr>
      <w:r>
        <w:t xml:space="preserve">За </w:t>
      </w:r>
      <w:r>
        <w:rPr>
          <w:i/>
        </w:rPr>
        <w:t>Доставки</w:t>
      </w:r>
      <w:r>
        <w:t xml:space="preserve"> на организации от, наред с другото, сектора на водите, енергетиката или транспорта: &lt; 431 000 EUR</w:t>
      </w:r>
    </w:p>
    <w:p w14:paraId="309D7CF0" w14:textId="31A3EFEB" w:rsidR="00560408" w:rsidRPr="004C0EBD" w:rsidRDefault="00560408" w:rsidP="0075115D">
      <w:pPr>
        <w:pStyle w:val="BodyText1"/>
        <w:numPr>
          <w:ilvl w:val="0"/>
          <w:numId w:val="26"/>
        </w:numPr>
        <w:ind w:left="1134" w:firstLine="0"/>
      </w:pPr>
      <w:r>
        <w:t xml:space="preserve">За </w:t>
      </w:r>
      <w:r>
        <w:rPr>
          <w:i/>
        </w:rPr>
        <w:t>Строителни работи</w:t>
      </w:r>
      <w:r>
        <w:t>: &lt; 5 382 000 EUR</w:t>
      </w:r>
    </w:p>
    <w:p w14:paraId="78D6BC75" w14:textId="16162A04" w:rsidR="009E09C2" w:rsidRPr="004C0EBD" w:rsidRDefault="00033DC3" w:rsidP="00FF7CCF">
      <w:pPr>
        <w:pStyle w:val="BodyText1"/>
        <w:ind w:left="426"/>
      </w:pPr>
      <w:r>
        <w:t xml:space="preserve">Обявление за обществена поръчка на </w:t>
      </w:r>
      <w:hyperlink r:id="rId15" w:tooltip="Външна връзка: tenderned.nl" w:history="1">
        <w:proofErr w:type="spellStart"/>
        <w:r>
          <w:rPr>
            <w:color w:val="D52B1E"/>
            <w:u w:val="single"/>
          </w:rPr>
          <w:t>TenderNed</w:t>
        </w:r>
        <w:proofErr w:type="spellEnd"/>
      </w:hyperlink>
      <w:r>
        <w:t xml:space="preserve">, а вероятно и в търговски списания и вестници. Когато се използва кръг за подбор, често пет доставчика се приканват да подадат оферта.  </w:t>
      </w:r>
      <w:r>
        <w:cr/>
      </w:r>
      <w:r>
        <w:br/>
      </w:r>
      <w:r>
        <w:rPr>
          <w:i/>
        </w:rPr>
        <w:t>Предимства</w:t>
      </w:r>
      <w:r>
        <w:t>: Голяма конкуренция, съотношение цена/качество в съответствие с пазара; обективност; прозрачност</w:t>
      </w:r>
      <w:r>
        <w:cr/>
      </w:r>
      <w:r>
        <w:br/>
      </w:r>
      <w:r>
        <w:rPr>
          <w:i/>
        </w:rPr>
        <w:t>Недостатъци</w:t>
      </w:r>
      <w:r>
        <w:t xml:space="preserve">: Дълго време за изпълнение, значителни процедурни разходи, малко гъвкавост.    </w:t>
      </w:r>
      <w:r>
        <w:cr/>
      </w:r>
      <w:r>
        <w:br/>
      </w: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Европейска покана за участие в търг</w:t>
      </w:r>
      <w:r>
        <w:rPr>
          <w:rFonts w:ascii="Arial" w:hAnsi="Arial"/>
          <w:color w:val="3DC3C6"/>
        </w:rPr>
        <w:t xml:space="preserve">: </w:t>
      </w:r>
      <w:r>
        <w:rPr>
          <w:rFonts w:ascii="Arial" w:hAnsi="Arial"/>
        </w:rPr>
        <w:t xml:space="preserve">със или без кръг за подбор.  </w:t>
      </w:r>
    </w:p>
    <w:p w14:paraId="757143C4" w14:textId="77777777" w:rsidR="005C5B6D" w:rsidRDefault="00033DC3" w:rsidP="005C5B6D">
      <w:pPr>
        <w:pStyle w:val="BodyText1"/>
        <w:ind w:left="426"/>
      </w:pPr>
      <w:r>
        <w:t xml:space="preserve">Обявление на </w:t>
      </w:r>
      <w:proofErr w:type="spellStart"/>
      <w:r>
        <w:t>TenderNed</w:t>
      </w:r>
      <w:proofErr w:type="spellEnd"/>
      <w:r>
        <w:t xml:space="preserve">. Когато се използва кръг за подбор, често пет доставчика се приканват да подадат оферта. </w:t>
      </w:r>
    </w:p>
    <w:p w14:paraId="4143539F" w14:textId="4E9EFE66" w:rsidR="00033DC3" w:rsidRPr="004C0EBD" w:rsidRDefault="00033DC3" w:rsidP="005C5B6D">
      <w:pPr>
        <w:pStyle w:val="BodyText1"/>
        <w:ind w:left="426"/>
      </w:pPr>
      <w:r>
        <w:t xml:space="preserve"> </w:t>
      </w:r>
      <w:r>
        <w:rPr>
          <w:i/>
        </w:rPr>
        <w:t>Предимства</w:t>
      </w:r>
      <w:r>
        <w:t xml:space="preserve">: Целият пазар може да подава оферта; висок конкурентен натиск; обективност; прозрачност </w:t>
      </w:r>
    </w:p>
    <w:p w14:paraId="09E05DD5" w14:textId="57DCC175" w:rsidR="009E09C2" w:rsidRDefault="00033DC3" w:rsidP="005C5B6D">
      <w:pPr>
        <w:pStyle w:val="BodyText1"/>
        <w:ind w:left="426"/>
      </w:pPr>
      <w:r>
        <w:rPr>
          <w:i/>
        </w:rPr>
        <w:t>Недостатъци:</w:t>
      </w:r>
      <w:r>
        <w:t xml:space="preserve"> Дълга процедура; високи процедурни разходи в случай на (твърде) много подадени оферти; не е възможно договаряне, малко гъвкавост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За повече информация относно националните прагови стойности: </w:t>
      </w:r>
      <w:hyperlink r:id="rId16" w:history="1">
        <w:r>
          <w:rPr>
            <w:rStyle w:val="Hyperlink"/>
            <w:color w:val="3DC3C6"/>
          </w:rPr>
          <w:t>https://www.pianoo.nl/nl/inkoopproces/aanbestedingsprocedures/nationale-procedures/circulaire-grensbedragen-rijksoverheid</w:t>
        </w:r>
      </w:hyperlink>
    </w:p>
    <w:p w14:paraId="1FB54116" w14:textId="6FC9952D" w:rsidR="009E09C2" w:rsidRPr="004C0EBD" w:rsidRDefault="00560408" w:rsidP="005C5B6D">
      <w:pPr>
        <w:pStyle w:val="BodyText1"/>
        <w:jc w:val="left"/>
        <w:rPr>
          <w:sz w:val="18"/>
          <w:szCs w:val="18"/>
        </w:rPr>
      </w:pPr>
      <w:r>
        <w:t xml:space="preserve">За повече информация относно европейските прагови стойности:  </w:t>
      </w:r>
      <w:r>
        <w:cr/>
      </w:r>
      <w:r>
        <w:br/>
      </w:r>
      <w:hyperlink r:id="rId17" w:history="1">
        <w:r>
          <w:rPr>
            <w:rStyle w:val="Hyperlink"/>
            <w:color w:val="3DC3C6"/>
          </w:rPr>
          <w:t>https://www.pianoo.nl/nl/regelgeving/drempelbedragen-europees-aanbesteden</w:t>
        </w:r>
      </w:hyperlink>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Съвет 3</w:t>
      </w:r>
      <w:r>
        <w:rPr>
          <w:rFonts w:ascii="Arial" w:hAnsi="Arial"/>
          <w:color w:val="70AD47" w:themeColor="accent6"/>
        </w:rPr>
        <w:t xml:space="preserve"> </w:t>
      </w:r>
      <w:r>
        <w:rPr>
          <w:rFonts w:ascii="Arial" w:hAnsi="Arial"/>
        </w:rPr>
        <w:t>За по-големи проекти, &gt; 2 </w:t>
      </w:r>
      <w:proofErr w:type="spellStart"/>
      <w:r>
        <w:rPr>
          <w:rFonts w:ascii="Arial" w:hAnsi="Arial"/>
        </w:rPr>
        <w:t>MWp</w:t>
      </w:r>
      <w:proofErr w:type="spellEnd"/>
      <w:r>
        <w:rPr>
          <w:rFonts w:ascii="Arial" w:hAnsi="Arial"/>
        </w:rPr>
        <w:t xml:space="preserve">, </w:t>
      </w:r>
      <w:r>
        <w:rPr>
          <w:rFonts w:ascii="Arial" w:hAnsi="Arial"/>
          <w:b/>
          <w:color w:val="104D54"/>
        </w:rPr>
        <w:t>приложение 3</w:t>
      </w:r>
      <w:r>
        <w:rPr>
          <w:rFonts w:ascii="Arial" w:hAnsi="Arial"/>
        </w:rPr>
        <w:t xml:space="preserve"> съдържа списък</w:t>
      </w:r>
      <w:r w:rsidRPr="005C5B6D">
        <w:rPr>
          <w:rStyle w:val="FootnoteReference"/>
          <w:rFonts w:ascii="Arial" w:hAnsi="Arial" w:cs="Arial"/>
        </w:rPr>
        <w:footnoteReference w:id="1"/>
      </w:r>
      <w:r>
        <w:rPr>
          <w:rFonts w:ascii="Arial" w:hAnsi="Arial"/>
        </w:rPr>
        <w:t xml:space="preserve"> на дружествата, които извършват инсталиране, организатори на проекти и дружества от сферата на EPC [</w:t>
      </w:r>
      <w:proofErr w:type="spellStart"/>
      <w:r>
        <w:rPr>
          <w:rFonts w:ascii="Arial" w:hAnsi="Arial"/>
          <w:i/>
        </w:rPr>
        <w:t>Energieprestatiecontracten</w:t>
      </w:r>
      <w:proofErr w:type="spellEnd"/>
      <w:r>
        <w:rPr>
          <w:rFonts w:ascii="Arial" w:hAnsi="Arial"/>
        </w:rPr>
        <w:t xml:space="preserve"> — Договори за спестяване на енергия с гарантиран резултат] с опит с по-мащабни проекти в Нидерландия.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5C5B6D">
      <w:pPr>
        <w:ind w:left="851"/>
        <w:rPr>
          <w:rFonts w:ascii="Arial" w:eastAsiaTheme="majorEastAsia" w:hAnsi="Arial" w:cs="Arial"/>
          <w:color w:val="92D050"/>
          <w:sz w:val="32"/>
          <w:szCs w:val="32"/>
        </w:rPr>
      </w:pPr>
    </w:p>
    <w:p w14:paraId="0F9139DA" w14:textId="55EA2FB1" w:rsidR="00FA7BE8" w:rsidRPr="004C0EBD" w:rsidRDefault="00C71DF9" w:rsidP="00AE6706">
      <w:pPr>
        <w:pStyle w:val="MH2"/>
      </w:pPr>
      <w:bookmarkStart w:id="71" w:name="_Toc180504648"/>
      <w:r>
        <w:t>Стъпка 4 Разрешения и присъединяване към мрежата</w:t>
      </w:r>
      <w:bookmarkEnd w:id="71"/>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Тази стъпка ще бъде посветена на екологичните разрешения и разрешенията за строеж, а също и в нея ще се разгледат някои възможности за присъединяване към мрежата.</w:t>
      </w:r>
    </w:p>
    <w:p w14:paraId="51CE28AD" w14:textId="77777777" w:rsidR="00BA688B" w:rsidRPr="004C0EBD" w:rsidRDefault="00BA688B" w:rsidP="00A3595E"/>
    <w:p w14:paraId="3536D660" w14:textId="690EBEDC" w:rsidR="00B54C59" w:rsidRPr="004C0EBD" w:rsidRDefault="00444DFF" w:rsidP="00AE6706">
      <w:pPr>
        <w:pStyle w:val="MH3"/>
      </w:pPr>
      <w:bookmarkStart w:id="72" w:name="_Toc180504649"/>
      <w:r>
        <w:t>4.1 Разрешения</w:t>
      </w:r>
      <w:bookmarkEnd w:id="72"/>
    </w:p>
    <w:p w14:paraId="3795DE65" w14:textId="4B9F62D4" w:rsidR="006171C0" w:rsidRPr="004C0EBD" w:rsidRDefault="00E97EDE" w:rsidP="005C5B6D">
      <w:pPr>
        <w:pStyle w:val="BodyText1"/>
      </w:pPr>
      <w:r>
        <w:t xml:space="preserve">Много проекти биват забавяни поради това, че не са подадени (навреме) заявления за екологични разрешения.  </w:t>
      </w:r>
      <w:r>
        <w:cr/>
      </w:r>
      <w:r>
        <w:br/>
        <w:t xml:space="preserve">Ето защо е най-добре да се подадат заявления за необходимите разрешения колкото е възможно по-рано в процеса.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Това може да доведе до допълнителни изисквания: </w:t>
      </w:r>
    </w:p>
    <w:p w14:paraId="038A1C40" w14:textId="77777777" w:rsidR="005C5B6D" w:rsidRDefault="00B54C59" w:rsidP="0075115D">
      <w:pPr>
        <w:pStyle w:val="BodyText1"/>
        <w:numPr>
          <w:ilvl w:val="0"/>
          <w:numId w:val="28"/>
        </w:numPr>
      </w:pPr>
      <w:r>
        <w:t xml:space="preserve">За проекти от типа </w:t>
      </w:r>
      <w:proofErr w:type="spellStart"/>
      <w:r>
        <w:rPr>
          <w:b/>
          <w:i/>
          <w:color w:val="3DC3C6"/>
        </w:rPr>
        <w:t>Sun-on-Roof</w:t>
      </w:r>
      <w:proofErr w:type="spellEnd"/>
      <w:r>
        <w:rPr>
          <w:color w:val="3DC3C6"/>
        </w:rPr>
        <w:t xml:space="preserve"> </w:t>
      </w:r>
      <w:r>
        <w:t xml:space="preserve">обикновено </w:t>
      </w:r>
      <w:r>
        <w:rPr>
          <w:i/>
        </w:rPr>
        <w:t xml:space="preserve">не се </w:t>
      </w:r>
      <w:r>
        <w:t xml:space="preserve">изискват екологични разрешения.  </w:t>
      </w:r>
      <w:r>
        <w:cr/>
      </w:r>
      <w:r>
        <w:br/>
        <w:t>Изисква се разрешение обаче за сградите, обявени за паметници на културата.</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 xml:space="preserve">За проекти от типа </w:t>
      </w:r>
      <w:proofErr w:type="spellStart"/>
      <w:r>
        <w:rPr>
          <w:rFonts w:ascii="Arial" w:hAnsi="Arial"/>
          <w:b/>
          <w:i/>
          <w:color w:val="3DC3C6"/>
        </w:rPr>
        <w:t>Sun-on-Land</w:t>
      </w:r>
      <w:proofErr w:type="spellEnd"/>
      <w:r>
        <w:rPr>
          <w:rFonts w:ascii="Arial" w:hAnsi="Arial"/>
          <w:color w:val="3DC3C6"/>
        </w:rPr>
        <w:t xml:space="preserve"> </w:t>
      </w:r>
      <w:r>
        <w:rPr>
          <w:rFonts w:ascii="Arial" w:hAnsi="Arial"/>
        </w:rPr>
        <w:t>може да се изискват следните разрешения и замервания:</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План за </w:t>
      </w:r>
      <w:proofErr w:type="spellStart"/>
      <w:r>
        <w:rPr>
          <w:rFonts w:ascii="Arial" w:hAnsi="Arial"/>
        </w:rPr>
        <w:t>зониране</w:t>
      </w:r>
      <w:proofErr w:type="spellEnd"/>
      <w:r>
        <w:rPr>
          <w:rFonts w:ascii="Arial" w:hAnsi="Arial"/>
        </w:rPr>
        <w:t xml:space="preserve">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Разрешение за строеж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Екологично разрешение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Проучване, свързано с екологични въпроси/редки животински видове</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Археологически обекти </w:t>
      </w:r>
    </w:p>
    <w:p w14:paraId="01E78BF9" w14:textId="10ED3E5F" w:rsidR="008A22BE" w:rsidRPr="005C5B6D" w:rsidRDefault="005E3DD0" w:rsidP="0075115D">
      <w:pPr>
        <w:pStyle w:val="ListParagraph"/>
        <w:numPr>
          <w:ilvl w:val="1"/>
          <w:numId w:val="30"/>
        </w:numPr>
        <w:rPr>
          <w:rFonts w:ascii="Arial" w:hAnsi="Arial" w:cs="Arial"/>
        </w:rPr>
      </w:pPr>
      <w:r>
        <w:rPr>
          <w:rFonts w:ascii="Arial" w:hAnsi="Arial"/>
        </w:rPr>
        <w:t>Проучване на изоставени експлозиви</w:t>
      </w:r>
      <w:r>
        <w:t xml:space="preserve">  </w:t>
      </w:r>
      <w:r>
        <w:cr/>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За проекти от типа </w:t>
      </w:r>
      <w:proofErr w:type="spellStart"/>
      <w:r>
        <w:rPr>
          <w:rFonts w:ascii="Arial" w:hAnsi="Arial"/>
          <w:b/>
          <w:i/>
          <w:color w:val="3DC3C6"/>
        </w:rPr>
        <w:t>Sun-on-Water</w:t>
      </w:r>
      <w:proofErr w:type="spellEnd"/>
      <w:r>
        <w:rPr>
          <w:rFonts w:ascii="Arial" w:hAnsi="Arial"/>
          <w:color w:val="3DC3C6"/>
        </w:rPr>
        <w:t xml:space="preserve"> </w:t>
      </w:r>
      <w:r>
        <w:rPr>
          <w:rFonts w:ascii="Arial" w:hAnsi="Arial"/>
        </w:rPr>
        <w:t xml:space="preserve">се изискват различни разрешителни: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Екологично разрешение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План за </w:t>
      </w:r>
      <w:proofErr w:type="spellStart"/>
      <w:r>
        <w:rPr>
          <w:rFonts w:ascii="Arial" w:hAnsi="Arial"/>
        </w:rPr>
        <w:t>зониране</w:t>
      </w:r>
      <w:proofErr w:type="spellEnd"/>
      <w:r>
        <w:rPr>
          <w:rFonts w:ascii="Arial" w:hAnsi="Arial"/>
        </w:rPr>
        <w:t xml:space="preserve">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Разрешение за строеж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Относно проектите от типа „</w:t>
      </w:r>
      <w:proofErr w:type="spellStart"/>
      <w:r>
        <w:t>Sun-on-Water</w:t>
      </w:r>
      <w:proofErr w:type="spellEnd"/>
      <w:r>
        <w:t xml:space="preserve">“ имайте предвид: Проекти за фотоволтаични системи не се разрешават за редица видове водни площи заради уязвими или редки видове. Такива площи включват езера, блата, извори и тресавища.  </w:t>
      </w:r>
    </w:p>
    <w:p w14:paraId="7F426014" w14:textId="268BB29D" w:rsidR="00E611E7" w:rsidRPr="005C5B6D" w:rsidRDefault="00E97EDE" w:rsidP="005C5B6D">
      <w:pPr>
        <w:pStyle w:val="BodyText1"/>
      </w:pPr>
      <w:r>
        <w:cr/>
      </w:r>
      <w:r>
        <w:br/>
        <w:t>Затова е от съществено значение първо да се направи консултация с Органа по водите. Органът по водите често определя специфични за проекта изисквания, когато проектът е от типа „</w:t>
      </w:r>
      <w:proofErr w:type="spellStart"/>
      <w:r>
        <w:t>Sun-on-Water</w:t>
      </w:r>
      <w:proofErr w:type="spellEnd"/>
      <w:r>
        <w:t>“</w:t>
      </w:r>
      <w:r w:rsidRPr="005C5B6D">
        <w:rPr>
          <w:rStyle w:val="FootnoteReference"/>
          <w:vertAlign w:val="baseline"/>
        </w:rPr>
        <w:footnoteReference w:id="2"/>
      </w:r>
      <w:r>
        <w:t>. Освен това винаги следва да имате предвид, че „</w:t>
      </w:r>
      <w:proofErr w:type="spellStart"/>
      <w:r>
        <w:t>Sun-on-Water</w:t>
      </w:r>
      <w:proofErr w:type="spellEnd"/>
      <w:r>
        <w:t xml:space="preserve">“ все още е сравнително ново понятие. Съществуват много различни системи и материали, но все още няма надеждни критерии или стандартизирани тестове за плаващите системи и системите за инсталация. Дори и във вътрешните води има риск системите да не траят повече от 10—15 години заради вятъра и вълните. </w:t>
      </w:r>
    </w:p>
    <w:p w14:paraId="6360BEE7" w14:textId="77777777" w:rsidR="005C5B6D" w:rsidRPr="004C0EBD" w:rsidRDefault="005C5B6D" w:rsidP="005C5B6D">
      <w:pPr>
        <w:pStyle w:val="BodyText1"/>
      </w:pPr>
    </w:p>
    <w:p w14:paraId="5E7E5410" w14:textId="53E4B5B3" w:rsidR="00B54C59" w:rsidRPr="004C0EBD" w:rsidRDefault="00444DFF" w:rsidP="00AE6706">
      <w:pPr>
        <w:pStyle w:val="MH3"/>
      </w:pPr>
      <w:bookmarkStart w:id="73" w:name="_Toc180504650"/>
      <w:r>
        <w:t>4.2 Присъединяване към мрежата: възможности и съображения</w:t>
      </w:r>
      <w:bookmarkEnd w:id="73"/>
    </w:p>
    <w:p w14:paraId="7DF4F35F" w14:textId="13A80543" w:rsidR="005C7AE9" w:rsidRPr="004C0EBD" w:rsidRDefault="0029163B" w:rsidP="00B848B1">
      <w:pPr>
        <w:pStyle w:val="BodyText1"/>
      </w:pPr>
      <w:r>
        <w:t xml:space="preserve">Възможностите за свързване с мрежата зависят от броя слънчеви панели, които изберете. Понякога добър вариант е да се монтират по-малко панели от максималния възможен брой, за да не се надхвърлят границите на съществуващото присъединяване към мрежата.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Следните въпроси и съображения са важни от гледна точка на това да се направи правилният избор:  </w:t>
      </w:r>
      <w:r>
        <w:cr/>
      </w:r>
      <w:r>
        <w:br/>
      </w:r>
    </w:p>
    <w:p w14:paraId="0D949EEB" w14:textId="2273F828" w:rsidR="00154E4F" w:rsidRPr="004C0EBD" w:rsidRDefault="00154E4F" w:rsidP="0075115D">
      <w:pPr>
        <w:pStyle w:val="ListParagraph"/>
        <w:numPr>
          <w:ilvl w:val="0"/>
          <w:numId w:val="32"/>
        </w:numPr>
      </w:pPr>
      <w:r>
        <w:rPr>
          <w:rFonts w:ascii="Arial" w:hAnsi="Arial"/>
          <w:b/>
          <w:color w:val="3DC3C6"/>
        </w:rPr>
        <w:t>Собствено потребление на обекта</w:t>
      </w:r>
      <w:r>
        <w:cr/>
      </w:r>
      <w:r>
        <w:br/>
        <w:t xml:space="preserve">Какво е съотношението на максималната мощност през деня спрямо потреблението на обекта през деня и през зимата и лятото?  </w:t>
      </w:r>
      <w:r>
        <w:cr/>
      </w:r>
      <w:r>
        <w:br/>
      </w:r>
    </w:p>
    <w:p w14:paraId="6290D5E8" w14:textId="77777777" w:rsidR="00B848B1" w:rsidRPr="00B848B1" w:rsidRDefault="0029163B" w:rsidP="0075115D">
      <w:pPr>
        <w:pStyle w:val="ListParagraph"/>
        <w:numPr>
          <w:ilvl w:val="0"/>
          <w:numId w:val="33"/>
        </w:numPr>
        <w:tabs>
          <w:tab w:val="left" w:pos="1134"/>
        </w:tabs>
        <w:ind w:left="709" w:hanging="349"/>
      </w:pPr>
      <w:r>
        <w:rPr>
          <w:rFonts w:ascii="Arial" w:hAnsi="Arial"/>
          <w:b/>
          <w:color w:val="3DC3C6"/>
        </w:rPr>
        <w:t>Адаптиране на присъединяването към мрежата или инсталиране на EMS</w:t>
      </w:r>
      <w:r>
        <w:rPr>
          <w:color w:val="3DC3C6"/>
        </w:rPr>
        <w:t xml:space="preserve"> </w:t>
      </w:r>
      <w:r>
        <w:cr/>
      </w:r>
      <w:r>
        <w:br/>
      </w:r>
      <w:r>
        <w:rPr>
          <w:rFonts w:ascii="Arial" w:hAnsi="Arial"/>
        </w:rPr>
        <w:t xml:space="preserve">Мощността за променлив ток на инверторите обикновено е 50—75 % от мощността за постоянен ток на слънчевите панели. Ако мощността за променлив ток е по-голяма от присъединяване към мрежата, възможностите са две:  </w:t>
      </w:r>
    </w:p>
    <w:p w14:paraId="0E4E0D93" w14:textId="05E94F38" w:rsidR="00B848B1" w:rsidRPr="00B848B1" w:rsidRDefault="0029163B" w:rsidP="00B848B1">
      <w:pPr>
        <w:tabs>
          <w:tab w:val="left" w:pos="1134"/>
        </w:tabs>
        <w:ind w:left="709" w:hanging="349"/>
      </w:pPr>
      <w:r>
        <w:rPr>
          <w:rFonts w:ascii="Arial" w:hAnsi="Arial"/>
        </w:rPr>
        <w:cr/>
      </w:r>
      <w:r>
        <w:rPr>
          <w:rFonts w:ascii="Arial" w:hAnsi="Arial"/>
        </w:rPr>
        <w:br/>
      </w:r>
      <w:r>
        <w:rPr>
          <w:rFonts w:ascii="Arial" w:hAnsi="Arial"/>
          <w:i/>
          <w:color w:val="3DC3C6"/>
        </w:rPr>
        <w:t>Възможност 1 — Увеличаване на капацитета за присъединяване към мрежата</w:t>
      </w:r>
      <w:r>
        <w:rPr>
          <w:rFonts w:ascii="Arial" w:hAnsi="Arial"/>
          <w:color w:val="3DC3C6"/>
        </w:rPr>
        <w:t xml:space="preserve"> </w:t>
      </w:r>
      <w:r>
        <w:rPr>
          <w:rFonts w:ascii="Arial" w:hAnsi="Arial"/>
        </w:rPr>
        <w:cr/>
      </w:r>
      <w:r>
        <w:rPr>
          <w:rFonts w:ascii="Arial" w:hAnsi="Arial"/>
        </w:rPr>
        <w:br/>
        <w:t xml:space="preserve">Следва да се консултирате с оператора на мрежата за това колко дълго ще бъде времето за изчакване и да го попитате каква ще бъде цената...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t xml:space="preserve">времето за изчакване за по-широкомащабно присъединяване към мрежата може да бъде до пет години (!) </w:t>
      </w:r>
    </w:p>
    <w:p w14:paraId="743281D9" w14:textId="16181A6F"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освен това и авансовите, и годишните разходи могат да бъдат високи, поради което икономическата обосновка ще загуби от своята привлекателност в сравнение с това да останете в рамките на мощността на съществуващото присъединяване.</w:t>
      </w:r>
      <w:r>
        <w:rPr>
          <w:rFonts w:ascii="Arial" w:hAnsi="Arial"/>
        </w:rPr>
        <w:cr/>
      </w:r>
      <w:r>
        <w:rPr>
          <w:rFonts w:ascii="Arial" w:hAnsi="Arial"/>
        </w:rPr>
        <w:br/>
        <w:t xml:space="preserve">   </w:t>
      </w:r>
      <w:r>
        <w:rPr>
          <w:rFonts w:ascii="Arial" w:hAnsi="Arial"/>
        </w:rPr>
        <w:cr/>
      </w:r>
      <w:r>
        <w:rPr>
          <w:rFonts w:ascii="Arial" w:hAnsi="Arial"/>
        </w:rPr>
        <w:br/>
      </w:r>
      <w:r>
        <w:rPr>
          <w:rFonts w:ascii="Arial" w:hAnsi="Arial"/>
          <w:i/>
          <w:color w:val="3DC3C6"/>
        </w:rPr>
        <w:t xml:space="preserve">Възможност 2 — Използване на система за енергийно управление </w:t>
      </w:r>
      <w:r>
        <w:rPr>
          <w:rFonts w:ascii="Arial" w:hAnsi="Arial"/>
          <w:color w:val="3DC3C6"/>
        </w:rPr>
        <w:t xml:space="preserve">(EMS) </w:t>
      </w:r>
      <w:r>
        <w:rPr>
          <w:rFonts w:ascii="Arial" w:hAnsi="Arial"/>
        </w:rPr>
        <w:cr/>
      </w:r>
      <w:r>
        <w:rPr>
          <w:rFonts w:ascii="Arial" w:hAnsi="Arial"/>
        </w:rPr>
        <w:br/>
        <w:t>EMS извършва постоянно наблюдение на производството на електроенергия от фотоволтаичната система и на потреблението на електроенергия и гарантира, че в мрежата никога не се връща обратно повече от опредено количество електроенергия.</w:t>
      </w:r>
      <w:r>
        <w:t xml:space="preserve">   </w:t>
      </w:r>
      <w:r>
        <w:cr/>
      </w:r>
      <w:r>
        <w:br/>
      </w:r>
    </w:p>
    <w:p w14:paraId="398544DD" w14:textId="0F95D864" w:rsidR="00560408" w:rsidRPr="004C0EBD" w:rsidRDefault="00B54067" w:rsidP="0075115D">
      <w:pPr>
        <w:pStyle w:val="ListParagraph"/>
        <w:numPr>
          <w:ilvl w:val="0"/>
          <w:numId w:val="35"/>
        </w:numPr>
        <w:ind w:left="709" w:hanging="283"/>
        <w:rPr>
          <w:b/>
          <w:bCs/>
        </w:rPr>
      </w:pPr>
      <w:r>
        <w:rPr>
          <w:rFonts w:ascii="Arial" w:hAnsi="Arial"/>
          <w:b/>
          <w:color w:val="3DC3C6"/>
        </w:rPr>
        <w:t>Зарядни точки и електрически автомобили</w:t>
      </w:r>
      <w:r>
        <w:cr/>
      </w:r>
      <w:r>
        <w:br/>
      </w:r>
      <w:r>
        <w:rPr>
          <w:rFonts w:ascii="Arial" w:hAnsi="Arial"/>
        </w:rPr>
        <w:t>На обекта има ли зарядни точки за електрически автомобили или планове за поставяне на такива в близко бъдеще? Какво означава това от гледна точка на електрическото свързване? Предвид наличната слънчева енергия, тарифата за електроенергия или присъединяването към мрежата желателно ли е да има „интелигентно зареждане“?</w:t>
      </w:r>
      <w:r>
        <w:t xml:space="preserve">  </w:t>
      </w:r>
      <w:r>
        <w:cr/>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Управление на товара</w:t>
      </w:r>
      <w:r>
        <w:cr/>
      </w:r>
      <w:r>
        <w:br/>
      </w:r>
      <w:r>
        <w:rPr>
          <w:rFonts w:ascii="Arial" w:hAnsi="Arial"/>
        </w:rPr>
        <w:t xml:space="preserve">Възможно ли е определени устройства и машини да се управляват по „интелигентен“ начин и да се включват само в определени моменти? Ползи: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Оставате в рамките на съществуващото присъединяване към мрежата и за потреблението, и за производството</w:t>
      </w:r>
    </w:p>
    <w:p w14:paraId="15D808A4" w14:textId="103A8FF5"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Възползвате се от ниските цени и се изключвате от мрежата, когато цените са високи.</w:t>
      </w:r>
      <w:r>
        <w:rPr>
          <w:color w:val="000000" w:themeColor="text1"/>
        </w:rPr>
        <w:t xml:space="preserve">  </w:t>
      </w:r>
      <w:r>
        <w:cr/>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Акумулаторни батерии</w:t>
      </w:r>
      <w:r>
        <w:cr/>
      </w:r>
      <w:r>
        <w:br/>
      </w:r>
      <w:r>
        <w:rPr>
          <w:rFonts w:ascii="Arial" w:hAnsi="Arial"/>
        </w:rPr>
        <w:t xml:space="preserve">Добавянето на акумулаторни батерии към EMS добавя повече възможности. За да остане в рамките на съществуващото присъединяване към мрежата, всяка енергия, произведена отвъд максималната мощност на присъединяване към мрежата, може да се съхранява в акумулаторната батерия. </w:t>
      </w:r>
    </w:p>
    <w:p w14:paraId="7232CC23" w14:textId="44ED6275" w:rsidR="000E3421" w:rsidRPr="009F1963" w:rsidRDefault="0052536B" w:rsidP="00585024">
      <w:pPr>
        <w:ind w:left="709"/>
        <w:jc w:val="both"/>
        <w:rPr>
          <w:rFonts w:ascii="Arial" w:hAnsi="Arial" w:cs="Arial"/>
        </w:rPr>
      </w:pPr>
      <w:r>
        <w:rPr>
          <w:rFonts w:ascii="Arial" w:hAnsi="Arial"/>
        </w:rPr>
        <w:t xml:space="preserve">Възвръщаемостта от акумулаторните батерии в момента е доста дълга и непредвидима. Икономическата обосновка на различните цели може да бъде анализирана: 1) ограничаване на производството на електроенергия от фотоволтаичната система в рамките на съществуващото присъединяване; 2) ограничаване на процента на собственото потребление на слънчева енергия; 3) финансова оптимизация.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Съвет 4</w:t>
      </w:r>
      <w:r>
        <w:rPr>
          <w:rFonts w:ascii="Arial" w:hAnsi="Arial"/>
          <w:color w:val="FFFFFF" w:themeColor="background1"/>
        </w:rPr>
        <w:t xml:space="preserve"> </w:t>
      </w:r>
      <w:r>
        <w:rPr>
          <w:rFonts w:ascii="Arial" w:hAnsi="Arial"/>
          <w:color w:val="104D54"/>
        </w:rPr>
        <w:t xml:space="preserve">В този случай съдействие могат да окажат и специализирани консултанти. Ще намерите (все още неизчерпателен) списък със специализирани консултанти в </w:t>
      </w:r>
      <w:r>
        <w:rPr>
          <w:rFonts w:ascii="Arial" w:hAnsi="Arial"/>
          <w:b/>
          <w:color w:val="104D54"/>
          <w:u w:val="single"/>
        </w:rPr>
        <w:t>приложение 4</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Ако е подходящо да се добавят зарядни точки, батерии или EMS към проекта, следва въпросът дали те да се </w:t>
      </w:r>
      <w:r>
        <w:rPr>
          <w:i/>
        </w:rPr>
        <w:t>комбинират</w:t>
      </w:r>
      <w:r>
        <w:t xml:space="preserve"> с фотоволтаичната инсталация в един договор/покана за участие в търг. Изготвянето на отделен договор или покана за участие в търг за тази цел би могло да намали степента на сложност за клиента и договарящата се страна. </w:t>
      </w:r>
    </w:p>
    <w:p w14:paraId="7EF32110" w14:textId="77777777" w:rsidR="009F1963" w:rsidRPr="00C42EE6" w:rsidRDefault="009F1963" w:rsidP="009F1963"/>
    <w:p w14:paraId="04E2F86E" w14:textId="77777777" w:rsidR="009F1963" w:rsidRPr="00621554" w:rsidRDefault="009F1963" w:rsidP="009F1963"/>
    <w:p w14:paraId="3899C9E3" w14:textId="77777777" w:rsidR="009F1963" w:rsidRPr="00621554" w:rsidRDefault="009F1963" w:rsidP="009F1963"/>
    <w:p w14:paraId="0C43BA5B" w14:textId="126144D1" w:rsidR="00FA7BE8" w:rsidRPr="009F1963" w:rsidRDefault="004D365E" w:rsidP="00AE6706">
      <w:pPr>
        <w:pStyle w:val="MH2"/>
        <w:rPr>
          <w:rFonts w:eastAsiaTheme="majorEastAsia"/>
          <w:color w:val="92D050"/>
          <w:sz w:val="32"/>
          <w:szCs w:val="32"/>
        </w:rPr>
      </w:pPr>
      <w:bookmarkStart w:id="74" w:name="_Toc180504651"/>
      <w:r>
        <w:t>Стъпка 5 Оборот, субсидии, финансиране и застраховане</w:t>
      </w:r>
      <w:bookmarkEnd w:id="74"/>
    </w:p>
    <w:p w14:paraId="700BB5A0" w14:textId="3C3F6FC7" w:rsidR="00FA7BE8" w:rsidRPr="004C0EBD" w:rsidRDefault="00FA7BE8" w:rsidP="00A3595E"/>
    <w:p w14:paraId="6E1F3C8F" w14:textId="1D308FDD" w:rsidR="004343AC" w:rsidRPr="009F1963" w:rsidRDefault="00295EA1" w:rsidP="009F1963">
      <w:pPr>
        <w:pStyle w:val="BodyText1"/>
      </w:pPr>
      <w:r>
        <w:t xml:space="preserve">В предишните стъпки бяха определени техническите спецификации. В тази стъпка ще разгледаме дали проектът е допустим за субсидиите и ще обърнем внимание на финансирането и застраховките. </w:t>
      </w:r>
    </w:p>
    <w:p w14:paraId="13C00B39" w14:textId="77777777" w:rsidR="00251095" w:rsidRPr="004C0EBD" w:rsidRDefault="00251095" w:rsidP="00A3595E"/>
    <w:p w14:paraId="500215C8" w14:textId="15872C52" w:rsidR="00F16ACA" w:rsidRPr="004C0EBD" w:rsidRDefault="00F16ACA" w:rsidP="00AE6706">
      <w:pPr>
        <w:pStyle w:val="MH3"/>
      </w:pPr>
      <w:bookmarkStart w:id="75" w:name="_Toc180504652"/>
      <w:r>
        <w:t>5.1 Оборот от обратното снабдяване с електроенергия</w:t>
      </w:r>
      <w:bookmarkEnd w:id="75"/>
      <w:r>
        <w:t xml:space="preserve"> </w:t>
      </w:r>
    </w:p>
    <w:p w14:paraId="28260D4D" w14:textId="4E17EED4" w:rsidR="00E368C4" w:rsidRPr="004C0EBD" w:rsidRDefault="007733E9" w:rsidP="009F1963">
      <w:pPr>
        <w:pStyle w:val="BodyText1"/>
      </w:pPr>
      <w:r>
        <w:t xml:space="preserve">В слънчеви периоди повечето фотоволтаични инсталации произвеждат значително повече електроенергия, отколкото </w:t>
      </w:r>
      <w:r>
        <w:cr/>
      </w:r>
      <w:r>
        <w:br/>
        <w:t xml:space="preserve">собственото потребление. </w:t>
      </w:r>
    </w:p>
    <w:p w14:paraId="06B828EC" w14:textId="045BBABF" w:rsidR="009F1963" w:rsidRPr="009F1963" w:rsidRDefault="007733E9" w:rsidP="009F1963">
      <w:pPr>
        <w:pStyle w:val="BodyText1"/>
      </w:pPr>
      <w:r>
        <w:t xml:space="preserve">Следователно излишъкът от електроенергия може да бъде връщан обратно в мрежата. Каква цена можете да постигнете за това обратно снабдяване с електроенергия? Преди имаше възможност за сключване на договор както с фиксирана цена, така и с голям срок. Това осигуряваше висока степен на сигурност, но за жалост вече не съществува </w:t>
      </w:r>
      <w:r>
        <w:cr/>
      </w:r>
      <w:r>
        <w:br/>
        <w:t xml:space="preserve">като възможност.  </w:t>
      </w:r>
    </w:p>
    <w:p w14:paraId="04006B7E" w14:textId="6206A7BF" w:rsidR="00F16ACA" w:rsidRPr="009F1963" w:rsidRDefault="007733E9" w:rsidP="00C903B7">
      <w:pPr>
        <w:jc w:val="both"/>
        <w:rPr>
          <w:rFonts w:ascii="Arial" w:hAnsi="Arial" w:cs="Arial"/>
        </w:rPr>
      </w:pPr>
      <w:r>
        <w:t xml:space="preserve"> </w:t>
      </w:r>
      <w:r>
        <w:cr/>
      </w:r>
      <w:r>
        <w:br/>
      </w:r>
      <w:r>
        <w:rPr>
          <w:rFonts w:ascii="Arial" w:hAnsi="Arial"/>
        </w:rPr>
        <w:t>Трите главни възможности в момента са:</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Чрез договор с доставчик на електрическа енергия (на годишна основа)</w:t>
      </w:r>
      <w:r>
        <w:rPr>
          <w:color w:val="3DC3C6"/>
        </w:rPr>
        <w:t xml:space="preserve"> </w:t>
      </w:r>
      <w:r>
        <w:rPr>
          <w:color w:val="3DC3C6"/>
        </w:rPr>
        <w:cr/>
      </w:r>
      <w:r>
        <w:rPr>
          <w:color w:val="3DC3C6"/>
        </w:rPr>
        <w:br/>
      </w:r>
      <w:r>
        <w:rPr>
          <w:rFonts w:ascii="Arial" w:hAnsi="Arial"/>
        </w:rPr>
        <w:t>Можете да попитате няколко доставчика на електрическа енергия за стандартен фиксиран договор както за потребление, така и за обратно снабдяване. Срокът обикновено е една година. Не е сигурно по какъв начин ще се развие през идните години плащането за обратно снабдяване. Индикативна цена за обратно снабдяване за лятото на 2023 г., за по-големи фотоволтаични инсталации (&gt;100 </w:t>
      </w:r>
      <w:proofErr w:type="spellStart"/>
      <w:r>
        <w:rPr>
          <w:rFonts w:ascii="Arial" w:hAnsi="Arial"/>
        </w:rPr>
        <w:t>kWp</w:t>
      </w:r>
      <w:proofErr w:type="spellEnd"/>
      <w:r>
        <w:rPr>
          <w:rFonts w:ascii="Arial" w:hAnsi="Arial"/>
        </w:rPr>
        <w:t>): 3—5 цента/</w:t>
      </w:r>
      <w:proofErr w:type="spellStart"/>
      <w:r>
        <w:rPr>
          <w:rFonts w:ascii="Arial" w:hAnsi="Arial"/>
        </w:rPr>
        <w:t>kWh</w:t>
      </w:r>
      <w:proofErr w:type="spellEnd"/>
      <w:r>
        <w:t xml:space="preserve"> </w:t>
      </w:r>
      <w:r>
        <w:cr/>
      </w:r>
      <w:r>
        <w:br/>
      </w:r>
    </w:p>
    <w:p w14:paraId="36DEA566" w14:textId="54637370" w:rsidR="007733E9" w:rsidRPr="004C0EBD" w:rsidRDefault="007733E9" w:rsidP="0075115D">
      <w:pPr>
        <w:pStyle w:val="ListParagraph"/>
        <w:numPr>
          <w:ilvl w:val="0"/>
          <w:numId w:val="40"/>
        </w:numPr>
        <w:ind w:left="709"/>
      </w:pPr>
      <w:r>
        <w:rPr>
          <w:rFonts w:ascii="Arial" w:hAnsi="Arial"/>
          <w:b/>
          <w:i/>
          <w:color w:val="3DC3C6"/>
        </w:rPr>
        <w:t>Чрез „динамичен“ договор с доставчик на електрическа енергия</w:t>
      </w:r>
      <w:r>
        <w:rPr>
          <w:color w:val="3DC3C6"/>
        </w:rPr>
        <w:t xml:space="preserve"> </w:t>
      </w:r>
      <w:r>
        <w:cr/>
      </w:r>
      <w:r>
        <w:br/>
      </w:r>
      <w:r>
        <w:rPr>
          <w:rFonts w:ascii="Arial" w:hAnsi="Arial"/>
        </w:rPr>
        <w:t>Редица доставчици на електрическа енергия</w:t>
      </w:r>
      <w:r w:rsidRPr="009F1963">
        <w:rPr>
          <w:rStyle w:val="FootnoteReference"/>
          <w:rFonts w:ascii="Arial" w:hAnsi="Arial" w:cs="Arial"/>
        </w:rPr>
        <w:footnoteReference w:id="3"/>
      </w:r>
      <w:r>
        <w:rPr>
          <w:rFonts w:ascii="Arial" w:hAnsi="Arial"/>
        </w:rPr>
        <w:t xml:space="preserve"> предлагат „динамичен“ договор, при който цената на </w:t>
      </w:r>
      <w:proofErr w:type="spellStart"/>
      <w:r>
        <w:rPr>
          <w:rFonts w:ascii="Arial" w:hAnsi="Arial"/>
        </w:rPr>
        <w:t>kWh</w:t>
      </w:r>
      <w:proofErr w:type="spellEnd"/>
      <w:r>
        <w:rPr>
          <w:rFonts w:ascii="Arial" w:hAnsi="Arial"/>
        </w:rPr>
        <w:t xml:space="preserve"> варира с всеки изминал час. Като основа за цената на час се използва EPEX цената за ден напред и надценка.</w:t>
      </w:r>
      <w:r>
        <w:t xml:space="preserve">  </w:t>
      </w:r>
      <w:r>
        <w:cr/>
      </w:r>
      <w:r>
        <w:br/>
      </w:r>
      <w:r>
        <w:cr/>
      </w:r>
      <w:r>
        <w:br/>
      </w:r>
      <w:r>
        <w:rPr>
          <w:rFonts w:ascii="Arial" w:hAnsi="Arial"/>
        </w:rPr>
        <w:t xml:space="preserve">Моля, имайте предвид: понякога тези цени са отрицателни и ще трябва да </w:t>
      </w:r>
      <w:r>
        <w:rPr>
          <w:rFonts w:ascii="Arial" w:hAnsi="Arial"/>
          <w:i/>
        </w:rPr>
        <w:t>платите</w:t>
      </w:r>
      <w:r>
        <w:rPr>
          <w:rFonts w:ascii="Arial" w:hAnsi="Arial"/>
        </w:rPr>
        <w:t xml:space="preserve">, ако извършвате обратно снабдяване с електроенергия.  </w:t>
      </w:r>
      <w:r>
        <w:rPr>
          <w:rFonts w:ascii="Arial" w:hAnsi="Arial"/>
        </w:rPr>
        <w:cr/>
      </w:r>
      <w:r>
        <w:rPr>
          <w:rFonts w:ascii="Arial" w:hAnsi="Arial"/>
        </w:rPr>
        <w:br/>
        <w:t>От януари до края на юли 2023 г. това условие вече е било приложимо за 212 часа — често около обед. За да се избегне плащане за електроенергия, снабдена обратно, може да бъде инсталирана кутия, от която се изключват инверторите по време на часовете с отрицателни цени. По време на часовете, в които има положителни цени на енергията, обикновено ще получите значително по-висока цена от горепосоченото фиксирано възнаграждение за обратно снабдяване.</w:t>
      </w:r>
      <w:r>
        <w:t xml:space="preserve">  </w:t>
      </w:r>
      <w:r>
        <w:cr/>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Алгоритмична търговия на пазара EPEX за ден напред и на пазара на дисбалансите</w:t>
      </w:r>
      <w:r>
        <w:rPr>
          <w:color w:val="3DC3C6"/>
        </w:rPr>
        <w:t xml:space="preserve"> </w:t>
      </w:r>
      <w:r>
        <w:cr/>
      </w:r>
      <w:r>
        <w:br/>
        <w:t>Възможно е също да бъде сключен договор с търговска платформа</w:t>
      </w:r>
      <w:r w:rsidRPr="004C0EBD">
        <w:rPr>
          <w:rStyle w:val="FootnoteReference"/>
        </w:rPr>
        <w:footnoteReference w:id="4"/>
      </w:r>
      <w:r>
        <w:t xml:space="preserve">. Дружествата търгуват (обикновено по автоматизиран начин) посредством собствения си софтуер както на пазара EPEX за ден напред, така и на пазара в рамките на деня/на дисбалансите. За тази цел те поставят кутия, която може да изключва или включва инверторите; това решение е на разположение за проекти над определен размер. </w:t>
      </w:r>
    </w:p>
    <w:p w14:paraId="7C9836F6" w14:textId="794DEEFC" w:rsidR="00C903B7" w:rsidRPr="004C0EBD" w:rsidRDefault="00C903B7" w:rsidP="009F1963">
      <w:pPr>
        <w:pStyle w:val="BodyText1"/>
        <w:rPr>
          <w:rFonts w:cs="Calibri"/>
        </w:rPr>
      </w:pPr>
      <w:r>
        <w:t xml:space="preserve">За всички варианти може да бъде полезно фотоволтаичната система да бъде разпределена между две присъединявания към мрежата: главното присъединяване и второ присъединяване („MLOEA“ — (вариант </w:t>
      </w:r>
      <w:proofErr w:type="spellStart"/>
      <w:r>
        <w:rPr>
          <w:i/>
        </w:rPr>
        <w:t>Meerdere</w:t>
      </w:r>
      <w:proofErr w:type="spellEnd"/>
      <w:r>
        <w:rPr>
          <w:i/>
        </w:rPr>
        <w:t xml:space="preserve"> </w:t>
      </w:r>
      <w:proofErr w:type="spellStart"/>
      <w:r>
        <w:rPr>
          <w:i/>
        </w:rPr>
        <w:t>Leveranciers</w:t>
      </w:r>
      <w:proofErr w:type="spellEnd"/>
      <w:r>
        <w:rPr>
          <w:i/>
        </w:rPr>
        <w:t xml:space="preserve"> </w:t>
      </w:r>
      <w:proofErr w:type="spellStart"/>
      <w:r>
        <w:rPr>
          <w:i/>
        </w:rPr>
        <w:t>Op</w:t>
      </w:r>
      <w:proofErr w:type="spellEnd"/>
      <w:r>
        <w:rPr>
          <w:i/>
        </w:rPr>
        <w:t xml:space="preserve"> </w:t>
      </w:r>
      <w:proofErr w:type="spellStart"/>
      <w:r>
        <w:rPr>
          <w:i/>
        </w:rPr>
        <w:t>Één</w:t>
      </w:r>
      <w:proofErr w:type="spellEnd"/>
      <w:r>
        <w:rPr>
          <w:i/>
        </w:rPr>
        <w:t xml:space="preserve"> </w:t>
      </w:r>
      <w:proofErr w:type="spellStart"/>
      <w:r>
        <w:rPr>
          <w:i/>
        </w:rPr>
        <w:t>Aansluiting</w:t>
      </w:r>
      <w:proofErr w:type="spellEnd"/>
      <w:r>
        <w:t xml:space="preserve"> [множество доставчици към едно присъединяване]). Цялото собствено потребление идва от основното присъединяване, а излишъкът отива към второто присъединяване. Като сключите два отделни договора (с различни енергийни дружества), можете да получите по-висока цена.</w:t>
      </w:r>
    </w:p>
    <w:p w14:paraId="3E5405FD" w14:textId="77777777" w:rsidR="00C903B7" w:rsidRPr="004C0EBD" w:rsidRDefault="00C903B7" w:rsidP="00C903B7"/>
    <w:p w14:paraId="5C05686E" w14:textId="3A55C9CC" w:rsidR="00C903B7" w:rsidRPr="004C0EBD" w:rsidRDefault="00444DFF" w:rsidP="00AE6706">
      <w:pPr>
        <w:pStyle w:val="MH3"/>
      </w:pPr>
      <w:bookmarkStart w:id="76" w:name="_Toc180504653"/>
      <w:r>
        <w:t>5.1 Субсидии</w:t>
      </w:r>
      <w:bookmarkEnd w:id="76"/>
    </w:p>
    <w:p w14:paraId="4023D4DB" w14:textId="344ECD8A" w:rsidR="00CE2638" w:rsidRPr="004C0EBD" w:rsidRDefault="00CE2638" w:rsidP="009F1963">
      <w:pPr>
        <w:pStyle w:val="BodyText1"/>
      </w:pPr>
      <w:r>
        <w:t>Главните схеми за субсидиране са:</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i/>
          <w:color w:val="3DC3C6"/>
        </w:rPr>
        <w:t>Схема за</w:t>
      </w:r>
      <w:r>
        <w:rPr>
          <w:rFonts w:ascii="Arial" w:hAnsi="Arial"/>
          <w:i/>
          <w:color w:val="3DC3C6"/>
        </w:rPr>
        <w:t xml:space="preserve"> </w:t>
      </w:r>
      <w:r>
        <w:rPr>
          <w:rFonts w:ascii="Arial" w:hAnsi="Arial"/>
          <w:b/>
          <w:i/>
          <w:color w:val="3DC3C6"/>
        </w:rPr>
        <w:t>нетно отчитане</w:t>
      </w:r>
      <w:r>
        <w:cr/>
      </w:r>
      <w:r>
        <w:br/>
      </w:r>
      <w:r>
        <w:rPr>
          <w:rFonts w:ascii="Arial" w:hAnsi="Arial"/>
        </w:rPr>
        <w:t>Схемата за нетно отчитане („</w:t>
      </w:r>
      <w:proofErr w:type="spellStart"/>
      <w:r>
        <w:rPr>
          <w:rFonts w:ascii="Arial" w:hAnsi="Arial"/>
          <w:i/>
        </w:rPr>
        <w:t>Salderingsregeling</w:t>
      </w:r>
      <w:proofErr w:type="spellEnd"/>
      <w:r>
        <w:rPr>
          <w:rFonts w:ascii="Arial" w:hAnsi="Arial"/>
        </w:rPr>
        <w:t xml:space="preserve">“) се прилага не само за частни лица, но и за много дружества, спортни клубове, офиси и др. Предварителното условие е наличието на „присъединяване с малко потребление“, т.е. присъединяване към мрежата с мощност от по-малко от 3 х 80А. Схемата ще бъде закрита, считано от 2026 г. </w:t>
      </w:r>
      <w:r>
        <w:cr/>
      </w:r>
      <w:r>
        <w:br/>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rPr>
          <w:b/>
          <w:i/>
          <w:color w:val="3DC3C6"/>
        </w:rPr>
        <w:t xml:space="preserve"> </w:t>
      </w:r>
      <w:r>
        <w:rPr>
          <w:color w:val="3DC3C6"/>
        </w:rPr>
        <w:t xml:space="preserve"> </w:t>
      </w:r>
      <w:r>
        <w:cr/>
      </w:r>
      <w:r>
        <w:br/>
      </w:r>
      <w:r>
        <w:rPr>
          <w:rFonts w:ascii="Arial" w:hAnsi="Arial"/>
        </w:rPr>
        <w:t xml:space="preserve">Със схемата за субсидиране SDE++ правителството гарантира минимална цена за доставката на електроенергия в мрежата за енергия от възобновяеми източници.    </w:t>
      </w:r>
      <w:r>
        <w:rPr>
          <w:rFonts w:ascii="Arial" w:hAnsi="Arial"/>
        </w:rPr>
        <w:cr/>
      </w:r>
      <w:r>
        <w:rPr>
          <w:rFonts w:ascii="Arial" w:hAnsi="Arial"/>
        </w:rPr>
        <w:br/>
        <w:t xml:space="preserve">За повечето по-големи фотоволтаични инсталации —аграрно-промишлена инсталация както на покриви, така и на земята, използват тази схема, </w:t>
      </w:r>
      <w:r>
        <w:rPr>
          <w:rFonts w:ascii="Arial" w:hAnsi="Arial"/>
        </w:rPr>
        <w:cr/>
      </w:r>
      <w:r>
        <w:rPr>
          <w:rFonts w:ascii="Arial" w:hAnsi="Arial"/>
        </w:rPr>
        <w:br/>
        <w:t xml:space="preserve">благодарение на която Нидерландия в момента е сред първите 3 държави в света от гледна точка на капацитет на производство на глава от населението.  </w:t>
      </w:r>
      <w:r>
        <w:rPr>
          <w:rFonts w:ascii="Arial" w:hAnsi="Arial"/>
        </w:rPr>
        <w:cr/>
      </w:r>
      <w:r>
        <w:rPr>
          <w:rFonts w:ascii="Arial" w:hAnsi="Arial"/>
        </w:rPr>
        <w:br/>
        <w:t xml:space="preserve">За кого е предназначена схемата?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Присъединяване към мрежата от най-малко 3 x 80A</w:t>
      </w:r>
    </w:p>
    <w:p w14:paraId="289046AB" w14:textId="73FD8834" w:rsidR="001F2F97" w:rsidRPr="004C0EBD" w:rsidRDefault="00295EA1" w:rsidP="0075115D">
      <w:pPr>
        <w:pStyle w:val="ListParagraph"/>
        <w:numPr>
          <w:ilvl w:val="1"/>
          <w:numId w:val="3"/>
        </w:numPr>
        <w:rPr>
          <w:b/>
          <w:bCs/>
          <w:i/>
          <w:iCs/>
        </w:rPr>
      </w:pPr>
      <w:r>
        <w:rPr>
          <w:rFonts w:ascii="Arial" w:hAnsi="Arial"/>
        </w:rPr>
        <w:t>Организациите на централното управление са изключени</w:t>
      </w:r>
      <w:r>
        <w:t xml:space="preserve">  </w:t>
      </w:r>
      <w:r>
        <w:cr/>
      </w:r>
      <w:r>
        <w:br/>
      </w:r>
    </w:p>
    <w:p w14:paraId="5A57A0C9" w14:textId="5B713171" w:rsidR="00F16ACA" w:rsidRPr="004C0EBD" w:rsidRDefault="00CE2638" w:rsidP="0075115D">
      <w:pPr>
        <w:pStyle w:val="ListParagraph"/>
        <w:numPr>
          <w:ilvl w:val="0"/>
          <w:numId w:val="43"/>
        </w:numPr>
        <w:rPr>
          <w:b/>
          <w:bCs/>
          <w:i/>
          <w:iCs/>
        </w:rPr>
      </w:pPr>
      <w:r>
        <w:rPr>
          <w:rFonts w:ascii="Arial" w:hAnsi="Arial"/>
          <w:b/>
          <w:i/>
          <w:color w:val="3DC3C6"/>
        </w:rPr>
        <w:t>„</w:t>
      </w:r>
      <w:proofErr w:type="spellStart"/>
      <w:r>
        <w:rPr>
          <w:rFonts w:ascii="Arial" w:hAnsi="Arial"/>
          <w:b/>
          <w:i/>
          <w:color w:val="3DC3C6"/>
        </w:rPr>
        <w:t>Postcoderoos</w:t>
      </w:r>
      <w:proofErr w:type="spellEnd"/>
      <w:r>
        <w:rPr>
          <w:rFonts w:ascii="Arial" w:hAnsi="Arial"/>
          <w:b/>
          <w:i/>
          <w:color w:val="3DC3C6"/>
        </w:rPr>
        <w:t>“ [схема на намалена ставка]/ схема „SCE“</w:t>
      </w:r>
      <w:r>
        <w:rPr>
          <w:color w:val="3DC3C6"/>
        </w:rPr>
        <w:t xml:space="preserve"> </w:t>
      </w:r>
      <w:r>
        <w:cr/>
      </w:r>
      <w:r>
        <w:br/>
        <w:t>„</w:t>
      </w:r>
      <w:proofErr w:type="spellStart"/>
      <w:r>
        <w:rPr>
          <w:i/>
        </w:rPr>
        <w:t>Subsidieregeling</w:t>
      </w:r>
      <w:proofErr w:type="spellEnd"/>
      <w:r>
        <w:rPr>
          <w:i/>
        </w:rPr>
        <w:t xml:space="preserve"> </w:t>
      </w:r>
      <w:proofErr w:type="spellStart"/>
      <w:r>
        <w:rPr>
          <w:i/>
        </w:rPr>
        <w:t>Coöperatieve</w:t>
      </w:r>
      <w:proofErr w:type="spellEnd"/>
      <w:r>
        <w:rPr>
          <w:i/>
        </w:rPr>
        <w:t xml:space="preserve"> </w:t>
      </w:r>
      <w:proofErr w:type="spellStart"/>
      <w:r>
        <w:rPr>
          <w:i/>
        </w:rPr>
        <w:t>Energieopwekking</w:t>
      </w:r>
      <w:proofErr w:type="spellEnd"/>
      <w:r>
        <w:t xml:space="preserve">“ [Схема за субсидиране на кооперативно производство на електрическа енергия] дава възможност на съседи да изпълняват общ проект за фотоволтаична система върху голям покрив. </w:t>
      </w:r>
      <w:r>
        <w:cr/>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EIA/MIA/VAMIL</w:t>
      </w:r>
      <w:r>
        <w:rPr>
          <w:rFonts w:ascii="Arial" w:hAnsi="Arial"/>
          <w:color w:val="3DC3C6"/>
        </w:rPr>
        <w:t xml:space="preserve"> </w:t>
      </w:r>
      <w:r>
        <w:cr/>
      </w:r>
      <w:r>
        <w:br/>
      </w:r>
      <w:r>
        <w:rPr>
          <w:rFonts w:ascii="Arial" w:hAnsi="Arial"/>
        </w:rPr>
        <w:t>Тези схеми насърчават дружествата да стават по-устойчиви посредством данъчни стимули, например чрез ускорена амортизация на инвестициите, направени в мерки за подобряване на устойчивостта.</w:t>
      </w:r>
      <w:r>
        <w:t xml:space="preserve"> </w:t>
      </w:r>
    </w:p>
    <w:p w14:paraId="279AD331" w14:textId="77777777" w:rsidR="004343AC" w:rsidRPr="004C0EBD" w:rsidRDefault="004343AC" w:rsidP="00A3595E"/>
    <w:p w14:paraId="63966417" w14:textId="2698432D" w:rsidR="006A5081" w:rsidRPr="004C0EBD" w:rsidRDefault="00444DFF" w:rsidP="00AE6706">
      <w:pPr>
        <w:pStyle w:val="MH3"/>
      </w:pPr>
      <w:bookmarkStart w:id="77" w:name="_Toc180504654"/>
      <w:r>
        <w:t>5.2 Финансиране</w:t>
      </w:r>
      <w:bookmarkEnd w:id="77"/>
    </w:p>
    <w:p w14:paraId="6A71FF93" w14:textId="3DBBFC7F" w:rsidR="004A7C5B" w:rsidRPr="004C0EBD" w:rsidRDefault="005E16E5" w:rsidP="009F1963">
      <w:pPr>
        <w:pStyle w:val="BodyText1"/>
      </w:pPr>
      <w:r>
        <w:t>За повечето проекти „</w:t>
      </w:r>
      <w:proofErr w:type="spellStart"/>
      <w:r>
        <w:t>Sun-on-Roof</w:t>
      </w:r>
      <w:proofErr w:type="spellEnd"/>
      <w:r>
        <w:t>“ собственикът или наемателят на сградата също става собственик на фотоволтаичната система</w:t>
      </w:r>
      <w:r w:rsidRPr="004C0EBD">
        <w:rPr>
          <w:rStyle w:val="FootnoteReference"/>
        </w:rPr>
        <w:footnoteReference w:id="5"/>
      </w:r>
      <w:r>
        <w:t xml:space="preserve">. Това повдига въпроса за начина на финансиране на проекта; напълно самостоятелно финансиране чрез собствени ресурси или частично чрез външни финансови поддръжници. За външна финансова подкрепа е необходим финансов модел за проекта за фотоволтаична система, в който да са описани приходите и разходите, балансите и паричните потоци за периода на проекта.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Има две категории финансиране — всяка с различни рискове и възвръщаемост: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Чрез заем — нисък риск и ниска възвръщаемост</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cr/>
      </w:r>
      <w:r>
        <w:rPr>
          <w:rFonts w:ascii="Arial" w:hAnsi="Arial"/>
          <w:sz w:val="2"/>
        </w:rPr>
        <w:br/>
      </w:r>
      <w:r>
        <w:rPr>
          <w:rFonts w:ascii="Arial" w:hAnsi="Arial"/>
        </w:rPr>
        <w:t xml:space="preserve">В зависимост от размера на проекта и финансовата подкрепа, от 70 % до 90 % от средствата може да се осигурят чрез заем, често при нисък лихвен процент (от 2 % до 5 %). Това означава, че Вие самите ще трябва да осигурите само 10 % до 30 % от първоначалните разходи за проекта. Приходите от проекта първо ще се разпределят на доставчика на заема.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cr/>
      </w:r>
      <w:r>
        <w:rPr>
          <w:rFonts w:ascii="Arial" w:hAnsi="Arial"/>
        </w:rPr>
        <w:br/>
        <w:t xml:space="preserve">Обичайни условия: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Минимален размер: 1 млн. евро</w:t>
      </w:r>
    </w:p>
    <w:p w14:paraId="59AF5B5B" w14:textId="17384208" w:rsidR="007A5646" w:rsidRPr="007A5646" w:rsidRDefault="00077532" w:rsidP="007A5646">
      <w:pPr>
        <w:ind w:left="1418" w:firstLine="142"/>
        <w:jc w:val="both"/>
        <w:rPr>
          <w:rFonts w:ascii="Arial" w:hAnsi="Arial" w:cs="Arial"/>
        </w:rPr>
      </w:pPr>
      <w:r>
        <w:rPr>
          <w:rFonts w:ascii="Arial" w:hAnsi="Arial"/>
          <w:sz w:val="2"/>
        </w:rPr>
        <w:cr/>
      </w:r>
      <w:r>
        <w:rPr>
          <w:rFonts w:ascii="Arial" w:hAnsi="Arial"/>
          <w:sz w:val="2"/>
        </w:rPr>
        <w:br/>
      </w:r>
      <w:r>
        <w:rPr>
          <w:rFonts w:ascii="Arial" w:hAnsi="Arial"/>
        </w:rPr>
        <w:t xml:space="preserve">Финансовите поддръжници често изискват минимален размер поради факта, че отпускането на заем за проект за фотоволтаична система е свързано с много работа. Необходимо е всички финансови и технически подробности да се прегледат, а договорите — да се оценят. Това не е автоматизирана задача и продължава да бъде трудоемка. Поради тази причина финансовите поддръжници прилагат минимален размер на заема за такъв проект (или за редица комбинирани проекти от един и същ собственик).   </w:t>
      </w:r>
    </w:p>
    <w:p w14:paraId="13769C01" w14:textId="1167E455" w:rsidR="00077532" w:rsidRPr="007A5646" w:rsidRDefault="00077532" w:rsidP="007A5646">
      <w:pPr>
        <w:ind w:left="1133"/>
        <w:jc w:val="both"/>
        <w:rPr>
          <w:rFonts w:ascii="Arial" w:hAnsi="Arial" w:cs="Arial"/>
        </w:rPr>
      </w:pPr>
      <w:r>
        <w:rPr>
          <w:rFonts w:ascii="Arial" w:hAnsi="Arial"/>
        </w:rPr>
        <w:cr/>
      </w: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Допълнителни изисквания</w:t>
      </w:r>
    </w:p>
    <w:p w14:paraId="5F37BD1B" w14:textId="35C178CD" w:rsidR="007A5646" w:rsidRPr="007A5646" w:rsidRDefault="004176E3" w:rsidP="007A5646">
      <w:pPr>
        <w:ind w:left="1418"/>
        <w:jc w:val="both"/>
        <w:rPr>
          <w:rFonts w:ascii="Arial" w:hAnsi="Arial" w:cs="Arial"/>
          <w:i/>
          <w:iCs/>
        </w:rPr>
      </w:pPr>
      <w:r>
        <w:rPr>
          <w:rFonts w:ascii="Arial" w:hAnsi="Arial"/>
          <w:sz w:val="2"/>
        </w:rPr>
        <w:cr/>
      </w:r>
      <w:r>
        <w:rPr>
          <w:rFonts w:ascii="Arial" w:hAnsi="Arial"/>
          <w:sz w:val="2"/>
        </w:rPr>
        <w:br/>
      </w:r>
      <w:r>
        <w:rPr>
          <w:rFonts w:ascii="Arial" w:hAnsi="Arial"/>
        </w:rPr>
        <w:t xml:space="preserve">Ангажирането на външни финансови поддръжници често означава, че те ще определят допълнителни изисквания, за да сведат риска до минимум. Някои банки например ще финансират фотоволтаични модули само от доставчици от „първо ниво“ по </w:t>
      </w:r>
      <w:proofErr w:type="spellStart"/>
      <w:r>
        <w:rPr>
          <w:rFonts w:ascii="Arial" w:hAnsi="Arial"/>
        </w:rPr>
        <w:t>Bloomberg</w:t>
      </w:r>
      <w:proofErr w:type="spellEnd"/>
      <w:r>
        <w:rPr>
          <w:rFonts w:ascii="Arial" w:hAnsi="Arial"/>
        </w:rPr>
        <w:t xml:space="preserve"> New Energy </w:t>
      </w:r>
      <w:proofErr w:type="spellStart"/>
      <w:r>
        <w:rPr>
          <w:rFonts w:ascii="Arial" w:hAnsi="Arial"/>
        </w:rPr>
        <w:t>Finance</w:t>
      </w:r>
      <w:proofErr w:type="spellEnd"/>
      <w:r>
        <w:rPr>
          <w:rFonts w:ascii="Arial" w:hAnsi="Arial"/>
        </w:rPr>
        <w:t xml:space="preserve"> („BNEF“); статутът „от първо ниво“ дава указание само за финансовия статут, но не дава информация за качеството или устойчивостта [на инсталацията].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cr/>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Като акционер — рисков капитал</w:t>
      </w:r>
    </w:p>
    <w:p w14:paraId="79BEA158" w14:textId="77777777" w:rsidR="007A5646" w:rsidRDefault="00CE2638" w:rsidP="007A5646">
      <w:pPr>
        <w:ind w:left="426" w:hanging="66"/>
        <w:jc w:val="both"/>
        <w:rPr>
          <w:rFonts w:ascii="Arial" w:hAnsi="Arial" w:cs="Arial"/>
        </w:rPr>
      </w:pPr>
      <w:r>
        <w:rPr>
          <w:rFonts w:ascii="Arial" w:hAnsi="Arial"/>
          <w:sz w:val="2"/>
        </w:rPr>
        <w:cr/>
      </w:r>
      <w:r>
        <w:rPr>
          <w:rFonts w:ascii="Arial" w:hAnsi="Arial"/>
          <w:sz w:val="2"/>
        </w:rPr>
        <w:br/>
      </w:r>
      <w:r>
        <w:rPr>
          <w:rFonts w:ascii="Arial" w:hAnsi="Arial"/>
        </w:rPr>
        <w:t xml:space="preserve">Ако банка предостави заем, това често покрива 70 % до 90 % от разходите по проекта.  </w:t>
      </w:r>
      <w:r>
        <w:rPr>
          <w:rFonts w:ascii="Arial" w:hAnsi="Arial"/>
        </w:rPr>
        <w:cr/>
      </w:r>
      <w:r>
        <w:rPr>
          <w:rFonts w:ascii="Arial" w:hAnsi="Arial"/>
        </w:rPr>
        <w:br/>
        <w:t xml:space="preserve">Останалите 10 % до 30 % се считат за рисков капитал. Той ще бъде първият, който ще бъде използван в случай на проблеми или ако приходите не отговарят на очакванията. </w:t>
      </w:r>
    </w:p>
    <w:p w14:paraId="0843FA2F" w14:textId="2140A9BA" w:rsidR="007A5646" w:rsidRDefault="00CE2638" w:rsidP="007A5646">
      <w:pPr>
        <w:ind w:left="426" w:hanging="66"/>
        <w:jc w:val="both"/>
        <w:rPr>
          <w:rFonts w:ascii="Arial" w:hAnsi="Arial" w:cs="Arial"/>
        </w:rPr>
      </w:pPr>
      <w:r>
        <w:rPr>
          <w:rFonts w:ascii="Arial" w:hAnsi="Arial"/>
        </w:rPr>
        <w:t xml:space="preserve">  </w:t>
      </w:r>
      <w:r>
        <w:rPr>
          <w:rFonts w:ascii="Arial" w:hAnsi="Arial"/>
        </w:rPr>
        <w:cr/>
      </w:r>
      <w:r>
        <w:rPr>
          <w:rFonts w:ascii="Arial" w:hAnsi="Arial"/>
        </w:rPr>
        <w:br/>
        <w:t>Организаторите на проекти/EPC често осигуряват част от необходимия капитал; това означава, че те поемат и главния риск в случай на разочароващи резултати. По този начин те придават допълнителна достоверност на факта, че проектът е правилно изготвен.</w:t>
      </w:r>
    </w:p>
    <w:p w14:paraId="14563404" w14:textId="4A307488" w:rsidR="004176E3" w:rsidRPr="007A5646" w:rsidRDefault="00CE2638" w:rsidP="007A5646">
      <w:pPr>
        <w:ind w:left="426" w:hanging="66"/>
        <w:jc w:val="both"/>
        <w:rPr>
          <w:rFonts w:ascii="Arial" w:hAnsi="Arial" w:cs="Arial"/>
          <w:i/>
          <w:iCs/>
        </w:rPr>
      </w:pPr>
      <w:r>
        <w:rPr>
          <w:rFonts w:ascii="Arial" w:hAnsi="Arial"/>
        </w:rPr>
        <w:t xml:space="preserve">   </w:t>
      </w:r>
      <w:r>
        <w:rPr>
          <w:rFonts w:ascii="Arial" w:hAnsi="Arial"/>
        </w:rPr>
        <w:cr/>
      </w:r>
      <w:r>
        <w:rPr>
          <w:rFonts w:ascii="Arial" w:hAnsi="Arial"/>
        </w:rPr>
        <w:br/>
        <w:t xml:space="preserve">Освен организаторите на проекти има и различни финансови поддръжници, които имат готовност да помогнат, например чрез групово финансиране или определени инвестиционни фондове. </w:t>
      </w:r>
    </w:p>
    <w:p w14:paraId="17A2033D" w14:textId="3E2545BE" w:rsidR="00077532" w:rsidRPr="007A5646" w:rsidRDefault="007A5646" w:rsidP="00A3595E">
      <w:pPr>
        <w:rPr>
          <w:rFonts w:ascii="Arial" w:hAnsi="Arial" w:cs="Arial"/>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Значителни рискове, свързани с проекти за фотоволтаични системи: Пожар</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Съединителите често са причина за пожари във фотоволтаичните инсталации. Ако например съединителят от мъжки и съединителят от женски тип в кабел с прав ток са от тип MC4, но са изработени от различни производители. Или ако съединителят е неправилно поставен в кабела. Понякога покритието на покрива се подпалва и е възможно върху сградата и съдържанието да останат следи от пожар или дим. Поради постоянния ток в кабелите за постоянен ток (между слънчевите панели и инвертора), веднъж възникнала, електрическата дъга не се отстранява бързо.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В случай на електрическа дъга съединителите може да достигнат изключително високи температури и да се стопят през покритието на покрива, след което дъгата може да причини възпламеняване на запалимите изолационни материали (като например EPS). </w:t>
                            </w:r>
                            <w:r>
                              <w:rPr>
                                <w:rFonts w:ascii="Arial" w:hAnsi="Arial"/>
                              </w:rPr>
                              <w:t xml:space="preserve"> </w:t>
                            </w:r>
                            <w:r>
                              <w:rPr>
                                <w:rFonts w:ascii="Arial" w:hAnsi="Arial"/>
                              </w:rPr>
                              <w:cr/>
                            </w:r>
                            <w:r>
                              <w:rPr>
                                <w:rFonts w:ascii="Arial" w:hAnsi="Arial"/>
                              </w:rPr>
                              <w:br/>
                            </w:r>
                            <w:r>
                              <w:rPr>
                                <w:rFonts w:ascii="Arial" w:hAnsi="Arial"/>
                                <w:sz w:val="20"/>
                              </w:rPr>
                              <w:t xml:space="preserve">Пожари на покрива от този тип се гасят трудно и може да разрушат цялата сграда.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Решенията на този проблем включват: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Детектор за електрическа дъга с автоматично изключване (включен в Образеца с изисквания)</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proofErr w:type="spellStart"/>
                            <w:r>
                              <w:rPr>
                                <w:rFonts w:ascii="Arial" w:hAnsi="Arial"/>
                                <w:sz w:val="20"/>
                              </w:rPr>
                              <w:t>Пожароустойчиви</w:t>
                            </w:r>
                            <w:proofErr w:type="spellEnd"/>
                            <w:r>
                              <w:rPr>
                                <w:rFonts w:ascii="Arial" w:hAnsi="Arial"/>
                                <w:sz w:val="20"/>
                              </w:rPr>
                              <w:t xml:space="preserve"> фолиа (като </w:t>
                            </w:r>
                            <w:proofErr w:type="spellStart"/>
                            <w:r>
                              <w:rPr>
                                <w:rFonts w:ascii="Arial" w:hAnsi="Arial"/>
                                <w:sz w:val="20"/>
                              </w:rPr>
                              <w:t>Solardec</w:t>
                            </w:r>
                            <w:proofErr w:type="spellEnd"/>
                            <w:r>
                              <w:rPr>
                                <w:rFonts w:ascii="Arial" w:hAnsi="Arial"/>
                                <w:sz w:val="20"/>
                              </w:rPr>
                              <w:t xml:space="preserve">) и покрития (като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proofErr w:type="spellStart"/>
                            <w:r>
                              <w:rPr>
                                <w:rFonts w:ascii="Arial" w:hAnsi="Arial"/>
                                <w:sz w:val="20"/>
                              </w:rPr>
                              <w:t>Пожароустойчив</w:t>
                            </w:r>
                            <w:proofErr w:type="spellEnd"/>
                            <w:r>
                              <w:rPr>
                                <w:rFonts w:ascii="Arial" w:hAnsi="Arial"/>
                                <w:sz w:val="20"/>
                              </w:rPr>
                              <w:t xml:space="preserve"> корпус на съединители (като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Има и други важни мерки за свеждане до минимум на риска от пожар: правилните съединители; правилното инсталиране на съединителите; оразмеряването на кабелите; управлението на кабелите; поддръжка и наблюдение и др.</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Значителни рискове, свързани с проекти за фотоволтаични системи: Пожар</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Съединителите често са причина за пожари във фотоволтаичните инсталации. Ако например съединителят от мъжки и съединителят от женски тип в кабел с прав ток са от тип MC4, но са изработени от различни производители. Или ако съединителят е неправилно поставен в кабела. Понякога покритието на покрива се подпалва и е възможно върху сградата и съдържанието да останат следи от пожар или дим. Поради постоянния ток в кабелите за постоянен ток (между слънчевите панели и инвертора), веднъж възникнала, електрическата дъга не се отстранява бързо.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В случай на електрическа дъга съединителите може да достигнат изключително високи температури и да се стопят през покритието на покрива, след което дъгата може да причини възпламеняване на запалимите изолационни материали (като например EPS). </w:t>
                      </w:r>
                      <w:r>
                        <w:rPr>
                          <w:rFonts w:ascii="Arial" w:hAnsi="Arial"/>
                        </w:rPr>
                        <w:t xml:space="preserve"> </w:t>
                      </w:r>
                      <w:r>
                        <w:rPr>
                          <w:rFonts w:ascii="Arial" w:hAnsi="Arial"/>
                        </w:rPr>
                        <w:cr/>
                      </w:r>
                      <w:r>
                        <w:rPr>
                          <w:rFonts w:ascii="Arial" w:hAnsi="Arial"/>
                        </w:rPr>
                        <w:br/>
                      </w:r>
                      <w:r>
                        <w:rPr>
                          <w:rFonts w:ascii="Arial" w:hAnsi="Arial"/>
                          <w:sz w:val="20"/>
                        </w:rPr>
                        <w:t xml:space="preserve">Пожари на покрива от този тип се гасят трудно и може да разрушат цялата сграда.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Решенията на този проблем включват: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Детектор за електрическа дъга с автоматично изключване (включен в Образеца с изисквания)</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proofErr w:type="spellStart"/>
                      <w:r>
                        <w:rPr>
                          <w:rFonts w:ascii="Arial" w:hAnsi="Arial"/>
                          <w:sz w:val="20"/>
                        </w:rPr>
                        <w:t>Пожароустойчиви</w:t>
                      </w:r>
                      <w:proofErr w:type="spellEnd"/>
                      <w:r>
                        <w:rPr>
                          <w:rFonts w:ascii="Arial" w:hAnsi="Arial"/>
                          <w:sz w:val="20"/>
                        </w:rPr>
                        <w:t xml:space="preserve"> фолиа (като </w:t>
                      </w:r>
                      <w:proofErr w:type="spellStart"/>
                      <w:r>
                        <w:rPr>
                          <w:rFonts w:ascii="Arial" w:hAnsi="Arial"/>
                          <w:sz w:val="20"/>
                        </w:rPr>
                        <w:t>Solardec</w:t>
                      </w:r>
                      <w:proofErr w:type="spellEnd"/>
                      <w:r>
                        <w:rPr>
                          <w:rFonts w:ascii="Arial" w:hAnsi="Arial"/>
                          <w:sz w:val="20"/>
                        </w:rPr>
                        <w:t xml:space="preserve">) и покрития (като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proofErr w:type="spellStart"/>
                      <w:r>
                        <w:rPr>
                          <w:rFonts w:ascii="Arial" w:hAnsi="Arial"/>
                          <w:sz w:val="20"/>
                        </w:rPr>
                        <w:t>Пожароустойчив</w:t>
                      </w:r>
                      <w:proofErr w:type="spellEnd"/>
                      <w:r>
                        <w:rPr>
                          <w:rFonts w:ascii="Arial" w:hAnsi="Arial"/>
                          <w:sz w:val="20"/>
                        </w:rPr>
                        <w:t xml:space="preserve"> корпус на съединители (като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Има и други важни мерки за свеждане до минимум на риска от пожар: правилните съединители; правилното инсталиране на съединителите; оразмеряването на кабелите; управлението на кабелите; поддръжка и наблюдение и др.</w:t>
                      </w:r>
                    </w:p>
                    <w:p w14:paraId="561BE267" w14:textId="479542B4" w:rsidR="007167EB" w:rsidRDefault="007167EB"/>
                  </w:txbxContent>
                </v:textbox>
                <w10:wrap type="topAndBottom"/>
              </v:shape>
            </w:pict>
          </mc:Fallback>
        </mc:AlternateContent>
      </w:r>
      <w:r>
        <w:rPr>
          <w:rStyle w:val="SubtleEmphasis"/>
          <w:rFonts w:ascii="Arial" w:hAnsi="Arial"/>
          <w:color w:val="3DC3C6"/>
        </w:rPr>
        <w:t>Преглед на потенциалните финансови поддръжници</w:t>
      </w:r>
      <w:r>
        <w:rPr>
          <w:rFonts w:ascii="Arial" w:hAnsi="Arial"/>
          <w:color w:val="3DC3C6"/>
        </w:rPr>
        <w:t xml:space="preserve"> </w:t>
      </w:r>
      <w:r>
        <w:rPr>
          <w:rFonts w:ascii="Arial" w:hAnsi="Arial"/>
        </w:rPr>
        <w:cr/>
      </w:r>
      <w:r>
        <w:rPr>
          <w:rFonts w:ascii="Arial" w:hAnsi="Arial"/>
        </w:rPr>
        <w:br/>
      </w:r>
      <w:proofErr w:type="spellStart"/>
      <w:r>
        <w:rPr>
          <w:rFonts w:ascii="Arial" w:hAnsi="Arial"/>
        </w:rPr>
        <w:t>Triodos</w:t>
      </w:r>
      <w:proofErr w:type="spellEnd"/>
      <w:r>
        <w:rPr>
          <w:rFonts w:ascii="Arial" w:hAnsi="Arial"/>
        </w:rPr>
        <w:t xml:space="preserve"> и ASN </w:t>
      </w:r>
      <w:proofErr w:type="spellStart"/>
      <w:r>
        <w:rPr>
          <w:rFonts w:ascii="Arial" w:hAnsi="Arial"/>
        </w:rPr>
        <w:t>Bank</w:t>
      </w:r>
      <w:proofErr w:type="spellEnd"/>
      <w:r>
        <w:rPr>
          <w:rFonts w:ascii="Arial" w:hAnsi="Arial"/>
        </w:rPr>
        <w:t xml:space="preserve">, големите търговски банки, държавните банки като BNG и много други специализирани фондове и поддръжници: в </w:t>
      </w:r>
      <w:r>
        <w:rPr>
          <w:rFonts w:ascii="Arial" w:hAnsi="Arial"/>
          <w:b/>
          <w:color w:val="3DC3C6"/>
          <w:u w:val="single"/>
        </w:rPr>
        <w:t>Приложение 5</w:t>
      </w:r>
      <w:r>
        <w:rPr>
          <w:rFonts w:ascii="Arial" w:hAnsi="Arial"/>
          <w:color w:val="3DC3C6"/>
        </w:rPr>
        <w:t xml:space="preserve"> </w:t>
      </w:r>
      <w:r>
        <w:rPr>
          <w:rFonts w:ascii="Arial" w:hAnsi="Arial"/>
        </w:rPr>
        <w:t>ще намерите списък на финансовите поддръжници</w:t>
      </w:r>
      <w:r>
        <w:rPr>
          <w:rStyle w:val="FootnoteReference"/>
          <w:rFonts w:ascii="Arial" w:hAnsi="Arial"/>
        </w:rPr>
        <w:t>2</w:t>
      </w:r>
      <w:r>
        <w:rPr>
          <w:rFonts w:ascii="Arial" w:hAnsi="Arial"/>
        </w:rPr>
        <w:t>.</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AE6706">
      <w:pPr>
        <w:pStyle w:val="MH3"/>
      </w:pPr>
      <w:bookmarkStart w:id="78" w:name="_Toc180504655"/>
      <w:r>
        <w:t>5.3 Застраховане</w:t>
      </w:r>
      <w:bookmarkEnd w:id="78"/>
    </w:p>
    <w:p w14:paraId="7D2C96C5" w14:textId="31310D6D" w:rsidR="00301A85" w:rsidRPr="007A5646" w:rsidRDefault="00681240" w:rsidP="006D0CA6">
      <w:pPr>
        <w:jc w:val="both"/>
        <w:rPr>
          <w:rFonts w:ascii="Arial" w:hAnsi="Arial" w:cs="Arial"/>
        </w:rPr>
      </w:pPr>
      <w:r>
        <w:rPr>
          <w:rFonts w:ascii="Arial" w:hAnsi="Arial"/>
        </w:rPr>
        <w:t xml:space="preserve">В зависимост от ситуацията може да са подходящи различни застраховки. Ако плащате за проекта със собствени средства, можете да прецените сами за себе си. Ако в проекта участват банки или други финансови поддръжници, те почти винаги искат </w:t>
      </w:r>
      <w:r>
        <w:rPr>
          <w:rFonts w:ascii="Arial" w:hAnsi="Arial"/>
          <w:i/>
        </w:rPr>
        <w:t>„</w:t>
      </w:r>
      <w:r>
        <w:rPr>
          <w:rFonts w:ascii="Arial" w:hAnsi="Arial"/>
        </w:rPr>
        <w:t>Оперативна застраховка срещу всякакъв риск“</w:t>
      </w:r>
      <w:r>
        <w:rPr>
          <w:rFonts w:ascii="Arial" w:hAnsi="Arial"/>
          <w:i/>
        </w:rPr>
        <w:t xml:space="preserve"> </w:t>
      </w:r>
      <w:r>
        <w:rPr>
          <w:rFonts w:ascii="Arial" w:hAnsi="Arial"/>
        </w:rPr>
        <w:t>(OAR)</w:t>
      </w:r>
      <w:r>
        <w:rPr>
          <w:rFonts w:ascii="Arial" w:hAnsi="Arial"/>
          <w:i/>
        </w:rPr>
        <w:t xml:space="preserve"> </w:t>
      </w:r>
      <w:r>
        <w:rPr>
          <w:rFonts w:ascii="Arial" w:hAnsi="Arial"/>
        </w:rPr>
        <w:t>, както и договарящата се страна да притежава подходяща застраховка за професионална отговорност (</w:t>
      </w:r>
      <w:proofErr w:type="spellStart"/>
      <w:r>
        <w:rPr>
          <w:rFonts w:ascii="Arial" w:hAnsi="Arial"/>
          <w:i/>
        </w:rPr>
        <w:t>Bedrijfsaansprakelijkheidsverzekering</w:t>
      </w:r>
      <w:proofErr w:type="spellEnd"/>
      <w:r>
        <w:rPr>
          <w:rFonts w:ascii="Arial" w:hAnsi="Arial"/>
          <w:i/>
        </w:rPr>
        <w:t xml:space="preserve"> </w:t>
      </w:r>
      <w:r>
        <w:rPr>
          <w:rFonts w:ascii="Arial" w:hAnsi="Arial"/>
        </w:rPr>
        <w:t>— AVB</w:t>
      </w:r>
      <w:r>
        <w:rPr>
          <w:rFonts w:ascii="Arial" w:hAnsi="Arial"/>
          <w:i/>
        </w:rPr>
        <w:t>)</w:t>
      </w:r>
      <w:r>
        <w:rPr>
          <w:rFonts w:ascii="Arial" w:hAnsi="Arial"/>
        </w:rPr>
        <w:t>.</w:t>
      </w:r>
    </w:p>
    <w:p w14:paraId="62A7F5F1" w14:textId="77777777" w:rsidR="00301A85" w:rsidRPr="004C0EBD" w:rsidRDefault="00301A85" w:rsidP="00A3595E"/>
    <w:p w14:paraId="48832CD2" w14:textId="57879E66" w:rsidR="00474598" w:rsidRPr="004C0EBD" w:rsidRDefault="00474598" w:rsidP="007A5646">
      <w:pPr>
        <w:pStyle w:val="BodyText1"/>
      </w:pPr>
      <w:r>
        <w:t xml:space="preserve">По-долу ще намерите кратко описание на четири подходящи вида застраховки.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За „</w:t>
      </w:r>
      <w:proofErr w:type="spellStart"/>
      <w:r>
        <w:rPr>
          <w:rStyle w:val="SubtleEmphasis"/>
          <w:rFonts w:ascii="Arial" w:hAnsi="Arial"/>
          <w:color w:val="3DC3C6"/>
        </w:rPr>
        <w:t>Sun-on-Roof</w:t>
      </w:r>
      <w:proofErr w:type="spellEnd"/>
      <w:r>
        <w:rPr>
          <w:rStyle w:val="SubtleEmphasis"/>
          <w:rFonts w:ascii="Arial" w:hAnsi="Arial"/>
          <w:color w:val="3DC3C6"/>
        </w:rPr>
        <w:t xml:space="preserve">: Застраховка срещу пожар </w:t>
      </w:r>
    </w:p>
    <w:p w14:paraId="4B57E2F5" w14:textId="74558B0F" w:rsidR="00293FAD" w:rsidRPr="007A5646" w:rsidRDefault="00681240" w:rsidP="00321C0F">
      <w:pPr>
        <w:jc w:val="both"/>
        <w:rPr>
          <w:rFonts w:ascii="Arial" w:hAnsi="Arial" w:cs="Arial"/>
        </w:rPr>
      </w:pPr>
      <w:r>
        <w:rPr>
          <w:rFonts w:ascii="Arial" w:hAnsi="Arial"/>
        </w:rPr>
        <w:t>Редица пожари в сградите през последните години се дължат на фотоволтаични инсталации. Премиите за застраховка на сгради и съдържанието им често се увеличават в резултат на повишения риск от пожар след поставяне на фотоволтаична инсталация на покрива. Понякога застрахователят може да определи допълнителни изисквания (напр. детектор за електрическа дъга). Изискванията трябва да бъдат включени в поканата за участие в търг или в описанието на договора.</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Съвет</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Важно е да попитате </w:t>
      </w:r>
      <w:r>
        <w:rPr>
          <w:rFonts w:ascii="Arial" w:hAnsi="Arial"/>
          <w:b/>
          <w:color w:val="104D54"/>
        </w:rPr>
        <w:t>на ранен етап</w:t>
      </w:r>
      <w:r>
        <w:rPr>
          <w:rFonts w:ascii="Arial" w:hAnsi="Arial"/>
          <w:color w:val="104D54"/>
        </w:rPr>
        <w:t xml:space="preserve"> какви са разходите за нови или адаптирани застрахователни полици. В някои случаи премиите могат да бъдат толкова високи, че икономическата обосновка за проекта за фотоволтаична система да стане нерентабилна. Това е било причина за неуспеха на различни </w:t>
      </w:r>
      <w:r>
        <w:rPr>
          <w:rFonts w:ascii="Arial" w:hAnsi="Arial"/>
          <w:color w:val="104D54"/>
        </w:rPr>
        <w:cr/>
      </w:r>
      <w:r>
        <w:rPr>
          <w:rFonts w:ascii="Arial" w:hAnsi="Arial"/>
          <w:color w:val="104D54"/>
        </w:rPr>
        <w:br/>
        <w:t>проекти за фотоволтаични системи.</w:t>
      </w:r>
    </w:p>
    <w:p w14:paraId="363FEB51" w14:textId="2E33142F" w:rsidR="00474598" w:rsidRPr="004C0EBD" w:rsidRDefault="006D0CA6"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Оперативна застраховка срещу всякакъв вид риск (OAR)</w:t>
      </w:r>
    </w:p>
    <w:p w14:paraId="7721E1ED" w14:textId="0B869916" w:rsidR="00474598" w:rsidRPr="007A5646" w:rsidRDefault="00293FAD" w:rsidP="00474598">
      <w:pPr>
        <w:rPr>
          <w:rFonts w:ascii="Arial" w:hAnsi="Arial" w:cs="Arial"/>
        </w:rPr>
      </w:pPr>
      <w:r>
        <w:rPr>
          <w:rFonts w:ascii="Arial" w:hAnsi="Arial"/>
        </w:rPr>
        <w:t>Тази застраховка се сключва от самия клиент. Тя защитава от:</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Повреда на инсталацията на слънчевия панел</w:t>
      </w:r>
      <w:r>
        <w:rPr>
          <w:rFonts w:ascii="Arial" w:hAnsi="Arial"/>
          <w:color w:val="3DC3C6"/>
        </w:rPr>
        <w:t xml:space="preserve"> </w:t>
      </w:r>
      <w:r>
        <w:rPr>
          <w:rFonts w:ascii="Arial" w:hAnsi="Arial"/>
        </w:rPr>
        <w:cr/>
      </w:r>
      <w:r>
        <w:rPr>
          <w:rFonts w:ascii="Arial" w:hAnsi="Arial"/>
        </w:rPr>
        <w:br/>
        <w:t>Застраховката OAR покрива щети на фотоволтаичната инсталация в резултат на външни непредвидени обстоятелства като: пожар, буря, удар от мълния, кражба или вандализъм.</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Загуба на производство</w:t>
      </w:r>
      <w:r>
        <w:rPr>
          <w:rFonts w:ascii="Arial" w:hAnsi="Arial"/>
          <w:color w:val="3DC3C6"/>
        </w:rPr>
        <w:t xml:space="preserve"> </w:t>
      </w:r>
      <w:r>
        <w:rPr>
          <w:rFonts w:ascii="Arial" w:hAnsi="Arial"/>
        </w:rPr>
        <w:cr/>
      </w:r>
      <w:r>
        <w:rPr>
          <w:rFonts w:ascii="Arial" w:hAnsi="Arial"/>
        </w:rPr>
        <w:br/>
        <w:t>В случай на повреда на фотоволтаичната инсталация, може да мине известно време, преди тя да бъде поправена или заменена, което може да доведе до загуба на приходи. Застраховката OAR покрива също загуба на приходи в резултат на щети.</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Застраховка за професионална отговорност (AVB)</w:t>
      </w:r>
    </w:p>
    <w:p w14:paraId="5D96A310" w14:textId="220B64A7" w:rsidR="00B06E62" w:rsidRPr="007A5646" w:rsidRDefault="00B06E62" w:rsidP="00321C0F">
      <w:pPr>
        <w:jc w:val="both"/>
        <w:rPr>
          <w:rFonts w:ascii="Arial" w:hAnsi="Arial" w:cs="Arial"/>
        </w:rPr>
      </w:pPr>
      <w:r>
        <w:rPr>
          <w:rFonts w:ascii="Arial" w:hAnsi="Arial"/>
        </w:rPr>
        <w:t xml:space="preserve">В изискванията на проекта за фотоволтаична инсталация обикновено е предвидено, че договарящата се страна трябва да притежава подходяща застраховка за професионална отговорност, за да осигури финансово обезпечение, в случай че се установи, че е отговорна за всякакви щети, възникнали по време на строителните работи.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cr/>
      </w:r>
      <w:r>
        <w:rPr>
          <w:rFonts w:ascii="Arial" w:hAnsi="Arial"/>
        </w:rPr>
        <w:br/>
        <w:t>Някои примери за покритие:</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Щети на имущество</w:t>
      </w:r>
      <w:r>
        <w:rPr>
          <w:rFonts w:ascii="Arial" w:hAnsi="Arial"/>
          <w:i/>
          <w:color w:val="3DC3C6"/>
        </w:rPr>
        <w:t xml:space="preserve"> </w:t>
      </w:r>
      <w:r>
        <w:rPr>
          <w:rFonts w:ascii="Arial" w:hAnsi="Arial"/>
        </w:rPr>
        <w:t xml:space="preserve">Щети на имущество на клиента (автомобили, сграда и др.), причинени от инцидент по време на строителните работи.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Телесно нараняване</w:t>
      </w:r>
      <w:r>
        <w:rPr>
          <w:rFonts w:ascii="Arial" w:hAnsi="Arial"/>
          <w:i/>
          <w:color w:val="3DC3C6"/>
        </w:rPr>
        <w:t xml:space="preserve"> </w:t>
      </w:r>
      <w:r>
        <w:rPr>
          <w:rFonts w:ascii="Arial" w:hAnsi="Arial"/>
        </w:rPr>
        <w:t>Ако човек претърпи физическо нараняване в резултат на действията на изпълнителя. Това покрива медицински разходи и всякакви компенсации за вреди.</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 xml:space="preserve">Юридически такси </w:t>
      </w:r>
      <w:r>
        <w:rPr>
          <w:rFonts w:ascii="Arial" w:hAnsi="Arial"/>
        </w:rPr>
        <w:t xml:space="preserve">Покрива, наред с другото, адвокатски хонорари и разходи за юридически услуги, ако дружеството е страна по съдебно производство. </w:t>
      </w:r>
    </w:p>
    <w:p w14:paraId="43930762" w14:textId="1E0C0EF2" w:rsidR="00B06E62" w:rsidRPr="007A5646" w:rsidRDefault="00B06E62" w:rsidP="00B06E62">
      <w:pPr>
        <w:rPr>
          <w:rStyle w:val="SubtleEmphasis"/>
          <w:rFonts w:ascii="Arial" w:hAnsi="Arial" w:cs="Arial"/>
        </w:rPr>
      </w:pPr>
      <w:r>
        <w:rPr>
          <w:rFonts w:ascii="Arial" w:hAnsi="Arial"/>
        </w:rPr>
        <w:t>Покритието и условията на AVB варират в зависимост от застрахователното дружество и от вида на дружеството.</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 xml:space="preserve">Застраховка CAR („Всички застрахователни рискове за строителен обект“)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Монтажниците/EPC трябва да имат сключена и платена застраховка CAR с достатъчно покритие (например: 1 млн. евро/поне стойност, равна на стойността на договора). Като клиент можете също да изберете сами да сключите застраховка CAR. Тя осигурява същото покритие, но Вие „държите нещата под контрол“. Застраховката покрива рискове, различни от тези, които покрива AVB.</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rPr>
        <w:t xml:space="preserve">В </w:t>
      </w:r>
      <w:r>
        <w:rPr>
          <w:rFonts w:ascii="Arial" w:hAnsi="Arial"/>
          <w:b/>
          <w:color w:val="3DC3C6"/>
          <w:u w:val="single"/>
        </w:rPr>
        <w:t>приложение 9</w:t>
      </w:r>
      <w:r>
        <w:rPr>
          <w:rFonts w:ascii="Arial" w:hAnsi="Arial"/>
        </w:rPr>
        <w:t xml:space="preserve"> се съдържа кратко резюме на това, което покрива застраховката CAR.</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AE6706">
      <w:pPr>
        <w:pStyle w:val="MH2"/>
      </w:pPr>
      <w:bookmarkStart w:id="79" w:name="_Toc180504656"/>
      <w:r>
        <w:t>Стъпка 6 Аспекти, свързани с устойчивостта</w:t>
      </w:r>
      <w:bookmarkEnd w:id="79"/>
      <w:r>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Pr>
          <w:rFonts w:ascii="Arial" w:hAnsi="Arial"/>
        </w:rPr>
        <w:t xml:space="preserve">В точка 6.1 се разглеждат накратко аспектите на устойчивостта на слънчевите панели, а в точка 6.2 — екологичните аспекти на парковете за слънчева енергия и плаващите фотоволтаични инсталации.  </w:t>
      </w:r>
      <w:r>
        <w:rPr>
          <w:rFonts w:ascii="Arial" w:hAnsi="Arial"/>
        </w:rPr>
        <w:cr/>
      </w:r>
      <w:r>
        <w:rPr>
          <w:rFonts w:ascii="Arial" w:hAnsi="Arial"/>
        </w:rPr>
        <w:br/>
      </w:r>
    </w:p>
    <w:p w14:paraId="438BCBE6" w14:textId="4D518DFB" w:rsidR="002C7DD6" w:rsidRPr="00162562" w:rsidRDefault="003869FC" w:rsidP="00162562">
      <w:pPr>
        <w:jc w:val="both"/>
        <w:rPr>
          <w:rFonts w:ascii="Arial" w:hAnsi="Arial" w:cs="Arial"/>
        </w:rPr>
      </w:pPr>
      <w:r>
        <w:rPr>
          <w:rFonts w:ascii="Arial" w:hAnsi="Arial"/>
        </w:rPr>
        <w:t>В настоящия документ не се разглеждат монтажните материали и инверторите. Монтажните материали са изработени предимно от алуминий или стомана, които могат лесно да се рециклират. Алуминият често вече е произведен от рециклиран алуминий. Все още няма много информация относно разликите в полезния живот и здравината. Устойчивите аспекти на инверторите и фундаментите ще бъдат разгледани в бъдеща версия на настоящия документ.</w:t>
      </w:r>
    </w:p>
    <w:p w14:paraId="2B88D409" w14:textId="77777777" w:rsidR="00FA5774" w:rsidRPr="004C0EBD" w:rsidRDefault="00FA5774" w:rsidP="00A3595E"/>
    <w:p w14:paraId="2085671D" w14:textId="7A892BCC" w:rsidR="003430AD" w:rsidRPr="004C0EBD" w:rsidRDefault="00FA5774" w:rsidP="00AE6706">
      <w:pPr>
        <w:pStyle w:val="MH3"/>
      </w:pPr>
      <w:bookmarkStart w:id="80" w:name="_Toc180504657"/>
      <w:r>
        <w:t>6.1 Аспекти на устойчивостта на слънчевите панели</w:t>
      </w:r>
      <w:bookmarkEnd w:id="80"/>
    </w:p>
    <w:p w14:paraId="1C1BEA61" w14:textId="313EB780" w:rsidR="009F3241" w:rsidRPr="004C0EBD" w:rsidRDefault="009F3241" w:rsidP="00162562">
      <w:pPr>
        <w:pStyle w:val="BodyText1"/>
      </w:pPr>
      <w:r>
        <w:t>По-долу ще намерите обобщение на основните аспекти на устойчивостта. Тези теми са разгледани подробно в документа „Аспекти на устойчивостта и преглед на пазара на по-устойчиви слънчеви панели“,</w:t>
      </w:r>
      <w:r>
        <w:rPr>
          <w:i/>
        </w:rPr>
        <w:t xml:space="preserve"> </w:t>
      </w:r>
      <w:r>
        <w:t>в който се споменават също и по-устойчивите варианти за продажба, като са посочени допълнителните разходи.</w:t>
      </w:r>
    </w:p>
    <w:p w14:paraId="059AE3F5" w14:textId="337DBCCC" w:rsidR="009F3241" w:rsidRPr="004C0EBD" w:rsidRDefault="009F3241" w:rsidP="009F3241"/>
    <w:p w14:paraId="2227E561" w14:textId="06E5A87F"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Съвет</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Следва да прецените кои аспекти на устойчивостта са най-важни за Вашата организация на предварителния етап. Горепосоченият документ ще Ви помогне да направите оценка на допълнителните разходи, свързани с определени изисквания, както и въздействието върху броя на доставчиците и икономическата обосновка.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2365"/>
        <w:gridCol w:w="4229"/>
        <w:gridCol w:w="2468"/>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Проблем</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Обяснение</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В Образеца с изисквания?</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 xml:space="preserve">Въглероден отпечатък на фотоволтаичните панели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Различава се с коефициент 4 между общо 20-те най-големи производители на фотоволтаични панели: около 300 — 1200 </w:t>
            </w:r>
            <w:proofErr w:type="spellStart"/>
            <w:r>
              <w:rPr>
                <w:rFonts w:ascii="Arial" w:hAnsi="Arial"/>
                <w:sz w:val="20"/>
              </w:rPr>
              <w:t>kg</w:t>
            </w:r>
            <w:proofErr w:type="spellEnd"/>
            <w:r>
              <w:rPr>
                <w:rFonts w:ascii="Arial" w:hAnsi="Arial"/>
                <w:sz w:val="20"/>
              </w:rPr>
              <w:t xml:space="preserve"> COCO</w:t>
            </w:r>
            <w:r>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w:t>
            </w:r>
            <w:r>
              <w:rPr>
                <w:rFonts w:ascii="Arial" w:hAnsi="Arial"/>
              </w:rPr>
              <w:t xml:space="preserve"> </w:t>
            </w:r>
            <w:r>
              <w:rPr>
                <w:rFonts w:ascii="Arial" w:hAnsi="Arial"/>
              </w:rPr>
              <w:cr/>
            </w:r>
            <w:r>
              <w:rPr>
                <w:rFonts w:ascii="Arial" w:hAnsi="Arial"/>
              </w:rPr>
              <w:br/>
            </w:r>
            <w:r>
              <w:rPr>
                <w:rFonts w:ascii="Arial" w:hAnsi="Arial"/>
                <w:sz w:val="20"/>
              </w:rPr>
              <w:t>В Нидерландия за инсталации, поставени през 2024 г., времето за възвръщаемост на CO</w:t>
            </w:r>
            <w:r>
              <w:rPr>
                <w:rFonts w:ascii="Arial" w:hAnsi="Arial"/>
                <w:sz w:val="20"/>
                <w:vertAlign w:val="subscript"/>
              </w:rPr>
              <w:t>2</w:t>
            </w:r>
            <w:r>
              <w:rPr>
                <w:rFonts w:ascii="Arial" w:hAnsi="Arial"/>
                <w:sz w:val="20"/>
              </w:rPr>
              <w:t xml:space="preserve"> на стандартните слънчеви панели е 8 до 20 години (в зависимост от предположенията). </w:t>
            </w:r>
            <w:r>
              <w:rPr>
                <w:rFonts w:ascii="Arial" w:hAnsi="Arial"/>
              </w:rPr>
              <w:t xml:space="preserve"> </w:t>
            </w:r>
            <w:r>
              <w:rPr>
                <w:rFonts w:ascii="Arial" w:hAnsi="Arial"/>
              </w:rPr>
              <w:cr/>
            </w:r>
            <w:r>
              <w:rPr>
                <w:rFonts w:ascii="Arial" w:hAnsi="Arial"/>
              </w:rPr>
              <w:br/>
            </w:r>
            <w:r>
              <w:rPr>
                <w:rFonts w:ascii="Arial" w:hAnsi="Arial"/>
                <w:sz w:val="20"/>
              </w:rPr>
              <w:t xml:space="preserve">Този срок е от 2 до 4 години за панелите с нисък въглероден отпечатък.  </w:t>
            </w:r>
            <w:r>
              <w:rPr>
                <w:rFonts w:ascii="Arial" w:hAnsi="Arial"/>
              </w:rPr>
              <w:t xml:space="preserve"> </w:t>
            </w:r>
            <w:r>
              <w:rPr>
                <w:rFonts w:ascii="Arial" w:hAnsi="Arial"/>
              </w:rPr>
              <w:cr/>
            </w:r>
            <w:r>
              <w:rPr>
                <w:rFonts w:ascii="Arial" w:hAnsi="Arial"/>
              </w:rPr>
              <w:br/>
            </w:r>
            <w:r>
              <w:rPr>
                <w:rFonts w:ascii="Arial" w:hAnsi="Arial"/>
                <w:sz w:val="20"/>
              </w:rPr>
              <w:t>Тези панели са с 5-20 % по-скъпи.</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Стандартно изискване:</w:t>
            </w:r>
            <w:r>
              <w:rPr>
                <w:rFonts w:ascii="Arial" w:hAnsi="Arial"/>
                <w:sz w:val="20"/>
              </w:rPr>
              <w:t xml:space="preserve"> 550 </w:t>
            </w:r>
            <w:proofErr w:type="spellStart"/>
            <w:r>
              <w:rPr>
                <w:rFonts w:ascii="Arial" w:hAnsi="Arial"/>
                <w:sz w:val="20"/>
              </w:rPr>
              <w:t>kg</w:t>
            </w:r>
            <w:proofErr w:type="spellEnd"/>
            <w:r>
              <w:rPr>
                <w:rFonts w:ascii="Arial" w:hAnsi="Arial"/>
                <w:sz w:val="20"/>
              </w:rPr>
              <w:t xml:space="preserve"> CO</w:t>
            </w:r>
            <w:r>
              <w:rPr>
                <w:rFonts w:ascii="Arial" w:hAnsi="Arial"/>
                <w:sz w:val="20"/>
                <w:vertAlign w:val="subscript"/>
              </w:rPr>
              <w:t xml:space="preserve">2 </w:t>
            </w:r>
            <w:r>
              <w:rPr>
                <w:rFonts w:ascii="Arial" w:hAnsi="Arial"/>
                <w:sz w:val="20"/>
              </w:rPr>
              <w:t>на</w:t>
            </w:r>
            <w:r>
              <w:rPr>
                <w:rFonts w:ascii="Arial" w:hAnsi="Arial"/>
                <w:sz w:val="20"/>
                <w:vertAlign w:val="subscript"/>
              </w:rPr>
              <w:t xml:space="preserve"> </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съгласно „Опростената оценка на въглеродните емисии“. </w:t>
            </w:r>
            <w:r>
              <w:rPr>
                <w:rFonts w:ascii="Arial" w:hAnsi="Arial"/>
              </w:rPr>
              <w:t xml:space="preserve"> </w:t>
            </w:r>
            <w:r>
              <w:rPr>
                <w:rFonts w:ascii="Arial" w:hAnsi="Arial"/>
              </w:rPr>
              <w:cr/>
            </w:r>
            <w:r>
              <w:rPr>
                <w:rFonts w:ascii="Arial" w:hAnsi="Arial"/>
              </w:rPr>
              <w:br/>
              <w:t xml:space="preserve"> </w:t>
            </w:r>
            <w:r>
              <w:rPr>
                <w:rFonts w:ascii="Arial" w:hAnsi="Arial"/>
              </w:rPr>
              <w:cr/>
            </w:r>
            <w:r>
              <w:rPr>
                <w:rFonts w:ascii="Arial" w:hAnsi="Arial"/>
              </w:rPr>
              <w:br/>
            </w:r>
            <w:r>
              <w:rPr>
                <w:rFonts w:ascii="Arial" w:hAnsi="Arial"/>
                <w:i/>
                <w:sz w:val="20"/>
              </w:rPr>
              <w:t xml:space="preserve">Бонус точки: </w:t>
            </w:r>
            <w:r>
              <w:rPr>
                <w:rFonts w:ascii="Arial" w:hAnsi="Arial"/>
                <w:sz w:val="20"/>
              </w:rPr>
              <w:t>за нисък въглероден отпечатък:</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Вредни материали, които могат да се избегнат</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Гърбът на много стандартни слънчеви панели е изцяло покрит със слой PFAS, което представлява риск от замърсяване на почвата. Освен това припоят често съдържа олово, а стъклото — антимон.  </w:t>
            </w:r>
            <w:r>
              <w:rPr>
                <w:rFonts w:ascii="Arial" w:hAnsi="Arial"/>
              </w:rPr>
              <w:t xml:space="preserve"> </w:t>
            </w:r>
            <w:r>
              <w:rPr>
                <w:rFonts w:ascii="Arial" w:hAnsi="Arial"/>
              </w:rPr>
              <w:cr/>
            </w:r>
            <w:r>
              <w:rPr>
                <w:rFonts w:ascii="Arial" w:hAnsi="Arial"/>
              </w:rPr>
              <w:br/>
            </w:r>
            <w:r>
              <w:rPr>
                <w:rFonts w:ascii="Arial" w:hAnsi="Arial"/>
                <w:sz w:val="20"/>
              </w:rPr>
              <w:t xml:space="preserve">Слънчевите панели без PFAS са широко достъпни. Съществува и малък брой слънчеви панели, които не съдържат нито олово, нито антимон.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Стандартно изискване: </w:t>
            </w:r>
            <w:r>
              <w:rPr>
                <w:rFonts w:ascii="Arial" w:hAnsi="Arial"/>
                <w:sz w:val="20"/>
              </w:rPr>
              <w:t>Без PFAS.</w:t>
            </w:r>
            <w:r>
              <w:rPr>
                <w:rFonts w:ascii="Arial" w:hAnsi="Arial"/>
              </w:rPr>
              <w:t xml:space="preserve"> </w:t>
            </w:r>
            <w:r>
              <w:rPr>
                <w:rFonts w:ascii="Arial" w:hAnsi="Arial"/>
              </w:rPr>
              <w:cr/>
            </w:r>
            <w:r>
              <w:rPr>
                <w:rFonts w:ascii="Arial" w:hAnsi="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 xml:space="preserve">Бонус точки: </w:t>
            </w:r>
            <w:r>
              <w:rPr>
                <w:rFonts w:ascii="Arial" w:hAnsi="Arial"/>
              </w:rPr>
              <w:t xml:space="preserve"> </w:t>
            </w:r>
            <w:r>
              <w:rPr>
                <w:rFonts w:ascii="Arial" w:hAnsi="Arial"/>
              </w:rPr>
              <w:cr/>
            </w:r>
            <w:r>
              <w:rPr>
                <w:rFonts w:ascii="Arial" w:hAnsi="Arial"/>
              </w:rPr>
              <w:br/>
              <w:t>Безоловен припой, стъкло без антимон.</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Полезен живот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Техническият полезен живот на много слънчеви панели, включително тези от производители „от ниво 1“, вероятно е 10 до 15 години. </w:t>
            </w:r>
            <w:r>
              <w:rPr>
                <w:rFonts w:ascii="Arial" w:hAnsi="Arial"/>
              </w:rPr>
              <w:t xml:space="preserve"> </w:t>
            </w:r>
            <w:r>
              <w:rPr>
                <w:rFonts w:ascii="Arial" w:hAnsi="Arial"/>
              </w:rPr>
              <w:cr/>
            </w:r>
            <w:r>
              <w:rPr>
                <w:rFonts w:ascii="Arial" w:hAnsi="Arial"/>
              </w:rPr>
              <w:br/>
            </w:r>
            <w:r>
              <w:rPr>
                <w:rFonts w:ascii="Arial" w:hAnsi="Arial"/>
                <w:sz w:val="20"/>
              </w:rPr>
              <w:t xml:space="preserve">Полезен живот от поне 30 години също е напълно възможен при използване на висококачествени материали и здрав дизайн. </w:t>
            </w:r>
            <w:r>
              <w:rPr>
                <w:rFonts w:ascii="Arial" w:hAnsi="Arial"/>
              </w:rPr>
              <w:t xml:space="preserve"> </w:t>
            </w:r>
            <w:r>
              <w:rPr>
                <w:rFonts w:ascii="Arial" w:hAnsi="Arial"/>
              </w:rPr>
              <w:cr/>
            </w:r>
            <w:r>
              <w:rPr>
                <w:rFonts w:ascii="Arial" w:hAnsi="Arial"/>
              </w:rPr>
              <w:br/>
            </w:r>
            <w:r>
              <w:rPr>
                <w:rFonts w:ascii="Arial" w:hAnsi="Arial"/>
                <w:sz w:val="20"/>
              </w:rPr>
              <w:t xml:space="preserve">Тези слънчеви панели са с 10 % до 15 % по-скъпи.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Бонус точки: </w:t>
            </w:r>
            <w:r>
              <w:rPr>
                <w:rFonts w:ascii="Arial" w:hAnsi="Arial"/>
              </w:rPr>
              <w:t>30 години гаранция на продукта, подкрепена с тестове.</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Условия на труд във веригата на доставките.</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В </w:t>
            </w:r>
            <w:proofErr w:type="spellStart"/>
            <w:r>
              <w:rPr>
                <w:rFonts w:ascii="Arial" w:hAnsi="Arial"/>
                <w:sz w:val="20"/>
              </w:rPr>
              <w:t>Синдзян</w:t>
            </w:r>
            <w:proofErr w:type="spellEnd"/>
            <w:r>
              <w:rPr>
                <w:rFonts w:ascii="Arial" w:hAnsi="Arial"/>
                <w:sz w:val="20"/>
              </w:rPr>
              <w:t xml:space="preserve"> е документиран принудителен труд, свързан с производството на слънчеви клетки. Съществуват различни инициативи, които имат за цел да се установи дали производител или неговите доставчици използват принудителен труд (Споразумение на </w:t>
            </w:r>
            <w:r>
              <w:rPr>
                <w:rFonts w:ascii="Arial" w:hAnsi="Arial"/>
                <w:i/>
                <w:sz w:val="20"/>
              </w:rPr>
              <w:t>SER [</w:t>
            </w:r>
            <w:r>
              <w:rPr>
                <w:rFonts w:ascii="Arial" w:hAnsi="Arial"/>
                <w:sz w:val="20"/>
              </w:rPr>
              <w:t>Социален и икономически съвет на Нидерландия</w:t>
            </w:r>
            <w:r>
              <w:rPr>
                <w:rFonts w:ascii="Arial" w:hAnsi="Arial"/>
                <w:i/>
                <w:sz w:val="20"/>
              </w:rPr>
              <w:t xml:space="preserve">] </w:t>
            </w:r>
            <w:r>
              <w:rPr>
                <w:rFonts w:ascii="Arial" w:hAnsi="Arial"/>
                <w:sz w:val="20"/>
              </w:rPr>
              <w:t>за международни стандарти за отговорно бизнес поведение по отношение на правата на човека</w:t>
            </w:r>
            <w:r>
              <w:rPr>
                <w:rFonts w:ascii="Arial" w:hAnsi="Arial"/>
                <w:i/>
                <w:sz w:val="20"/>
              </w:rPr>
              <w:t>;</w:t>
            </w:r>
            <w:r>
              <w:rPr>
                <w:rFonts w:ascii="Arial" w:hAnsi="Arial"/>
                <w:sz w:val="20"/>
              </w:rPr>
              <w:t xml:space="preserve"> „Инициативата за управление на слънчевата енергия“ на </w:t>
            </w:r>
            <w:proofErr w:type="spellStart"/>
            <w:r>
              <w:rPr>
                <w:rFonts w:ascii="Arial" w:hAnsi="Arial"/>
                <w:sz w:val="20"/>
              </w:rPr>
              <w:t>SolarPower</w:t>
            </w:r>
            <w:proofErr w:type="spellEnd"/>
            <w:r>
              <w:rPr>
                <w:rFonts w:ascii="Arial" w:hAnsi="Arial"/>
                <w:sz w:val="20"/>
              </w:rPr>
              <w:t xml:space="preserve"> </w:t>
            </w:r>
            <w:proofErr w:type="spellStart"/>
            <w:r>
              <w:rPr>
                <w:rFonts w:ascii="Arial" w:hAnsi="Arial"/>
                <w:sz w:val="20"/>
              </w:rPr>
              <w:t>Europe</w:t>
            </w:r>
            <w:proofErr w:type="spellEnd"/>
            <w:r>
              <w:rPr>
                <w:rFonts w:ascii="Arial" w:hAnsi="Arial"/>
                <w:sz w:val="20"/>
              </w:rPr>
              <w:t xml:space="preserv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Изискванията и обективните критерии все още са в процес на разработване.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По време на монтажа на панелите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Монтажът на слънчеви панели в Нидерландия понякога е свързан с експлоатация на работници мигранти.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Изискване</w:t>
            </w:r>
            <w:r>
              <w:rPr>
                <w:rFonts w:ascii="Arial" w:hAnsi="Arial"/>
                <w:sz w:val="20"/>
              </w:rPr>
              <w:t>: Кодекс за поведение на доставчика.</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proofErr w:type="spellStart"/>
            <w:r>
              <w:rPr>
                <w:rFonts w:ascii="Arial" w:hAnsi="Arial"/>
                <w:sz w:val="24"/>
              </w:rPr>
              <w:t>Кръговост</w:t>
            </w:r>
            <w:proofErr w:type="spellEnd"/>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Разработени са различни идеи и концепции като „Дизайн за рециклиране“, включително ангажимент за използване на определен процент рециклирани материали.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Изискванията и обективните критерии все още са в процес на разработване.</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Излизане от употреба</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Смяна с други панели само в случай на дефект. На фондация OPEN [Организация на Нидерландия за отговорност на производителите в случай на електронни отпадъци (OPEN)] трябва да бъде платена (задължителната) вноска за обезвреждане.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Изискване: </w:t>
            </w:r>
            <w:r>
              <w:rPr>
                <w:rFonts w:ascii="Arial" w:hAnsi="Arial"/>
                <w:sz w:val="20"/>
              </w:rPr>
              <w:t>платена е вноска за обезвреждане.</w:t>
            </w:r>
          </w:p>
        </w:tc>
      </w:tr>
    </w:tbl>
    <w:p w14:paraId="3D4E6FCF" w14:textId="77777777" w:rsidR="00FA5774" w:rsidRPr="004C0EBD" w:rsidRDefault="00FA5774" w:rsidP="00A3595E"/>
    <w:p w14:paraId="1DD59982" w14:textId="77777777" w:rsidR="006A5081" w:rsidRDefault="006A5081" w:rsidP="00AE6706">
      <w:pPr>
        <w:pStyle w:val="MH3"/>
      </w:pPr>
    </w:p>
    <w:p w14:paraId="16BF8B85" w14:textId="703AE0F9" w:rsidR="00F541A6" w:rsidRPr="004C0EBD" w:rsidRDefault="00FA5774" w:rsidP="00AE6706">
      <w:pPr>
        <w:pStyle w:val="MH3"/>
      </w:pPr>
      <w:bookmarkStart w:id="81" w:name="_Toc180504658"/>
      <w:r>
        <w:t>6.2 Аспекти на околната среда, включени в проекти от типа „</w:t>
      </w:r>
      <w:proofErr w:type="spellStart"/>
      <w:r>
        <w:t>Sun-on-Land</w:t>
      </w:r>
      <w:proofErr w:type="spellEnd"/>
      <w:r>
        <w:t xml:space="preserve">“ и </w:t>
      </w:r>
      <w:r>
        <w:cr/>
      </w:r>
      <w:r>
        <w:br/>
        <w:t>„</w:t>
      </w:r>
      <w:proofErr w:type="spellStart"/>
      <w:r>
        <w:t>Sun-on-Water</w:t>
      </w:r>
      <w:proofErr w:type="spellEnd"/>
      <w:r>
        <w:t>“</w:t>
      </w:r>
      <w:bookmarkEnd w:id="81"/>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w:t>
      </w:r>
      <w:proofErr w:type="spellStart"/>
      <w:r>
        <w:rPr>
          <w:rFonts w:ascii="Arial" w:hAnsi="Arial"/>
          <w:b/>
          <w:color w:val="3DC3C6"/>
          <w:sz w:val="24"/>
        </w:rPr>
        <w:t>Sun-on-Land</w:t>
      </w:r>
      <w:proofErr w:type="spellEnd"/>
      <w:r>
        <w:rPr>
          <w:rFonts w:ascii="Arial" w:hAnsi="Arial"/>
          <w:b/>
          <w:color w:val="3DC3C6"/>
          <w:sz w:val="24"/>
        </w:rPr>
        <w:t>“</w:t>
      </w:r>
    </w:p>
    <w:p w14:paraId="19275623" w14:textId="77777777" w:rsidR="001F15A3" w:rsidRDefault="004E647C" w:rsidP="003869FC">
      <w:pPr>
        <w:jc w:val="both"/>
        <w:rPr>
          <w:rFonts w:ascii="Arial" w:hAnsi="Arial" w:cs="Arial"/>
        </w:rPr>
      </w:pPr>
      <w:r>
        <w:rPr>
          <w:rFonts w:ascii="Arial" w:hAnsi="Arial"/>
        </w:rPr>
        <w:t xml:space="preserve">Слънчевите панели във фотоволтаични инсталации на земята с ориентация изток-запад понякога са разположени толкова близо един до друг, че до земята не може да достигне почти никаква светлина или вода; това води до изчезване на живите организми в почвите под панелите. </w:t>
      </w:r>
      <w:proofErr w:type="spellStart"/>
      <w:r>
        <w:rPr>
          <w:rFonts w:ascii="Arial" w:hAnsi="Arial"/>
        </w:rPr>
        <w:t>Би</w:t>
      </w:r>
      <w:proofErr w:type="spellEnd"/>
      <w:r>
        <w:rPr>
          <w:rFonts w:ascii="Arial" w:hAnsi="Arial"/>
        </w:rPr>
        <w:t xml:space="preserve"> имало огромна разлика с малко повече пространство за светлина и дъжд. За повече информация вж.:</w:t>
      </w:r>
    </w:p>
    <w:p w14:paraId="048EB9A9" w14:textId="0A6CE6E4" w:rsidR="00B04952" w:rsidRPr="001F15A3" w:rsidRDefault="004664C1" w:rsidP="003869FC">
      <w:pPr>
        <w:jc w:val="both"/>
        <w:rPr>
          <w:rFonts w:ascii="Arial" w:hAnsi="Arial" w:cs="Arial"/>
          <w:color w:val="3DC3C6"/>
        </w:rPr>
      </w:pPr>
      <w:hyperlink r:id="rId18" w:history="1">
        <w:r w:rsidR="0039686D">
          <w:rPr>
            <w:rStyle w:val="Hyperlink"/>
            <w:rFonts w:ascii="Arial" w:hAnsi="Arial"/>
            <w:color w:val="3DC3C6"/>
          </w:rPr>
          <w:t>https://zoninlandschap.nl/u/files/ZonneparkenBeterOntwerpTNOV2.pdf</w:t>
        </w:r>
      </w:hyperlink>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TNO разработи изпитване на почвата, при което се извършва проверка на това дали е възможно да има достатъчно живи организми в почвата в зависимост от местоположението, ориентацията и разстоянието между редовете. Също така от слънчевите панели от типа „стъкло—стъкло“ също има известна полза, ако слънчевата светлина може да преминава през ръбовете на панела и да достига до земята. В Образеца вече е посочено също, че съотношението на земно покритие за по-малки проекти трябва да бъде по-малко от 70 % и че трябва да има разстояние от най-малко 2 cm между панелите (за дъждовна вода). По-мащабните проекти трябва да издържат изпитването на почвата на TNO.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Биологичното разнообразие може да се насърчава чрез определени билки, растения или треви, чрез политика на косене или чрез поставяне на хотел за насекоми.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Моля, имайте предвид: консорциумът „</w:t>
      </w:r>
      <w:proofErr w:type="spellStart"/>
      <w:r>
        <w:rPr>
          <w:rFonts w:ascii="Arial" w:hAnsi="Arial"/>
        </w:rPr>
        <w:t>Sun-on-Land</w:t>
      </w:r>
      <w:proofErr w:type="spellEnd"/>
      <w:r>
        <w:rPr>
          <w:rFonts w:ascii="Arial" w:hAnsi="Arial"/>
        </w:rPr>
        <w:t>“ работи върху екомаркировка за паркове за слънчева енергия (</w:t>
      </w:r>
      <w:proofErr w:type="spellStart"/>
      <w:r>
        <w:rPr>
          <w:rFonts w:ascii="Arial" w:hAnsi="Arial"/>
        </w:rPr>
        <w:t>EcoCertifified</w:t>
      </w:r>
      <w:proofErr w:type="spellEnd"/>
      <w:r>
        <w:rPr>
          <w:rFonts w:ascii="Arial" w:hAnsi="Arial"/>
        </w:rPr>
        <w:t xml:space="preserve">); във връзка с това скоро ще бъдат изложени редица насоки.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proofErr w:type="spellStart"/>
      <w:r>
        <w:rPr>
          <w:rFonts w:ascii="Arial" w:hAnsi="Arial"/>
          <w:b/>
          <w:color w:val="3DC3C6"/>
          <w:sz w:val="24"/>
        </w:rPr>
        <w:t>Агроволтаични</w:t>
      </w:r>
      <w:proofErr w:type="spellEnd"/>
      <w:r>
        <w:rPr>
          <w:rFonts w:ascii="Arial" w:hAnsi="Arial"/>
          <w:b/>
          <w:color w:val="3DC3C6"/>
          <w:sz w:val="24"/>
        </w:rPr>
        <w:t xml:space="preserve"> (или агрофотоволтаични) уредби</w:t>
      </w:r>
    </w:p>
    <w:p w14:paraId="2A5586AB" w14:textId="18B85BD4" w:rsidR="00B04952" w:rsidRPr="001F15A3" w:rsidRDefault="00B04952" w:rsidP="00B04952">
      <w:pPr>
        <w:jc w:val="both"/>
        <w:rPr>
          <w:rFonts w:ascii="Arial" w:hAnsi="Arial" w:cs="Arial"/>
        </w:rPr>
      </w:pPr>
      <w:r>
        <w:rPr>
          <w:rFonts w:ascii="Arial" w:hAnsi="Arial"/>
        </w:rPr>
        <w:t>Освен това се натрупва опит в комбинирането на селско стопанство и производството на електроенергия от фотоволтаични системи („</w:t>
      </w:r>
      <w:proofErr w:type="spellStart"/>
      <w:r>
        <w:rPr>
          <w:rFonts w:ascii="Arial" w:hAnsi="Arial"/>
        </w:rPr>
        <w:t>агроволтаична</w:t>
      </w:r>
      <w:proofErr w:type="spellEnd"/>
      <w:r>
        <w:rPr>
          <w:rFonts w:ascii="Arial" w:hAnsi="Arial"/>
        </w:rPr>
        <w:t xml:space="preserve"> уредба“). Използват се различни решения: от редове вертикално ориентирани слънчеви панели до навеси от слънчеви панели над овощни дървета. </w:t>
      </w:r>
      <w:proofErr w:type="spellStart"/>
      <w:r>
        <w:rPr>
          <w:rFonts w:ascii="Arial" w:hAnsi="Arial"/>
        </w:rPr>
        <w:t>Агроволтаичните</w:t>
      </w:r>
      <w:proofErr w:type="spellEnd"/>
      <w:r>
        <w:rPr>
          <w:rFonts w:ascii="Arial" w:hAnsi="Arial"/>
        </w:rPr>
        <w:t xml:space="preserve"> уредби все още са на ранен етап на развитие.</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w:t>
      </w:r>
      <w:proofErr w:type="spellStart"/>
      <w:r>
        <w:rPr>
          <w:rFonts w:ascii="Arial" w:hAnsi="Arial"/>
          <w:b/>
          <w:color w:val="3DC3C6"/>
          <w:sz w:val="24"/>
        </w:rPr>
        <w:t>Sun-on-Water</w:t>
      </w:r>
      <w:proofErr w:type="spellEnd"/>
      <w:r>
        <w:rPr>
          <w:rFonts w:ascii="Arial" w:hAnsi="Arial"/>
          <w:b/>
          <w:color w:val="3DC3C6"/>
          <w:sz w:val="24"/>
        </w:rPr>
        <w:t>“</w:t>
      </w:r>
    </w:p>
    <w:p w14:paraId="5C81225C" w14:textId="6168F99E" w:rsidR="009722F8" w:rsidRPr="001F15A3" w:rsidRDefault="00B04952" w:rsidP="00CD5D92">
      <w:pPr>
        <w:jc w:val="both"/>
        <w:rPr>
          <w:rFonts w:ascii="Arial" w:hAnsi="Arial" w:cs="Arial"/>
        </w:rPr>
      </w:pPr>
      <w:r>
        <w:rPr>
          <w:rFonts w:ascii="Arial" w:hAnsi="Arial"/>
        </w:rPr>
        <w:t>В рамките на консорциума „</w:t>
      </w:r>
      <w:proofErr w:type="spellStart"/>
      <w:r>
        <w:rPr>
          <w:rFonts w:ascii="Arial" w:hAnsi="Arial"/>
        </w:rPr>
        <w:t>Sun-on-Water</w:t>
      </w:r>
      <w:proofErr w:type="spellEnd"/>
      <w:r>
        <w:rPr>
          <w:rFonts w:ascii="Arial" w:hAnsi="Arial"/>
        </w:rPr>
        <w:t xml:space="preserve">“ организации като </w:t>
      </w:r>
      <w:proofErr w:type="spellStart"/>
      <w:r>
        <w:rPr>
          <w:rFonts w:ascii="Arial" w:hAnsi="Arial"/>
        </w:rPr>
        <w:t>Deltares</w:t>
      </w:r>
      <w:proofErr w:type="spellEnd"/>
      <w:r>
        <w:rPr>
          <w:rFonts w:ascii="Arial" w:hAnsi="Arial"/>
        </w:rPr>
        <w:t xml:space="preserve"> и Сдружението на регионалните органи по водите [</w:t>
      </w:r>
      <w:proofErr w:type="spellStart"/>
      <w:r>
        <w:rPr>
          <w:rFonts w:ascii="Arial" w:hAnsi="Arial"/>
          <w:i/>
        </w:rPr>
        <w:t>Unie</w:t>
      </w:r>
      <w:proofErr w:type="spellEnd"/>
      <w:r>
        <w:rPr>
          <w:rFonts w:ascii="Arial" w:hAnsi="Arial"/>
          <w:i/>
        </w:rPr>
        <w:t xml:space="preserve"> </w:t>
      </w:r>
      <w:proofErr w:type="spellStart"/>
      <w:r>
        <w:rPr>
          <w:rFonts w:ascii="Arial" w:hAnsi="Arial"/>
          <w:i/>
        </w:rPr>
        <w:t>van</w:t>
      </w:r>
      <w:proofErr w:type="spellEnd"/>
      <w:r>
        <w:rPr>
          <w:rFonts w:ascii="Arial" w:hAnsi="Arial"/>
          <w:i/>
        </w:rPr>
        <w:t xml:space="preserve"> </w:t>
      </w:r>
      <w:proofErr w:type="spellStart"/>
      <w:r>
        <w:rPr>
          <w:rFonts w:ascii="Arial" w:hAnsi="Arial"/>
          <w:i/>
        </w:rPr>
        <w:t>Waterschappen</w:t>
      </w:r>
      <w:proofErr w:type="spellEnd"/>
      <w:r>
        <w:rPr>
          <w:rFonts w:ascii="Arial" w:hAnsi="Arial"/>
        </w:rPr>
        <w:t xml:space="preserve">] също проучват екологичните аспекти на плаващите фотоволтаични инсталации. Тези проучвания са все още в ранен етап и все още не е ясно дали е нужно да се определят изисквания по отношение на околната среда. За повече информация вж.:  </w:t>
      </w:r>
      <w:hyperlink r:id="rId19" w:history="1">
        <w:r>
          <w:rPr>
            <w:rStyle w:val="Hyperlink"/>
            <w:rFonts w:ascii="Arial" w:hAnsi="Arial"/>
            <w:color w:val="3DC3C6"/>
          </w:rPr>
          <w:t>www.zonopwater.nl</w:t>
        </w:r>
      </w:hyperlink>
    </w:p>
    <w:p w14:paraId="247C88DC" w14:textId="77777777" w:rsidR="00B04952" w:rsidRPr="004C0EBD" w:rsidRDefault="00B04952" w:rsidP="00A3595E"/>
    <w:p w14:paraId="735367AE" w14:textId="027EC848" w:rsidR="00F541A6" w:rsidRPr="004C0EBD" w:rsidRDefault="004D365E" w:rsidP="00AE6706">
      <w:pPr>
        <w:pStyle w:val="MH2"/>
      </w:pPr>
      <w:bookmarkStart w:id="82" w:name="_Toc180504659"/>
      <w:r>
        <w:t>Стъпка 7 Изготвяне и изпълнение</w:t>
      </w:r>
      <w:bookmarkEnd w:id="82"/>
      <w:r>
        <w:t xml:space="preserve"> </w:t>
      </w:r>
    </w:p>
    <w:p w14:paraId="387172F1" w14:textId="77777777" w:rsidR="00F541A6" w:rsidRPr="004C0EBD" w:rsidRDefault="00F541A6" w:rsidP="00A3595E"/>
    <w:p w14:paraId="63EF63FE" w14:textId="5DEB918C" w:rsidR="00F7042B" w:rsidRPr="004C0EBD" w:rsidRDefault="00F7042B" w:rsidP="00AE6706">
      <w:pPr>
        <w:pStyle w:val="MH3"/>
        <w:rPr>
          <w:rFonts w:asciiTheme="minorHAnsi" w:hAnsiTheme="minorHAnsi"/>
        </w:rPr>
      </w:pPr>
      <w:bookmarkStart w:id="83" w:name="_Toc180504660"/>
      <w:r>
        <w:t>7.1 Срокове</w:t>
      </w:r>
      <w:bookmarkEnd w:id="83"/>
      <w:r>
        <w:t xml:space="preserve"> </w:t>
      </w:r>
    </w:p>
    <w:p w14:paraId="0FEAFB5E" w14:textId="0E30AF90" w:rsidR="00E63743" w:rsidRPr="001F15A3" w:rsidRDefault="002C7DD6" w:rsidP="00B7557D">
      <w:pPr>
        <w:jc w:val="both"/>
        <w:rPr>
          <w:rFonts w:ascii="Arial" w:hAnsi="Arial" w:cs="Arial"/>
        </w:rPr>
      </w:pPr>
      <w:r>
        <w:rPr>
          <w:rFonts w:ascii="Arial" w:hAnsi="Arial"/>
        </w:rPr>
        <w:t xml:space="preserve">Вие и Вашата организация решавате кога може да започне работата по проекта за фотоволтаична система; има ли други строителни работи, които трябва да се вземат предвид?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Освен това обсъдете с консултант каква би била реалистичната дата за изпълнение. В нея трябва да се вземат предвид времето, необходимо за поканата за участие в търг, и възлагането на договора, както и изграждането на инсталацията.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AE6706">
      <w:pPr>
        <w:pStyle w:val="MH3"/>
      </w:pPr>
      <w:bookmarkStart w:id="84" w:name="_Toc180504661"/>
      <w:r>
        <w:t>7.2 Проверки и окончателна проверка</w:t>
      </w:r>
      <w:bookmarkEnd w:id="84"/>
      <w:r>
        <w:t xml:space="preserve"> </w:t>
      </w:r>
    </w:p>
    <w:p w14:paraId="19C5700F" w14:textId="77777777" w:rsidR="00260AB9" w:rsidRPr="001F15A3" w:rsidRDefault="00260AB9" w:rsidP="00AE6706">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Проверка по „Обхват 12“</w:t>
      </w:r>
    </w:p>
    <w:p w14:paraId="4B361ACB" w14:textId="470085FD" w:rsidR="007518EB" w:rsidRPr="001F15A3" w:rsidRDefault="007518EB" w:rsidP="00C42EE6">
      <w:pPr>
        <w:jc w:val="both"/>
        <w:rPr>
          <w:rFonts w:ascii="Arial" w:hAnsi="Arial" w:cs="Arial"/>
        </w:rPr>
      </w:pPr>
      <w:r>
        <w:rPr>
          <w:rFonts w:ascii="Arial" w:hAnsi="Arial"/>
        </w:rPr>
        <w:t>При изпълнението на всички проекти, независимо дали са големи или малки, на покриви, на земя или във водата, е важно независима страна да извърши проверка на безопасността в съответствие с протокола SCIOS от Обхват 12 (стандарт IEC62446).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 xml:space="preserve">При тази проверка по „Обхват 12“ се проверява безопасността на инсталацията и се докладват всички недостатъци, свързани, наред с другото, с електрическа безопасност, механичната устойчивост на вятър и сняг и защитата от мълнии. В Образеца е посочено като изискване, че договарящата се страна впоследствие ще коригира всички установени недостатъци („несъответствия“).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 xml:space="preserve">Бихме ви препоръчали своевременно да поискате оферти за проверка по Обхват 12. Може да е трудно да се намери инспектор точно преди изпълнението и тарифите може да са по-високи.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Съвет</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В качеството си на клиент Вие винаги следва сами да организирате проверката по Обхват 12. В </w:t>
      </w:r>
      <w:r>
        <w:rPr>
          <w:rFonts w:ascii="Arial" w:hAnsi="Arial"/>
          <w:b/>
          <w:color w:val="104D54"/>
          <w:u w:val="single"/>
        </w:rPr>
        <w:t>приложение 6</w:t>
      </w:r>
      <w:r>
        <w:rPr>
          <w:rFonts w:ascii="Arial" w:hAnsi="Arial"/>
          <w:color w:val="104D54"/>
        </w:rPr>
        <w:t xml:space="preserve"> се съдържа списък с организации, които могат да извършват проверка по Обхват 12. </w:t>
      </w:r>
      <w:r>
        <w:rPr>
          <w:rFonts w:ascii="Arial" w:hAnsi="Arial"/>
        </w:rPr>
        <w:cr/>
      </w:r>
      <w:r>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Широкомащабни проекти:</w:t>
      </w:r>
      <w:r>
        <w:rPr>
          <w:rStyle w:val="SubtleEmphasis"/>
          <w:rFonts w:ascii="Arial" w:hAnsi="Arial"/>
          <w:i/>
          <w:color w:val="3DC3C6"/>
          <w:sz w:val="24"/>
        </w:rPr>
        <w:t xml:space="preserve"> </w:t>
      </w:r>
      <w:r>
        <w:rPr>
          <w:rStyle w:val="SubtleEmphasis"/>
          <w:rFonts w:ascii="Arial" w:hAnsi="Arial"/>
          <w:color w:val="3DC3C6"/>
          <w:sz w:val="24"/>
        </w:rPr>
        <w:t>Изпитвания на произволни слънчеви панели и одити на предприятието</w:t>
      </w:r>
    </w:p>
    <w:p w14:paraId="7F0CC378" w14:textId="2F41FA56" w:rsidR="00E63743" w:rsidRPr="001F15A3" w:rsidRDefault="00E63743" w:rsidP="00C42EE6">
      <w:pPr>
        <w:jc w:val="both"/>
        <w:rPr>
          <w:rFonts w:ascii="Arial" w:hAnsi="Arial" w:cs="Arial"/>
        </w:rPr>
      </w:pPr>
      <w:r>
        <w:rPr>
          <w:rFonts w:ascii="Arial" w:hAnsi="Arial"/>
        </w:rPr>
        <w:t xml:space="preserve">Широкомащабните проекти (по-големи от 1 MW) понякога също са обект на изпитвания на произволни слънчеви панели и </w:t>
      </w:r>
      <w:r>
        <w:rPr>
          <w:rFonts w:ascii="Arial" w:hAnsi="Arial"/>
        </w:rPr>
        <w:cr/>
      </w:r>
      <w:r>
        <w:rPr>
          <w:rFonts w:ascii="Arial" w:hAnsi="Arial"/>
        </w:rPr>
        <w:br/>
        <w:t xml:space="preserve">одити на предприятието. </w:t>
      </w:r>
    </w:p>
    <w:p w14:paraId="718FF494" w14:textId="4F812901" w:rsidR="00CD76B5" w:rsidRPr="001F15A3" w:rsidRDefault="00CD76B5" w:rsidP="00C42EE6">
      <w:pPr>
        <w:jc w:val="both"/>
        <w:rPr>
          <w:rFonts w:ascii="Arial" w:hAnsi="Arial" w:cs="Arial"/>
        </w:rPr>
      </w:pPr>
      <w:r>
        <w:rPr>
          <w:rFonts w:ascii="Arial" w:hAnsi="Arial"/>
        </w:rPr>
        <w:t xml:space="preserve">Следва да прецените дали да включите това в поканата за участие в търг, като по този начин договарящата се страна ще носи отговорност за организирането на изпитванията, или да не го включвате в поканата, а да го организирате сами.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Pr>
          <w:rFonts w:ascii="Arial" w:hAnsi="Arial"/>
          <w:i/>
        </w:rPr>
        <w:t xml:space="preserve">Изпитвания на произволни слънчеви панели </w:t>
      </w:r>
      <w:r>
        <w:rPr>
          <w:rFonts w:ascii="Arial" w:hAnsi="Arial"/>
        </w:rPr>
        <w:t xml:space="preserve">Слънчевите панели понякога се доставят с по-ниска мощност от посочената в придружаващата документация. Понякога са възникнали видими или невидими повреди във фабриката или по време на превоза. Може да стане така, че това да струва скъпо за големите проекти.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При големи проекти се подлагат на изпитване известен (много малък) набор от слънчеви панели след пристигането им в Нидерландия и преди одобряването им за монтаж. При тези изпитвания се проверява качеството на доставените слънчеви панели.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Изследват се неща като:</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съвпада ли посочената пикова мощност във ватове — посредством „флаш тест“</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има ли твърде много микропукнатини, които увеличават вероятността от бързо понижаване на качеството — посредством тест за електролуминесценция</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извършване на визуален оглед на модула — чрез проверка на сглобката и довършителните работи</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извършване на проверка на използваните модулни материали — чрез проверка на спецификацията. </w:t>
      </w:r>
    </w:p>
    <w:p w14:paraId="2886CBF0" w14:textId="328B15DC" w:rsidR="007518EB" w:rsidRPr="001F15A3" w:rsidRDefault="007518EB" w:rsidP="00B7557D">
      <w:pPr>
        <w:jc w:val="both"/>
        <w:rPr>
          <w:rFonts w:ascii="Arial" w:hAnsi="Arial" w:cs="Arial"/>
        </w:rPr>
      </w:pPr>
      <w:r>
        <w:rPr>
          <w:rFonts w:ascii="Arial" w:hAnsi="Arial"/>
        </w:rPr>
        <w:t>Одит на предприятието често се извършва и за много големи проекти (по-големи от 20 </w:t>
      </w:r>
      <w:proofErr w:type="spellStart"/>
      <w:r>
        <w:rPr>
          <w:rFonts w:ascii="Arial" w:hAnsi="Arial"/>
        </w:rPr>
        <w:t>MWp</w:t>
      </w:r>
      <w:proofErr w:type="spellEnd"/>
      <w:r>
        <w:rPr>
          <w:rFonts w:ascii="Arial" w:hAnsi="Arial"/>
        </w:rPr>
        <w:t xml:space="preserve">). Това включва независима проверка на качеството на поръчаната партида слънчеви панели </w:t>
      </w:r>
      <w:r>
        <w:rPr>
          <w:rFonts w:ascii="Arial" w:hAnsi="Arial"/>
          <w:i/>
        </w:rPr>
        <w:t>по време на производствения процес във фабриката</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Изпитванията на произволни слънчеви панели и одитите на предприятието (често в Китай) са скъпи. За проект с мощност от 10 MW това може да означава от 4 000 до 6 000 EUR за изпитванията на произволни слънчеви панели и от 5 000 до 8 000 EUR за одита на предприятието. </w:t>
      </w:r>
    </w:p>
    <w:p w14:paraId="3B64231D" w14:textId="77777777" w:rsidR="00CD76B5" w:rsidRPr="001F15A3" w:rsidRDefault="00CD76B5" w:rsidP="00A3595E">
      <w:pPr>
        <w:rPr>
          <w:rFonts w:ascii="Arial" w:hAnsi="Arial" w:cs="Arial"/>
        </w:rPr>
      </w:pPr>
    </w:p>
    <w:p w14:paraId="52F7A134" w14:textId="3E5FD0B6" w:rsidR="007518EB" w:rsidRPr="001F15A3" w:rsidRDefault="006F2353" w:rsidP="00B7557D">
      <w:pPr>
        <w:jc w:val="both"/>
        <w:rPr>
          <w:rFonts w:ascii="Arial" w:hAnsi="Arial" w:cs="Arial"/>
        </w:rPr>
      </w:pPr>
      <w:r>
        <w:rPr>
          <w:rFonts w:ascii="Arial" w:hAnsi="Arial"/>
          <w:b/>
          <w:color w:val="3DC3C6"/>
          <w:u w:val="single"/>
        </w:rPr>
        <w:t>Приложение 7</w:t>
      </w:r>
      <w:r>
        <w:rPr>
          <w:rFonts w:ascii="Arial" w:hAnsi="Arial"/>
          <w:b/>
          <w:color w:val="92D050"/>
        </w:rPr>
        <w:t xml:space="preserve"> </w:t>
      </w:r>
      <w:r>
        <w:rPr>
          <w:rFonts w:ascii="Arial" w:hAnsi="Arial"/>
        </w:rPr>
        <w:t>съдържа списък с организации, които могат да извършват произволни изпитвания или одити на предприятия</w:t>
      </w:r>
      <w:r>
        <w:rPr>
          <w:rStyle w:val="FootnoteReference"/>
          <w:rFonts w:ascii="Arial" w:hAnsi="Arial"/>
        </w:rPr>
        <w:t>2</w:t>
      </w:r>
      <w:r>
        <w:rPr>
          <w:rFonts w:ascii="Arial" w:hAnsi="Arial"/>
        </w:rPr>
        <w:t xml:space="preserve">.  </w:t>
      </w:r>
      <w:r>
        <w:rPr>
          <w:rFonts w:ascii="Arial" w:hAnsi="Arial"/>
        </w:rPr>
        <w:cr/>
      </w:r>
      <w:r>
        <w:rPr>
          <w:rFonts w:ascii="Arial" w:hAnsi="Arial"/>
        </w:rPr>
        <w:br/>
      </w:r>
    </w:p>
    <w:p w14:paraId="00F0378A" w14:textId="77777777" w:rsidR="007518EB" w:rsidRPr="001F15A3" w:rsidRDefault="007518EB" w:rsidP="00C42EE6">
      <w:pPr>
        <w:jc w:val="both"/>
        <w:rPr>
          <w:rFonts w:ascii="Arial" w:hAnsi="Arial" w:cs="Arial"/>
        </w:rPr>
      </w:pPr>
      <w:r>
        <w:rPr>
          <w:rFonts w:ascii="Arial" w:hAnsi="Arial"/>
        </w:rPr>
        <w:t xml:space="preserve">За по-малки проекти допълнителните разходи обикновено не си струват предвид риска.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Освен това е възможно и стандартно в договора или поканата за участие в търг да бъде включена фиксирана гаранция за доходност за първите 2 до 4 години. </w:t>
      </w:r>
    </w:p>
    <w:p w14:paraId="570FEB61" w14:textId="77777777" w:rsidR="007518EB" w:rsidRDefault="007518EB" w:rsidP="00A3595E"/>
    <w:p w14:paraId="02652E9B" w14:textId="77777777" w:rsidR="001F15A3" w:rsidRDefault="001F15A3" w:rsidP="00A3595E"/>
    <w:p w14:paraId="63D58188" w14:textId="77777777" w:rsidR="00260AB9" w:rsidRDefault="00260AB9" w:rsidP="00A3595E"/>
    <w:p w14:paraId="2B7E645F" w14:textId="77777777" w:rsidR="00260AB9" w:rsidRDefault="00260AB9" w:rsidP="00A3595E"/>
    <w:p w14:paraId="5439171D" w14:textId="77777777" w:rsidR="00260AB9" w:rsidRDefault="00260AB9" w:rsidP="00A3595E"/>
    <w:p w14:paraId="684FC943" w14:textId="77777777" w:rsidR="00260AB9" w:rsidRDefault="00260AB9" w:rsidP="00A3595E"/>
    <w:p w14:paraId="0548C1D3" w14:textId="77777777" w:rsidR="00260AB9" w:rsidRPr="004C0EBD" w:rsidRDefault="00260AB9" w:rsidP="00A3595E"/>
    <w:p w14:paraId="256680EF" w14:textId="6B2ADF80" w:rsidR="00F541A6" w:rsidRPr="001F15A3" w:rsidRDefault="004D365E" w:rsidP="00AE6706">
      <w:pPr>
        <w:pStyle w:val="MH2"/>
        <w:rPr>
          <w:rFonts w:eastAsiaTheme="majorEastAsia"/>
          <w:color w:val="92D050"/>
        </w:rPr>
      </w:pPr>
      <w:bookmarkStart w:id="85" w:name="_Toc180504662"/>
      <w:r>
        <w:t>Стъпка 8 Поддръжка, наблюдение и излизане от употреба</w:t>
      </w:r>
      <w:bookmarkEnd w:id="85"/>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Експлоатационният етап започва, когато проектът за фотоволтаични системи се изпълнява и произвежда електричество. Решенията във връзка с тази фаза се вземат на предварителния етап, така че съответните изисквания се включват или не в списъка с изисквания.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Често се става така, че от монтажникът/EPC, който е извършил монтажът на фотоволтаичната система, се изисква да осигури 2 до 4 години поддръжка и наблюдение. Това дава стимул за изпълнителя да предостави висококачествен монтаж с висок коефициент на производителност. </w:t>
      </w:r>
    </w:p>
    <w:p w14:paraId="7D3418EB" w14:textId="77777777" w:rsidR="00961DD0" w:rsidRPr="001F15A3" w:rsidRDefault="00961DD0" w:rsidP="00C42EE6">
      <w:pPr>
        <w:jc w:val="both"/>
        <w:rPr>
          <w:rFonts w:ascii="Arial" w:hAnsi="Arial" w:cs="Arial"/>
        </w:rPr>
      </w:pPr>
      <w:r>
        <w:rPr>
          <w:rFonts w:ascii="Arial" w:hAnsi="Arial"/>
        </w:rPr>
        <w:t xml:space="preserve">Поддръжката и наблюдението също могат да се възложат отделно. Понякога те се извършват и от вътрешния технически отдел. </w:t>
      </w:r>
    </w:p>
    <w:p w14:paraId="2C9CF9CA" w14:textId="6FEE291B" w:rsidR="00961DD0" w:rsidRPr="001F15A3" w:rsidRDefault="001E4615" w:rsidP="00C42EE6">
      <w:pPr>
        <w:jc w:val="both"/>
        <w:rPr>
          <w:rFonts w:ascii="Arial" w:hAnsi="Arial" w:cs="Arial"/>
        </w:rPr>
      </w:pPr>
      <w:r>
        <w:rPr>
          <w:rFonts w:ascii="Arial" w:hAnsi="Arial"/>
          <w:b/>
          <w:color w:val="3DC3C6"/>
          <w:u w:val="single"/>
        </w:rPr>
        <w:t>Приложение 8</w:t>
      </w:r>
      <w:r>
        <w:rPr>
          <w:rFonts w:ascii="Arial" w:hAnsi="Arial"/>
          <w:b/>
          <w:color w:val="92D050"/>
        </w:rPr>
        <w:t xml:space="preserve"> </w:t>
      </w:r>
      <w:r>
        <w:rPr>
          <w:rFonts w:ascii="Arial" w:hAnsi="Arial"/>
        </w:rPr>
        <w:t>съдържа списък</w:t>
      </w:r>
      <w:r>
        <w:rPr>
          <w:rFonts w:ascii="Arial" w:hAnsi="Arial"/>
          <w:vertAlign w:val="superscript"/>
        </w:rPr>
        <w:t>2</w:t>
      </w:r>
      <w:r>
        <w:rPr>
          <w:rFonts w:ascii="Arial" w:hAnsi="Arial"/>
        </w:rPr>
        <w:t xml:space="preserve"> с организации, които извършват поддръжка и наблюдение.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Поддръжка и ремонт</w:t>
      </w:r>
    </w:p>
    <w:p w14:paraId="7DFCBCD1" w14:textId="77777777" w:rsidR="00C4096C" w:rsidRPr="001F15A3" w:rsidRDefault="00C4096C" w:rsidP="00C4096C">
      <w:pPr>
        <w:rPr>
          <w:rFonts w:ascii="Arial" w:hAnsi="Arial" w:cs="Arial"/>
        </w:rPr>
      </w:pPr>
      <w:r>
        <w:rPr>
          <w:rFonts w:ascii="Arial" w:hAnsi="Arial"/>
        </w:rPr>
        <w:t xml:space="preserve">Тази информация включва, наред с друго: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Проверка и почистване на инвертора, ако е необходимо</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Проверка на кабелите и кабелните канали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Проверка на конструкцията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Подмяна на всички дефектни слънчеви панели, ако е необходимо</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Почистване</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В Нидерландия слънчевите панели рядко се почистват — дъждът ги измива. Освен в изключителни случаи (напр. множество птици наоколо), разходите за почистване не се оправдават от допълнителния добив.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Наблюдение</w:t>
      </w:r>
    </w:p>
    <w:p w14:paraId="2BCA5E34" w14:textId="4B4CC2C5" w:rsidR="00972B11" w:rsidRPr="001F15A3" w:rsidRDefault="00B160CC" w:rsidP="00C42EE6">
      <w:pPr>
        <w:jc w:val="both"/>
        <w:rPr>
          <w:rFonts w:ascii="Arial" w:hAnsi="Arial" w:cs="Arial"/>
        </w:rPr>
      </w:pPr>
      <w:r>
        <w:rPr>
          <w:rFonts w:ascii="Arial" w:hAnsi="Arial"/>
        </w:rPr>
        <w:t xml:space="preserve">Оперативната фаза включва бързо откриване и разрешаване на всички проблеми. Собствениците на жилища често използват своето приложение за смартфон, за да проверят дали инверторът или фотоволтаичната инсталация работят правилно. За по-малки проекти това прави техническият отдел или обикновеното дружество, което извършва монтаж. За големи проекти може да се окаже </w:t>
      </w:r>
      <w:proofErr w:type="spellStart"/>
      <w:r>
        <w:rPr>
          <w:rFonts w:ascii="Arial" w:hAnsi="Arial"/>
        </w:rPr>
        <w:t>разходоефективно</w:t>
      </w:r>
      <w:proofErr w:type="spellEnd"/>
      <w:r>
        <w:rPr>
          <w:rFonts w:ascii="Arial" w:hAnsi="Arial"/>
        </w:rPr>
        <w:t xml:space="preserve"> да наемете специализирана компания, която да извършва това.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Наблюдението включва дистанционно отчитане, наред с другото,</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на инвертора и електромерите,</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и сравняване с добива от съседните системи няколко пъти в годината,</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за по-големи проекти за проверка на слънчевите панели се използва </w:t>
      </w:r>
      <w:proofErr w:type="spellStart"/>
      <w:r>
        <w:rPr>
          <w:rFonts w:ascii="Arial" w:hAnsi="Arial"/>
        </w:rPr>
        <w:t>дрон</w:t>
      </w:r>
      <w:proofErr w:type="spellEnd"/>
      <w:r>
        <w:rPr>
          <w:rFonts w:ascii="Arial" w:hAnsi="Arial"/>
        </w:rPr>
        <w:t xml:space="preserve"> с инфрачервена камера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Вноска за обезвреждане и подмяна на слънчевите панели</w:t>
      </w:r>
    </w:p>
    <w:p w14:paraId="1649F90E" w14:textId="2343532A" w:rsidR="00961DD0" w:rsidRPr="001F15A3" w:rsidRDefault="0007474D" w:rsidP="00961DD0">
      <w:pPr>
        <w:jc w:val="both"/>
        <w:rPr>
          <w:rFonts w:ascii="Arial" w:hAnsi="Arial" w:cs="Arial"/>
        </w:rPr>
      </w:pPr>
      <w:r>
        <w:rPr>
          <w:rFonts w:ascii="Arial" w:hAnsi="Arial"/>
        </w:rPr>
        <w:t>Образецът с изисквания гласи, че клиентът плаща задължителната вноска за обезвреждане на слънчевите панели на фондация OPEN. Освен това слънчевите панели трябва да останат монтирани възможно най-дълго, за да бъде забавено изменението на климата. В крайна сметка при производството на панели се отделя много CO</w:t>
      </w:r>
      <w:r>
        <w:rPr>
          <w:rFonts w:ascii="Arial" w:hAnsi="Arial"/>
          <w:vertAlign w:val="subscript"/>
        </w:rPr>
        <w:t>2</w:t>
      </w:r>
      <w:r>
        <w:rPr>
          <w:rFonts w:ascii="Arial" w:hAnsi="Arial"/>
        </w:rPr>
        <w:t xml:space="preserve"> и поради това постигането на възвръщаемост по отношение на CO</w:t>
      </w:r>
      <w:r>
        <w:rPr>
          <w:rFonts w:ascii="Arial" w:hAnsi="Arial"/>
          <w:vertAlign w:val="subscript"/>
        </w:rPr>
        <w:t>2</w:t>
      </w:r>
      <w:r>
        <w:rPr>
          <w:rFonts w:ascii="Arial" w:hAnsi="Arial"/>
        </w:rPr>
        <w:t xml:space="preserve"> при слънчевите панели </w:t>
      </w:r>
      <w:r>
        <w:rPr>
          <w:rFonts w:ascii="Arial" w:hAnsi="Arial"/>
        </w:rPr>
        <w:cr/>
      </w:r>
      <w:r>
        <w:rPr>
          <w:rFonts w:ascii="Arial" w:hAnsi="Arial"/>
        </w:rPr>
        <w:br/>
        <w:t>може да отнеме години.</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Ето защо се препоръчва слънчевите панели да се отстраняват, едва след като започнат да дават по-малко от около 80 % от първоначалния си добив. Висококачествените слънчеви панели ще генерират повече от 80 % от първоначалния си добив за най-малко 25 до 30 години. </w:t>
      </w:r>
    </w:p>
    <w:p w14:paraId="0AD18F62" w14:textId="77777777" w:rsidR="008A2C89" w:rsidRPr="004C0EBD" w:rsidRDefault="003509F6" w:rsidP="00AE6706">
      <w:pPr>
        <w:pStyle w:val="MH1"/>
      </w:pPr>
      <w:r>
        <w:br w:type="page"/>
      </w:r>
      <w:bookmarkStart w:id="86" w:name="_Toc180504663"/>
      <w:r>
        <w:t>Съкращения и акроними</w:t>
      </w:r>
      <w:bookmarkEnd w:id="86"/>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ИВС</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Инженеринг, възлагане и строителство</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ТММ</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Точка на максималната мощност</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Е&amp;П</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Експлоатация и поддръжка</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ССТММ</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Следяща система за точката на максималната мощност</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r>
              <w:rPr>
                <w:rFonts w:ascii="Arial" w:hAnsi="Arial"/>
              </w:rPr>
              <w:t>Н</w:t>
            </w:r>
            <w:r>
              <w:rPr>
                <w:rFonts w:ascii="Arial" w:hAnsi="Arial"/>
                <w:vertAlign w:val="subscript"/>
              </w:rPr>
              <w:t>ов</w:t>
            </w:r>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Напрежение на празен ход</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Споразумение за закупуване на електроенергия</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Общи усреднени разходи за производство на енергия</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proofErr w:type="spellStart"/>
            <w:r>
              <w:rPr>
                <w:rFonts w:ascii="Arial" w:hAnsi="Arial"/>
              </w:rPr>
              <w:t>kW</w:t>
            </w:r>
            <w:proofErr w:type="spellEnd"/>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киловат</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ВН</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Високо напрежение</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proofErr w:type="spellStart"/>
            <w:r>
              <w:rPr>
                <w:rFonts w:ascii="Arial" w:hAnsi="Arial"/>
              </w:rPr>
              <w:t>kWh</w:t>
            </w:r>
            <w:proofErr w:type="spellEnd"/>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киловат час</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НН</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Ниско напрежение</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r>
              <w:rPr>
                <w:rFonts w:ascii="Arial" w:hAnsi="Arial"/>
              </w:rPr>
              <w:t>Фотоволтаичен</w:t>
            </w:r>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Променлив ток</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Коефициент на производителност</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Постоянен ток</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Европейски стандарт</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Ток на късо съединение</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w:t>
            </w:r>
            <w:proofErr w:type="spellStart"/>
            <w:r>
              <w:rPr>
                <w:rFonts w:ascii="Arial" w:hAnsi="Arial"/>
              </w:rPr>
              <w:t>Si</w:t>
            </w:r>
            <w:proofErr w:type="spellEnd"/>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Кристален силиций</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Градуси Целзий</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Плоска решетка</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Съответствие с европейските стандарти</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Готов за изграждане</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Общо хоризонтално излъчване</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Схема със специална цел за алтернативно прехвърляне на застрахователен риск</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Всички застрахователни рискове за строителен обект</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Тест за електролуминесценция — Разкрива микропукнатини и счупени клетки</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Временни критерии за приемливост</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Окончателни критерии за приемливост</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proofErr w:type="spellStart"/>
            <w:r>
              <w:rPr>
                <w:rFonts w:ascii="Arial" w:hAnsi="Arial"/>
              </w:rPr>
              <w:t>kVA</w:t>
            </w:r>
            <w:proofErr w:type="spellEnd"/>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r>
              <w:rPr>
                <w:rFonts w:ascii="Arial" w:hAnsi="Arial"/>
              </w:rPr>
              <w:t>киловолт ампер; електроенергия; подобно на киловат</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Мегават</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Потенциална предизвикана деградация</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Мениджър на проект</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Pr>
                <w:rFonts w:ascii="Arial" w:hAnsi="Arial"/>
              </w:rPr>
              <w:t>Фотоволтаична географска информационна система</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В&amp;O</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Въпроси и отговори</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r>
              <w:rPr>
                <w:rFonts w:ascii="Arial" w:hAnsi="Arial"/>
              </w:rPr>
              <w:t>ИП</w:t>
            </w:r>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Искане за представяне на предложение</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Стандартни условия на изпитване </w:t>
            </w:r>
            <w:r>
              <w:rPr>
                <w:rFonts w:ascii="Arial" w:hAnsi="Arial"/>
              </w:rPr>
              <w:cr/>
            </w:r>
            <w:r>
              <w:rPr>
                <w:rFonts w:ascii="Arial" w:hAnsi="Arial"/>
              </w:rPr>
              <w:br/>
              <w:t>(25 C, 1 000 W/m</w:t>
            </w:r>
            <w:r>
              <w:rPr>
                <w:rFonts w:ascii="Arial" w:hAnsi="Arial"/>
                <w:vertAlign w:val="superscript"/>
              </w:rPr>
              <w:t>2</w:t>
            </w:r>
            <w:r>
              <w:rPr>
                <w:rFonts w:ascii="Arial" w:hAnsi="Arial"/>
              </w:rPr>
              <w:t xml:space="preserve"> излъчване)</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Ултравиолетов</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Типична метеорологична година</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Ток в точката на максималната мощност</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Напрежение в точката на максималната мощност</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 xml:space="preserve">Инфрачервен — напр. в </w:t>
            </w:r>
            <w:proofErr w:type="spellStart"/>
            <w:r>
              <w:rPr>
                <w:rFonts w:ascii="Arial" w:hAnsi="Arial"/>
              </w:rPr>
              <w:t>дроновете</w:t>
            </w:r>
            <w:proofErr w:type="spellEnd"/>
            <w:r>
              <w:rPr>
                <w:rFonts w:ascii="Arial" w:hAnsi="Arial"/>
              </w:rPr>
              <w:t xml:space="preserve"> се използват IR камери за качествени проверки</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proofErr w:type="spellStart"/>
            <w:r>
              <w:rPr>
                <w:rFonts w:ascii="Arial" w:hAnsi="Arial"/>
              </w:rPr>
              <w:t>Фотолуминесценция</w:t>
            </w:r>
            <w:proofErr w:type="spellEnd"/>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r>
              <w:rPr>
                <w:rFonts w:ascii="Arial" w:hAnsi="Arial"/>
              </w:rPr>
              <w:t>Екологичен, социален, управленски</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Допустима пределна точка за качество</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t>ИзП</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Изисквания за производство</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Готов за изграждане</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rPr>
              <w:t>Най-добра окончателна оферта</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AE6706">
      <w:pPr>
        <w:pStyle w:val="MH1"/>
        <w:rPr>
          <w:rFonts w:eastAsiaTheme="majorEastAsia"/>
          <w:color w:val="92D050"/>
          <w:sz w:val="40"/>
          <w:szCs w:val="40"/>
        </w:rPr>
      </w:pPr>
      <w:r>
        <w:br w:type="page"/>
      </w:r>
      <w:bookmarkStart w:id="87" w:name="_Toc180504664"/>
      <w:r>
        <w:t>Приложение 1 — Технически консултанти</w:t>
      </w:r>
      <w:r>
        <w:rPr>
          <w:rStyle w:val="FootnoteReference"/>
        </w:rPr>
        <w:t>2</w:t>
      </w:r>
      <w:bookmarkEnd w:id="87"/>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Моля, имайте предвид: </w:t>
      </w:r>
      <w:r>
        <w:t xml:space="preserve">Списъкът по-долу не е изчерпателен. Не сме проучили опита, качеството или тарифите на изброените по-долу консултанти.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Дружество</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Място на установяване</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За контакти</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Електронна поща</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proofErr w:type="spellStart"/>
            <w:r>
              <w:rPr>
                <w:rFonts w:ascii="Arial" w:hAnsi="Arial"/>
                <w:sz w:val="20"/>
              </w:rPr>
              <w:t>Nijmegen</w:t>
            </w:r>
            <w:proofErr w:type="spellEnd"/>
            <w:r>
              <w:rPr>
                <w:rFonts w:ascii="Arial" w:hAnsi="Arial"/>
                <w:sz w:val="20"/>
              </w:rPr>
              <w:t>, NL</w:t>
            </w:r>
          </w:p>
        </w:tc>
        <w:tc>
          <w:tcPr>
            <w:tcW w:w="2268" w:type="dxa"/>
            <w:tcMar>
              <w:top w:w="28" w:type="dxa"/>
              <w:bottom w:w="28" w:type="dxa"/>
            </w:tcMar>
          </w:tcPr>
          <w:p w14:paraId="1FA2EDB0" w14:textId="3CEB30E0"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25BEC364"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proofErr w:type="spellStart"/>
            <w:r>
              <w:rPr>
                <w:rFonts w:ascii="Arial" w:hAnsi="Arial"/>
                <w:sz w:val="20"/>
              </w:rPr>
              <w:t>Straight</w:t>
            </w:r>
            <w:proofErr w:type="spellEnd"/>
            <w:r>
              <w:rPr>
                <w:rFonts w:ascii="Arial" w:hAnsi="Arial"/>
                <w:sz w:val="20"/>
              </w:rPr>
              <w:t xml:space="preserve"> </w:t>
            </w:r>
            <w:proofErr w:type="spellStart"/>
            <w:r>
              <w:rPr>
                <w:rFonts w:ascii="Arial" w:hAnsi="Arial"/>
                <w:sz w:val="20"/>
              </w:rPr>
              <w:t>Forward</w:t>
            </w:r>
            <w:proofErr w:type="spellEnd"/>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Pr>
                <w:rFonts w:ascii="Arial" w:hAnsi="Arial"/>
                <w:sz w:val="20"/>
              </w:rPr>
              <w:t>Urmond</w:t>
            </w:r>
            <w:proofErr w:type="spellEnd"/>
            <w:r>
              <w:rPr>
                <w:rFonts w:ascii="Arial" w:hAnsi="Arial"/>
                <w:sz w:val="20"/>
              </w:rPr>
              <w:t>, NL</w:t>
            </w:r>
          </w:p>
        </w:tc>
        <w:tc>
          <w:tcPr>
            <w:tcW w:w="2268" w:type="dxa"/>
            <w:tcMar>
              <w:top w:w="28" w:type="dxa"/>
              <w:bottom w:w="28" w:type="dxa"/>
            </w:tcMar>
          </w:tcPr>
          <w:p w14:paraId="658643B2" w14:textId="0F975D83"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225A87C8"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proofErr w:type="spellStart"/>
            <w:r>
              <w:rPr>
                <w:rFonts w:ascii="Arial" w:hAnsi="Arial"/>
                <w:sz w:val="20"/>
              </w:rPr>
              <w:t>Pulsar</w:t>
            </w:r>
            <w:proofErr w:type="spellEnd"/>
            <w:r>
              <w:rPr>
                <w:rFonts w:ascii="Arial" w:hAnsi="Arial"/>
                <w:sz w:val="20"/>
              </w:rPr>
              <w:t xml:space="preserve"> </w:t>
            </w:r>
            <w:proofErr w:type="spellStart"/>
            <w:r>
              <w:rPr>
                <w:rFonts w:ascii="Arial" w:hAnsi="Arial"/>
                <w:sz w:val="20"/>
              </w:rPr>
              <w:t>Power</w:t>
            </w:r>
            <w:proofErr w:type="spellEnd"/>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proofErr w:type="spellStart"/>
            <w:r>
              <w:rPr>
                <w:rFonts w:ascii="Arial" w:hAnsi="Arial"/>
                <w:sz w:val="20"/>
              </w:rPr>
              <w:t>Herentals</w:t>
            </w:r>
            <w:proofErr w:type="spellEnd"/>
            <w:r>
              <w:rPr>
                <w:rFonts w:ascii="Arial" w:hAnsi="Arial"/>
                <w:sz w:val="20"/>
              </w:rPr>
              <w:t>, BE</w:t>
            </w:r>
          </w:p>
        </w:tc>
        <w:tc>
          <w:tcPr>
            <w:tcW w:w="2268" w:type="dxa"/>
            <w:tcMar>
              <w:top w:w="28" w:type="dxa"/>
              <w:bottom w:w="28" w:type="dxa"/>
            </w:tcMar>
          </w:tcPr>
          <w:p w14:paraId="025CE506" w14:textId="02C20619"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415F6F80" w:rsidR="00CA7080" w:rsidRPr="008156C8" w:rsidRDefault="00CA7080" w:rsidP="00CB76C0">
            <w:pPr>
              <w:rPr>
                <w:rFonts w:ascii="Arial" w:eastAsiaTheme="minorEastAsia" w:hAnsi="Arial" w:cs="Arial"/>
                <w:sz w:val="20"/>
                <w:szCs w:val="20"/>
                <w:lang w:val="en-IE"/>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proofErr w:type="spellStart"/>
            <w:r>
              <w:rPr>
                <w:rFonts w:ascii="Arial" w:hAnsi="Arial"/>
                <w:sz w:val="20"/>
              </w:rPr>
              <w:t>Brussels</w:t>
            </w:r>
            <w:proofErr w:type="spellEnd"/>
            <w:r>
              <w:rPr>
                <w:rFonts w:ascii="Arial" w:hAnsi="Arial"/>
                <w:sz w:val="20"/>
              </w:rPr>
              <w:t>, BE</w:t>
            </w:r>
          </w:p>
        </w:tc>
        <w:tc>
          <w:tcPr>
            <w:tcW w:w="2268" w:type="dxa"/>
            <w:tcMar>
              <w:top w:w="28" w:type="dxa"/>
              <w:bottom w:w="28" w:type="dxa"/>
            </w:tcMar>
          </w:tcPr>
          <w:p w14:paraId="71F1D7AA" w14:textId="6870994A"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57B3DB32"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proofErr w:type="spellStart"/>
            <w:r>
              <w:rPr>
                <w:rFonts w:ascii="Arial" w:hAnsi="Arial"/>
                <w:sz w:val="20"/>
              </w:rPr>
              <w:t>Arnhem</w:t>
            </w:r>
            <w:proofErr w:type="spellEnd"/>
            <w:r>
              <w:rPr>
                <w:rFonts w:ascii="Arial" w:hAnsi="Arial"/>
                <w:sz w:val="20"/>
              </w:rPr>
              <w:t>, NL</w:t>
            </w:r>
          </w:p>
        </w:tc>
        <w:tc>
          <w:tcPr>
            <w:tcW w:w="2268" w:type="dxa"/>
            <w:tcMar>
              <w:top w:w="28" w:type="dxa"/>
              <w:bottom w:w="28" w:type="dxa"/>
            </w:tcMar>
          </w:tcPr>
          <w:p w14:paraId="7AB1A51C" w14:textId="42B58C2B"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7F642EAC" w:rsidR="00CA7080" w:rsidRPr="008156C8" w:rsidRDefault="00CA7080" w:rsidP="00CB76C0">
            <w:pPr>
              <w:rPr>
                <w:rFonts w:ascii="Arial" w:hAnsi="Arial" w:cs="Arial"/>
                <w:sz w:val="20"/>
                <w:szCs w:val="20"/>
                <w:lang w:val="en-IE"/>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w:t>
            </w:r>
            <w:proofErr w:type="spellStart"/>
            <w:r>
              <w:rPr>
                <w:rFonts w:ascii="Arial" w:hAnsi="Arial"/>
                <w:sz w:val="20"/>
              </w:rPr>
              <w:t>Solar</w:t>
            </w:r>
            <w:proofErr w:type="spellEnd"/>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proofErr w:type="spellStart"/>
            <w:r>
              <w:rPr>
                <w:rFonts w:ascii="Arial" w:hAnsi="Arial"/>
                <w:sz w:val="20"/>
              </w:rPr>
              <w:t>Rotterdam</w:t>
            </w:r>
            <w:proofErr w:type="spellEnd"/>
            <w:r>
              <w:rPr>
                <w:rFonts w:ascii="Arial" w:hAnsi="Arial"/>
                <w:sz w:val="20"/>
              </w:rPr>
              <w:t>, NL</w:t>
            </w:r>
          </w:p>
        </w:tc>
        <w:tc>
          <w:tcPr>
            <w:tcW w:w="2268" w:type="dxa"/>
            <w:tcMar>
              <w:top w:w="28" w:type="dxa"/>
              <w:bottom w:w="28" w:type="dxa"/>
            </w:tcMar>
          </w:tcPr>
          <w:p w14:paraId="27E8DE7A" w14:textId="49CF27C2"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6553713D"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proofErr w:type="spellStart"/>
            <w:r>
              <w:rPr>
                <w:rFonts w:ascii="Arial" w:hAnsi="Arial"/>
                <w:sz w:val="20"/>
              </w:rPr>
              <w:t>Haarlem</w:t>
            </w:r>
            <w:proofErr w:type="spellEnd"/>
            <w:r>
              <w:rPr>
                <w:rFonts w:ascii="Arial" w:hAnsi="Arial"/>
                <w:sz w:val="20"/>
              </w:rPr>
              <w:t>, NL</w:t>
            </w:r>
          </w:p>
        </w:tc>
        <w:tc>
          <w:tcPr>
            <w:tcW w:w="2268" w:type="dxa"/>
            <w:tcMar>
              <w:top w:w="28" w:type="dxa"/>
              <w:bottom w:w="28" w:type="dxa"/>
            </w:tcMar>
          </w:tcPr>
          <w:p w14:paraId="6CB0A123" w14:textId="2B352B06"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05455473"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proofErr w:type="spellStart"/>
            <w:r>
              <w:rPr>
                <w:rFonts w:ascii="Arial" w:hAnsi="Arial"/>
                <w:sz w:val="20"/>
              </w:rPr>
              <w:t>Zaandam</w:t>
            </w:r>
            <w:proofErr w:type="spellEnd"/>
            <w:r>
              <w:rPr>
                <w:rFonts w:ascii="Arial" w:hAnsi="Arial"/>
                <w:sz w:val="20"/>
              </w:rPr>
              <w:t>, NL</w:t>
            </w:r>
          </w:p>
        </w:tc>
        <w:tc>
          <w:tcPr>
            <w:tcW w:w="2268" w:type="dxa"/>
            <w:tcMar>
              <w:top w:w="28" w:type="dxa"/>
              <w:bottom w:w="28" w:type="dxa"/>
            </w:tcMar>
          </w:tcPr>
          <w:p w14:paraId="1A047144" w14:textId="31C04E16"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4FC5762D"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AE6706">
      <w:pPr>
        <w:pStyle w:val="MH1"/>
      </w:pPr>
      <w:bookmarkStart w:id="88" w:name="_Toc180504665"/>
      <w:r>
        <w:t>Приложение 2 — Консултанти по сградна физика, строителни инженери, специализирани в товароносимост на покрива</w:t>
      </w:r>
      <w:r>
        <w:rPr>
          <w:rStyle w:val="FootnoteReference"/>
        </w:rPr>
        <w:t>2</w:t>
      </w:r>
      <w:bookmarkEnd w:id="88"/>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Моля, имайте предвид: </w:t>
      </w:r>
      <w:r>
        <w:t xml:space="preserve">Списъкът по-долу не е изчерпателен. Не сме проучили опита, качеството или тарифите на изброените по-долу консултанти.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386"/>
        <w:gridCol w:w="1873"/>
        <w:gridCol w:w="1860"/>
        <w:gridCol w:w="2943"/>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Дружество</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Място на установяване</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За контакти</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Електронна поща</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Pr>
                <w:rFonts w:ascii="Arial" w:hAnsi="Arial"/>
                <w:sz w:val="20"/>
              </w:rPr>
              <w:t>Vught</w:t>
            </w:r>
            <w:proofErr w:type="spellEnd"/>
            <w:r>
              <w:rPr>
                <w:rFonts w:ascii="Arial" w:hAnsi="Arial"/>
                <w:sz w:val="20"/>
              </w:rPr>
              <w:t>, NL</w:t>
            </w:r>
          </w:p>
        </w:tc>
        <w:tc>
          <w:tcPr>
            <w:tcW w:w="1873" w:type="dxa"/>
            <w:tcMar>
              <w:top w:w="28" w:type="dxa"/>
              <w:bottom w:w="28" w:type="dxa"/>
            </w:tcMar>
          </w:tcPr>
          <w:p w14:paraId="56C4C3C4" w14:textId="55075D27" w:rsidR="006E596B" w:rsidRPr="008156C8" w:rsidRDefault="006E596B" w:rsidP="00A3595E">
            <w:pPr>
              <w:rPr>
                <w:rFonts w:ascii="Arial" w:hAnsi="Arial" w:cs="Arial"/>
                <w:sz w:val="20"/>
                <w:szCs w:val="20"/>
                <w:lang w:val="en-IE"/>
              </w:rPr>
            </w:pPr>
          </w:p>
        </w:tc>
        <w:tc>
          <w:tcPr>
            <w:tcW w:w="2971" w:type="dxa"/>
            <w:tcMar>
              <w:top w:w="28" w:type="dxa"/>
              <w:bottom w:w="28" w:type="dxa"/>
            </w:tcMar>
          </w:tcPr>
          <w:p w14:paraId="559707B9" w14:textId="59371A6B"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proofErr w:type="spellStart"/>
            <w:r>
              <w:rPr>
                <w:rFonts w:ascii="Arial" w:hAnsi="Arial"/>
                <w:sz w:val="20"/>
              </w:rPr>
              <w:t>Van</w:t>
            </w:r>
            <w:proofErr w:type="spellEnd"/>
            <w:r>
              <w:rPr>
                <w:rFonts w:ascii="Arial" w:hAnsi="Arial"/>
                <w:sz w:val="20"/>
              </w:rPr>
              <w:t xml:space="preserve"> </w:t>
            </w:r>
            <w:proofErr w:type="spellStart"/>
            <w:r>
              <w:rPr>
                <w:rFonts w:ascii="Arial" w:hAnsi="Arial"/>
                <w:sz w:val="20"/>
              </w:rPr>
              <w:t>Doorn</w:t>
            </w:r>
            <w:proofErr w:type="spellEnd"/>
            <w:r>
              <w:rPr>
                <w:rFonts w:ascii="Arial" w:hAnsi="Arial"/>
                <w:sz w:val="20"/>
              </w:rPr>
              <w:t xml:space="preserve">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Pr>
                <w:rFonts w:ascii="Arial" w:hAnsi="Arial"/>
                <w:sz w:val="20"/>
              </w:rPr>
              <w:t>Rilland</w:t>
            </w:r>
            <w:proofErr w:type="spellEnd"/>
            <w:r>
              <w:rPr>
                <w:rFonts w:ascii="Arial" w:hAnsi="Arial"/>
                <w:sz w:val="20"/>
              </w:rPr>
              <w:t>, NL</w:t>
            </w:r>
          </w:p>
        </w:tc>
        <w:tc>
          <w:tcPr>
            <w:tcW w:w="1873" w:type="dxa"/>
            <w:tcMar>
              <w:top w:w="28" w:type="dxa"/>
              <w:bottom w:w="28" w:type="dxa"/>
            </w:tcMar>
          </w:tcPr>
          <w:p w14:paraId="773F72CB" w14:textId="32467BC7" w:rsidR="006E596B" w:rsidRPr="008156C8" w:rsidRDefault="006E596B" w:rsidP="00A3595E">
            <w:pPr>
              <w:rPr>
                <w:rFonts w:ascii="Arial" w:hAnsi="Arial" w:cs="Arial"/>
                <w:sz w:val="20"/>
                <w:szCs w:val="20"/>
                <w:lang w:val="en-IE"/>
              </w:rPr>
            </w:pPr>
          </w:p>
        </w:tc>
        <w:tc>
          <w:tcPr>
            <w:tcW w:w="2971" w:type="dxa"/>
            <w:tcMar>
              <w:top w:w="28" w:type="dxa"/>
              <w:bottom w:w="28" w:type="dxa"/>
            </w:tcMar>
          </w:tcPr>
          <w:p w14:paraId="5823C071" w14:textId="31FD59F5"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proofErr w:type="spellStart"/>
            <w:r>
              <w:rPr>
                <w:rFonts w:ascii="Arial" w:hAnsi="Arial"/>
                <w:sz w:val="20"/>
              </w:rPr>
              <w:t>Delft</w:t>
            </w:r>
            <w:proofErr w:type="spellEnd"/>
            <w:r>
              <w:rPr>
                <w:rFonts w:ascii="Arial" w:hAnsi="Arial"/>
                <w:sz w:val="20"/>
              </w:rPr>
              <w:t>, NL</w:t>
            </w:r>
          </w:p>
        </w:tc>
        <w:tc>
          <w:tcPr>
            <w:tcW w:w="1873" w:type="dxa"/>
            <w:tcMar>
              <w:top w:w="28" w:type="dxa"/>
              <w:bottom w:w="28" w:type="dxa"/>
            </w:tcMar>
          </w:tcPr>
          <w:p w14:paraId="123F0BED" w14:textId="4D2C29A5"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5F70D2BC"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proofErr w:type="spellStart"/>
            <w:r>
              <w:rPr>
                <w:rFonts w:ascii="Arial" w:hAnsi="Arial"/>
                <w:sz w:val="20"/>
              </w:rPr>
              <w:t>Arnhem</w:t>
            </w:r>
            <w:proofErr w:type="spellEnd"/>
            <w:r>
              <w:rPr>
                <w:rFonts w:ascii="Arial" w:hAnsi="Arial"/>
                <w:sz w:val="20"/>
              </w:rPr>
              <w:t>, NL</w:t>
            </w:r>
          </w:p>
        </w:tc>
        <w:tc>
          <w:tcPr>
            <w:tcW w:w="1873" w:type="dxa"/>
            <w:tcMar>
              <w:top w:w="28" w:type="dxa"/>
              <w:bottom w:w="28" w:type="dxa"/>
            </w:tcMar>
          </w:tcPr>
          <w:p w14:paraId="04165859" w14:textId="168D9589" w:rsidR="006E596B" w:rsidRPr="008156C8" w:rsidRDefault="006E596B" w:rsidP="00A3595E">
            <w:pPr>
              <w:rPr>
                <w:rFonts w:ascii="Arial" w:hAnsi="Arial" w:cs="Arial"/>
                <w:sz w:val="20"/>
                <w:szCs w:val="20"/>
                <w:lang w:val="en-IE"/>
              </w:rPr>
            </w:pPr>
          </w:p>
        </w:tc>
        <w:tc>
          <w:tcPr>
            <w:tcW w:w="2971" w:type="dxa"/>
            <w:tcMar>
              <w:top w:w="28" w:type="dxa"/>
              <w:bottom w:w="28" w:type="dxa"/>
            </w:tcMar>
          </w:tcPr>
          <w:p w14:paraId="68480554" w14:textId="0651621F"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proofErr w:type="spellStart"/>
            <w:r>
              <w:rPr>
                <w:rFonts w:ascii="Arial" w:hAnsi="Arial"/>
                <w:sz w:val="20"/>
              </w:rPr>
              <w:t>Buro</w:t>
            </w:r>
            <w:proofErr w:type="spellEnd"/>
            <w:r>
              <w:rPr>
                <w:rFonts w:ascii="Arial" w:hAnsi="Arial"/>
                <w:sz w:val="20"/>
              </w:rPr>
              <w:t xml:space="preserve"> </w:t>
            </w:r>
            <w:proofErr w:type="spellStart"/>
            <w:r>
              <w:rPr>
                <w:rFonts w:ascii="Arial" w:hAnsi="Arial"/>
                <w:sz w:val="20"/>
              </w:rPr>
              <w:t>Bouwfysica</w:t>
            </w:r>
            <w:proofErr w:type="spellEnd"/>
          </w:p>
        </w:tc>
        <w:tc>
          <w:tcPr>
            <w:tcW w:w="1813" w:type="dxa"/>
            <w:tcMar>
              <w:top w:w="28" w:type="dxa"/>
              <w:bottom w:w="28" w:type="dxa"/>
            </w:tcMar>
          </w:tcPr>
          <w:p w14:paraId="6D9EB62C" w14:textId="714E2A97" w:rsidR="006E596B" w:rsidRPr="00830EE2" w:rsidRDefault="5FA5399C" w:rsidP="00A3595E">
            <w:pPr>
              <w:rPr>
                <w:rFonts w:ascii="Arial" w:hAnsi="Arial" w:cs="Arial"/>
                <w:sz w:val="20"/>
                <w:szCs w:val="20"/>
              </w:rPr>
            </w:pPr>
            <w:proofErr w:type="spellStart"/>
            <w:r>
              <w:rPr>
                <w:rFonts w:ascii="Arial" w:hAnsi="Arial"/>
                <w:sz w:val="20"/>
              </w:rPr>
              <w:t>Cappelle</w:t>
            </w:r>
            <w:proofErr w:type="spellEnd"/>
            <w:r>
              <w:rPr>
                <w:rFonts w:ascii="Arial" w:hAnsi="Arial"/>
                <w:sz w:val="20"/>
              </w:rPr>
              <w:t xml:space="preserve"> </w:t>
            </w:r>
            <w:proofErr w:type="spellStart"/>
            <w:r>
              <w:rPr>
                <w:rFonts w:ascii="Arial" w:hAnsi="Arial"/>
                <w:sz w:val="20"/>
              </w:rPr>
              <w:t>aan</w:t>
            </w:r>
            <w:proofErr w:type="spellEnd"/>
            <w:r>
              <w:rPr>
                <w:rFonts w:ascii="Arial" w:hAnsi="Arial"/>
                <w:sz w:val="20"/>
              </w:rPr>
              <w:t xml:space="preserve"> </w:t>
            </w:r>
            <w:proofErr w:type="spellStart"/>
            <w:r>
              <w:rPr>
                <w:rFonts w:ascii="Arial" w:hAnsi="Arial"/>
                <w:sz w:val="20"/>
              </w:rPr>
              <w:t>de</w:t>
            </w:r>
            <w:proofErr w:type="spellEnd"/>
            <w:r>
              <w:rPr>
                <w:rFonts w:ascii="Arial" w:hAnsi="Arial"/>
                <w:sz w:val="20"/>
              </w:rPr>
              <w:t xml:space="preserve"> </w:t>
            </w:r>
            <w:proofErr w:type="spellStart"/>
            <w:r>
              <w:rPr>
                <w:rFonts w:ascii="Arial" w:hAnsi="Arial"/>
                <w:sz w:val="20"/>
              </w:rPr>
              <w:t>Ijssel</w:t>
            </w:r>
            <w:proofErr w:type="spellEnd"/>
            <w:r>
              <w:rPr>
                <w:rFonts w:ascii="Arial" w:hAnsi="Arial"/>
                <w:sz w:val="20"/>
              </w:rPr>
              <w:t>, NL</w:t>
            </w:r>
          </w:p>
        </w:tc>
        <w:tc>
          <w:tcPr>
            <w:tcW w:w="1873" w:type="dxa"/>
            <w:tcMar>
              <w:top w:w="28" w:type="dxa"/>
              <w:bottom w:w="28" w:type="dxa"/>
            </w:tcMar>
          </w:tcPr>
          <w:p w14:paraId="7CBF9C09" w14:textId="50AE5F9E" w:rsidR="006E596B" w:rsidRPr="008156C8" w:rsidRDefault="006E596B" w:rsidP="00A3595E">
            <w:pPr>
              <w:rPr>
                <w:rFonts w:ascii="Arial" w:hAnsi="Arial" w:cs="Arial"/>
                <w:sz w:val="20"/>
                <w:szCs w:val="20"/>
                <w:lang w:val="en-IE"/>
              </w:rPr>
            </w:pPr>
          </w:p>
        </w:tc>
        <w:tc>
          <w:tcPr>
            <w:tcW w:w="2971" w:type="dxa"/>
            <w:tcMar>
              <w:top w:w="28" w:type="dxa"/>
              <w:bottom w:w="28" w:type="dxa"/>
            </w:tcMar>
          </w:tcPr>
          <w:p w14:paraId="5DD20552" w14:textId="7B2E0158"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proofErr w:type="spellStart"/>
            <w:r>
              <w:rPr>
                <w:rFonts w:ascii="Arial" w:hAnsi="Arial"/>
                <w:sz w:val="20"/>
              </w:rPr>
              <w:t>Tritium</w:t>
            </w:r>
            <w:proofErr w:type="spellEnd"/>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proofErr w:type="spellStart"/>
            <w:r>
              <w:rPr>
                <w:rFonts w:ascii="Arial" w:hAnsi="Arial"/>
                <w:sz w:val="20"/>
              </w:rPr>
              <w:t>Breda</w:t>
            </w:r>
            <w:proofErr w:type="spellEnd"/>
            <w:r>
              <w:rPr>
                <w:rFonts w:ascii="Arial" w:hAnsi="Arial"/>
                <w:sz w:val="20"/>
              </w:rPr>
              <w:t>, NL</w:t>
            </w:r>
          </w:p>
        </w:tc>
        <w:tc>
          <w:tcPr>
            <w:tcW w:w="1873" w:type="dxa"/>
            <w:tcMar>
              <w:top w:w="28" w:type="dxa"/>
              <w:bottom w:w="28" w:type="dxa"/>
            </w:tcMar>
          </w:tcPr>
          <w:p w14:paraId="69ED4681" w14:textId="4C9708BD" w:rsidR="5FA5399C" w:rsidRPr="008156C8" w:rsidRDefault="5FA5399C" w:rsidP="5FA5399C">
            <w:pPr>
              <w:rPr>
                <w:rFonts w:ascii="Arial" w:hAnsi="Arial" w:cs="Arial"/>
                <w:sz w:val="20"/>
                <w:szCs w:val="20"/>
                <w:lang w:val="en-IE"/>
              </w:rPr>
            </w:pPr>
          </w:p>
        </w:tc>
        <w:tc>
          <w:tcPr>
            <w:tcW w:w="2971" w:type="dxa"/>
            <w:tcMar>
              <w:top w:w="28" w:type="dxa"/>
              <w:bottom w:w="28" w:type="dxa"/>
            </w:tcMar>
          </w:tcPr>
          <w:p w14:paraId="5E5DFB82" w14:textId="2EF6951D"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AE6706">
      <w:pPr>
        <w:pStyle w:val="MH1"/>
      </w:pPr>
      <w:bookmarkStart w:id="89" w:name="_Toc180504666"/>
      <w:r>
        <w:t xml:space="preserve">Приложение 3 — Дружества, които извършват монтаж, </w:t>
      </w:r>
      <w:r>
        <w:cr/>
      </w:r>
      <w:r>
        <w:br/>
        <w:t xml:space="preserve">EPC и организатори на проекта </w:t>
      </w:r>
      <w:r>
        <w:cr/>
      </w:r>
      <w:r>
        <w:br/>
        <w:t xml:space="preserve">за дружествата в сферата на </w:t>
      </w:r>
      <w:proofErr w:type="spellStart"/>
      <w:r>
        <w:t>фотоволатичните</w:t>
      </w:r>
      <w:proofErr w:type="spellEnd"/>
      <w:r>
        <w:t xml:space="preserve"> системи</w:t>
      </w:r>
      <w:r>
        <w:rPr>
          <w:rStyle w:val="FootnoteReference"/>
        </w:rPr>
        <w:t>2</w:t>
      </w:r>
      <w:bookmarkEnd w:id="89"/>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Моля, имайте предвид: </w:t>
      </w:r>
      <w:r>
        <w:t xml:space="preserve">Списъкът по-долу не е изчерпателен. Не сме проучили опита, качеството или тарифите на изброените по-долу консултанти.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Вид на дружеството</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Дружество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Уебсайт</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Електронна поща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Големи дружества, които извършват електрическо и техническо инсталиране</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proofErr w:type="spellStart"/>
            <w:r>
              <w:rPr>
                <w:rFonts w:ascii="Arial" w:hAnsi="Arial"/>
                <w:sz w:val="20"/>
              </w:rPr>
              <w:t>Unica</w:t>
            </w:r>
            <w:proofErr w:type="spellEnd"/>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44C35506"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Pr>
                <w:rFonts w:ascii="Arial" w:hAnsi="Arial"/>
                <w:sz w:val="20"/>
              </w:rPr>
              <w:t>Hoppenbrouwers</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14A198B4"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4D085CC0" w:rsidR="00854620" w:rsidRPr="008156C8" w:rsidRDefault="00854620" w:rsidP="5FA5399C">
            <w:pPr>
              <w:rPr>
                <w:rFonts w:ascii="Arial" w:eastAsiaTheme="minorEastAsia" w:hAnsi="Arial" w:cs="Arial"/>
                <w:sz w:val="20"/>
                <w:szCs w:val="20"/>
                <w:lang w:val="en-IE"/>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proofErr w:type="spellStart"/>
            <w:r>
              <w:rPr>
                <w:rFonts w:ascii="Arial" w:hAnsi="Arial"/>
                <w:sz w:val="20"/>
              </w:rPr>
              <w:t>Spie</w:t>
            </w:r>
            <w:proofErr w:type="spellEnd"/>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47CFC0F0"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54DB1721"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Големи дружества, които извършват монтаж на слънчеви панели/</w:t>
            </w:r>
            <w:r>
              <w:rPr>
                <w:rFonts w:ascii="Arial" w:hAnsi="Arial"/>
                <w:b/>
                <w:color w:val="104D54"/>
                <w:sz w:val="24"/>
              </w:rPr>
              <w:cr/>
            </w:r>
            <w:r>
              <w:rPr>
                <w:rFonts w:ascii="Arial" w:hAnsi="Arial"/>
                <w:b/>
                <w:color w:val="104D54"/>
                <w:sz w:val="24"/>
              </w:rPr>
              <w:br/>
              <w:t>EPC</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08298232"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sz w:val="20"/>
              </w:rPr>
              <w:t>Zonnestroom</w:t>
            </w:r>
            <w:proofErr w:type="spellEnd"/>
            <w:r>
              <w:rPr>
                <w:rFonts w:ascii="Arial" w:hAnsi="Arial"/>
                <w:sz w:val="20"/>
              </w:rPr>
              <w:t xml:space="preserve"> </w:t>
            </w:r>
            <w:proofErr w:type="spellStart"/>
            <w:r>
              <w:rPr>
                <w:rFonts w:ascii="Arial" w:hAnsi="Arial"/>
                <w:sz w:val="20"/>
              </w:rPr>
              <w:t>Nederland</w:t>
            </w:r>
            <w:proofErr w:type="spellEnd"/>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74131D9C"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proofErr w:type="spellStart"/>
            <w:r>
              <w:rPr>
                <w:rFonts w:ascii="Arial" w:hAnsi="Arial"/>
                <w:sz w:val="20"/>
              </w:rPr>
              <w:t>Eigen</w:t>
            </w:r>
            <w:proofErr w:type="spellEnd"/>
            <w:r>
              <w:rPr>
                <w:rFonts w:ascii="Arial" w:hAnsi="Arial"/>
                <w:sz w:val="20"/>
              </w:rPr>
              <w:t xml:space="preserve"> </w:t>
            </w:r>
            <w:proofErr w:type="spellStart"/>
            <w:r>
              <w:rPr>
                <w:rFonts w:ascii="Arial" w:hAnsi="Arial"/>
                <w:sz w:val="20"/>
              </w:rPr>
              <w:t>Energie</w:t>
            </w:r>
            <w:proofErr w:type="spellEnd"/>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1C63D499"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3CDFACDA"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6BF6F4AB"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7C153D47"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Други партньори</w:t>
            </w:r>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55DCC20E"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51F1B042" w:rsidR="00854620" w:rsidRPr="008156C8" w:rsidRDefault="00854620" w:rsidP="5FA5399C">
            <w:pPr>
              <w:rPr>
                <w:rFonts w:ascii="Arial" w:eastAsiaTheme="minorEastAsia" w:hAnsi="Arial" w:cs="Arial"/>
                <w:sz w:val="20"/>
                <w:szCs w:val="20"/>
                <w:lang w:val="en-IE"/>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Pr>
                <w:rFonts w:ascii="Arial" w:hAnsi="Arial"/>
                <w:sz w:val="20"/>
              </w:rPr>
              <w:t>Goldbeck</w:t>
            </w:r>
            <w:proofErr w:type="spellEnd"/>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4CA53FEC"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7A9220DD"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5303C036"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4003A93F"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6780A47C"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4D3317A4"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proofErr w:type="spellStart"/>
            <w:r>
              <w:rPr>
                <w:rFonts w:ascii="Arial" w:hAnsi="Arial"/>
                <w:sz w:val="20"/>
              </w:rPr>
              <w:t>Engie</w:t>
            </w:r>
            <w:proofErr w:type="spellEnd"/>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3C1ECC50"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0490FBD2"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49196A33"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Организатори на проекти</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6F0C083B"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3BA4BA3E"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3989AB46"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717C7298"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4E452D13"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sz w:val="20"/>
              </w:rPr>
              <w:t>Tomorrow</w:t>
            </w:r>
            <w:proofErr w:type="spellEnd"/>
            <w:r>
              <w:rPr>
                <w:rFonts w:ascii="Arial" w:hAnsi="Arial"/>
                <w:sz w:val="20"/>
              </w:rPr>
              <w:t xml:space="preserve"> Energy</w:t>
            </w:r>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4EDF157B"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 xml:space="preserve">HVC </w:t>
            </w:r>
            <w:proofErr w:type="spellStart"/>
            <w:r>
              <w:rPr>
                <w:rFonts w:ascii="Arial" w:hAnsi="Arial"/>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5F47F8E2"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proofErr w:type="spellStart"/>
            <w:r>
              <w:rPr>
                <w:rFonts w:ascii="Arial" w:hAnsi="Arial"/>
                <w:sz w:val="20"/>
              </w:rPr>
              <w:t>Nara</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6723D0D6"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640FA0AB"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proofErr w:type="spellStart"/>
            <w:r>
              <w:rPr>
                <w:rFonts w:ascii="Arial" w:hAnsi="Arial"/>
                <w:sz w:val="20"/>
              </w:rPr>
              <w:t>Pure</w:t>
            </w:r>
            <w:proofErr w:type="spellEnd"/>
            <w:r>
              <w:rPr>
                <w:rFonts w:ascii="Arial" w:hAnsi="Arial"/>
                <w:sz w:val="20"/>
              </w:rPr>
              <w:t xml:space="preserve"> </w:t>
            </w:r>
            <w:proofErr w:type="spellStart"/>
            <w:r>
              <w:rPr>
                <w:rFonts w:ascii="Arial" w:hAnsi="Arial"/>
                <w:sz w:val="20"/>
              </w:rPr>
              <w:t>Energie</w:t>
            </w:r>
            <w:proofErr w:type="spellEnd"/>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4693B4C9"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LC Energy</w:t>
            </w:r>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2B8B55BE"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3752EDE2"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w:t>
            </w:r>
            <w:proofErr w:type="spellStart"/>
            <w:r>
              <w:rPr>
                <w:rFonts w:ascii="Arial" w:hAnsi="Arial"/>
                <w:sz w:val="20"/>
              </w:rPr>
              <w:t>Solar</w:t>
            </w:r>
            <w:proofErr w:type="spellEnd"/>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1B6521E2"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11D19600"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307428A3"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proofErr w:type="spellStart"/>
            <w:r>
              <w:rPr>
                <w:rFonts w:ascii="Arial" w:hAnsi="Arial"/>
                <w:sz w:val="20"/>
              </w:rPr>
              <w:t>Vattenfall</w:t>
            </w:r>
            <w:proofErr w:type="spellEnd"/>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7347B640"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3D3863A1"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2127A891"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097A8B23"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037CBB24"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632404DB"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 xml:space="preserve">IB </w:t>
            </w:r>
            <w:proofErr w:type="spellStart"/>
            <w:r>
              <w:rPr>
                <w:rFonts w:ascii="Arial" w:hAnsi="Arial"/>
                <w:sz w:val="20"/>
              </w:rPr>
              <w:t>Vogt</w:t>
            </w:r>
            <w:proofErr w:type="spellEnd"/>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77DB28E9"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AE6706">
      <w:pPr>
        <w:pStyle w:val="MH1"/>
      </w:pPr>
      <w:bookmarkStart w:id="90" w:name="_Toc180504667"/>
      <w:r>
        <w:t>Приложение 4 — Консултанти и доставчици, специализирани в система за енергийно управление, батерии и управление на товара</w:t>
      </w:r>
      <w:r>
        <w:rPr>
          <w:rStyle w:val="FootnoteReference"/>
        </w:rPr>
        <w:t>2</w:t>
      </w:r>
      <w:bookmarkEnd w:id="90"/>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Моля, имайте предвид: </w:t>
      </w:r>
      <w:r>
        <w:t xml:space="preserve">Списъкът по-долу не е изчерпателен. Не сме проучили опита, качеството или тарифите на изброените по-долу консултанти. </w:t>
      </w:r>
    </w:p>
    <w:p w14:paraId="0506CB90" w14:textId="77777777" w:rsidR="0052536B" w:rsidRPr="004C0EBD" w:rsidRDefault="0052536B" w:rsidP="00A3595E"/>
    <w:tbl>
      <w:tblPr>
        <w:tblStyle w:val="TableGrid"/>
        <w:tblW w:w="9067" w:type="dxa"/>
        <w:tblLook w:val="04A0" w:firstRow="1" w:lastRow="0" w:firstColumn="1" w:lastColumn="0" w:noHBand="0" w:noVBand="1"/>
      </w:tblPr>
      <w:tblGrid>
        <w:gridCol w:w="2163"/>
        <w:gridCol w:w="2177"/>
        <w:gridCol w:w="2194"/>
        <w:gridCol w:w="2533"/>
      </w:tblGrid>
      <w:tr w:rsidR="00830EE2" w:rsidRPr="00830EE2" w14:paraId="5293B041" w14:textId="77777777" w:rsidTr="008156C8">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Дружество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Място на установяване</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За контакти </w:t>
            </w:r>
          </w:p>
        </w:tc>
        <w:tc>
          <w:tcPr>
            <w:tcW w:w="2533"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Електронна поща </w:t>
            </w:r>
          </w:p>
        </w:tc>
      </w:tr>
      <w:tr w:rsidR="0052536B" w:rsidRPr="004C0EBD" w14:paraId="564EA913" w14:textId="77777777" w:rsidTr="008156C8">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proofErr w:type="spellStart"/>
            <w:r>
              <w:rPr>
                <w:rFonts w:ascii="Arial" w:hAnsi="Arial"/>
                <w:sz w:val="20"/>
              </w:rPr>
              <w:t>Peta</w:t>
            </w:r>
            <w:proofErr w:type="spellEnd"/>
            <w:r>
              <w:rPr>
                <w:rFonts w:ascii="Arial" w:hAnsi="Arial"/>
                <w:sz w:val="20"/>
              </w:rPr>
              <w:t xml:space="preserve"> </w:t>
            </w:r>
            <w:proofErr w:type="spellStart"/>
            <w:r>
              <w:rPr>
                <w:rFonts w:ascii="Arial" w:hAnsi="Arial"/>
                <w:sz w:val="20"/>
              </w:rPr>
              <w:t>Watts</w:t>
            </w:r>
            <w:proofErr w:type="spellEnd"/>
            <w:r>
              <w:rPr>
                <w:rFonts w:ascii="Arial" w:hAnsi="Arial"/>
                <w:sz w:val="20"/>
              </w:rPr>
              <w:t xml:space="preserve">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proofErr w:type="spellStart"/>
            <w:r>
              <w:rPr>
                <w:rFonts w:ascii="Arial" w:hAnsi="Arial"/>
                <w:sz w:val="20"/>
              </w:rPr>
              <w:t>Rotterdam</w:t>
            </w:r>
            <w:proofErr w:type="spellEnd"/>
          </w:p>
        </w:tc>
        <w:tc>
          <w:tcPr>
            <w:tcW w:w="2194" w:type="dxa"/>
            <w:tcMar>
              <w:top w:w="28" w:type="dxa"/>
              <w:bottom w:w="28" w:type="dxa"/>
            </w:tcMar>
            <w:vAlign w:val="center"/>
          </w:tcPr>
          <w:p w14:paraId="68F190C0" w14:textId="74412F1C" w:rsidR="0052536B" w:rsidRPr="00830EE2" w:rsidRDefault="0052536B" w:rsidP="5FA5399C">
            <w:pPr>
              <w:rPr>
                <w:rFonts w:ascii="Arial" w:eastAsiaTheme="minorEastAsia" w:hAnsi="Arial" w:cs="Arial"/>
                <w:sz w:val="20"/>
                <w:szCs w:val="20"/>
              </w:rPr>
            </w:pPr>
          </w:p>
        </w:tc>
        <w:tc>
          <w:tcPr>
            <w:tcW w:w="2533" w:type="dxa"/>
            <w:tcMar>
              <w:top w:w="28" w:type="dxa"/>
              <w:bottom w:w="28" w:type="dxa"/>
            </w:tcMar>
            <w:vAlign w:val="center"/>
          </w:tcPr>
          <w:p w14:paraId="164B0013" w14:textId="458A1469" w:rsidR="0052536B" w:rsidRPr="00830EE2" w:rsidRDefault="0052536B" w:rsidP="5FA5399C">
            <w:pPr>
              <w:rPr>
                <w:rFonts w:ascii="Arial" w:eastAsiaTheme="minorEastAsia" w:hAnsi="Arial" w:cs="Arial"/>
                <w:sz w:val="20"/>
                <w:szCs w:val="20"/>
              </w:rPr>
            </w:pPr>
          </w:p>
        </w:tc>
      </w:tr>
      <w:tr w:rsidR="00527969" w:rsidRPr="004C0EBD" w14:paraId="55CCA169" w14:textId="77777777" w:rsidTr="008156C8">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sz w:val="20"/>
              </w:rPr>
              <w:t>Lyv</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Blaricum</w:t>
            </w:r>
            <w:proofErr w:type="spellEnd"/>
          </w:p>
        </w:tc>
        <w:tc>
          <w:tcPr>
            <w:tcW w:w="2194" w:type="dxa"/>
            <w:tcMar>
              <w:top w:w="28" w:type="dxa"/>
              <w:bottom w:w="28" w:type="dxa"/>
            </w:tcMar>
            <w:vAlign w:val="center"/>
          </w:tcPr>
          <w:p w14:paraId="0A8A826F" w14:textId="123772F0" w:rsidR="00527969" w:rsidRPr="00830EE2" w:rsidRDefault="00527969" w:rsidP="5FA5399C">
            <w:pPr>
              <w:rPr>
                <w:rFonts w:ascii="Arial" w:eastAsiaTheme="minorEastAsia" w:hAnsi="Arial" w:cs="Arial"/>
                <w:sz w:val="20"/>
                <w:szCs w:val="20"/>
              </w:rPr>
            </w:pPr>
          </w:p>
        </w:tc>
        <w:tc>
          <w:tcPr>
            <w:tcW w:w="2533" w:type="dxa"/>
            <w:tcMar>
              <w:top w:w="28" w:type="dxa"/>
              <w:bottom w:w="28" w:type="dxa"/>
            </w:tcMar>
            <w:vAlign w:val="center"/>
          </w:tcPr>
          <w:p w14:paraId="7EBA8D53" w14:textId="5D3DD111" w:rsidR="00527969" w:rsidRPr="00830EE2" w:rsidRDefault="00527969" w:rsidP="5FA5399C">
            <w:pPr>
              <w:rPr>
                <w:rFonts w:ascii="Arial" w:eastAsiaTheme="minorEastAsia" w:hAnsi="Arial" w:cs="Arial"/>
                <w:sz w:val="20"/>
                <w:szCs w:val="20"/>
              </w:rPr>
            </w:pPr>
          </w:p>
        </w:tc>
      </w:tr>
      <w:tr w:rsidR="0052536B" w:rsidRPr="004C0EBD" w14:paraId="4F173FF9" w14:textId="77777777" w:rsidTr="008156C8">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proofErr w:type="spellStart"/>
            <w:r>
              <w:rPr>
                <w:rFonts w:ascii="Arial" w:hAnsi="Arial"/>
                <w:sz w:val="20"/>
              </w:rPr>
              <w:t>European</w:t>
            </w:r>
            <w:proofErr w:type="spellEnd"/>
            <w:r>
              <w:rPr>
                <w:rFonts w:ascii="Arial" w:hAnsi="Arial"/>
                <w:sz w:val="20"/>
              </w:rPr>
              <w:t xml:space="preserve"> </w:t>
            </w:r>
            <w:proofErr w:type="spellStart"/>
            <w:r>
              <w:rPr>
                <w:rFonts w:ascii="Arial" w:hAnsi="Arial"/>
                <w:sz w:val="20"/>
              </w:rPr>
              <w:t>Solar</w:t>
            </w:r>
            <w:proofErr w:type="spellEnd"/>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proofErr w:type="spellStart"/>
            <w:r>
              <w:rPr>
                <w:rFonts w:ascii="Arial" w:hAnsi="Arial"/>
                <w:sz w:val="20"/>
              </w:rPr>
              <w:t>Heerenveen</w:t>
            </w:r>
            <w:proofErr w:type="spellEnd"/>
          </w:p>
        </w:tc>
        <w:tc>
          <w:tcPr>
            <w:tcW w:w="2194" w:type="dxa"/>
            <w:tcMar>
              <w:top w:w="28" w:type="dxa"/>
              <w:bottom w:w="28" w:type="dxa"/>
            </w:tcMar>
            <w:vAlign w:val="center"/>
          </w:tcPr>
          <w:p w14:paraId="1280BF28" w14:textId="1DB70B41" w:rsidR="0052536B" w:rsidRPr="00830EE2" w:rsidRDefault="0052536B" w:rsidP="5FA5399C">
            <w:pPr>
              <w:rPr>
                <w:rFonts w:ascii="Arial" w:eastAsiaTheme="minorEastAsia" w:hAnsi="Arial" w:cs="Arial"/>
                <w:sz w:val="20"/>
                <w:szCs w:val="20"/>
              </w:rPr>
            </w:pPr>
          </w:p>
        </w:tc>
        <w:tc>
          <w:tcPr>
            <w:tcW w:w="2533" w:type="dxa"/>
            <w:tcMar>
              <w:top w:w="28" w:type="dxa"/>
              <w:bottom w:w="28" w:type="dxa"/>
            </w:tcMar>
            <w:vAlign w:val="center"/>
          </w:tcPr>
          <w:p w14:paraId="70322736" w14:textId="278A599C" w:rsidR="0052536B" w:rsidRPr="00830EE2" w:rsidRDefault="0052536B" w:rsidP="5FA5399C">
            <w:pPr>
              <w:rPr>
                <w:rFonts w:ascii="Arial" w:eastAsiaTheme="minorEastAsia" w:hAnsi="Arial" w:cs="Arial"/>
                <w:sz w:val="20"/>
                <w:szCs w:val="20"/>
              </w:rPr>
            </w:pPr>
          </w:p>
        </w:tc>
      </w:tr>
      <w:tr w:rsidR="5FA5399C" w:rsidRPr="004C0EBD" w14:paraId="469AD225" w14:textId="77777777" w:rsidTr="008156C8">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 xml:space="preserve"> Energy</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751D4BD4" w:rsidR="5FA5399C" w:rsidRPr="008156C8" w:rsidRDefault="5FA5399C" w:rsidP="5FA5399C">
            <w:pPr>
              <w:rPr>
                <w:rFonts w:ascii="Arial" w:eastAsiaTheme="minorEastAsia" w:hAnsi="Arial" w:cs="Arial"/>
                <w:sz w:val="20"/>
                <w:szCs w:val="20"/>
                <w:lang w:val="en-IE"/>
              </w:rPr>
            </w:pPr>
          </w:p>
        </w:tc>
        <w:tc>
          <w:tcPr>
            <w:tcW w:w="2533" w:type="dxa"/>
            <w:tcMar>
              <w:top w:w="28" w:type="dxa"/>
              <w:bottom w:w="28" w:type="dxa"/>
            </w:tcMar>
            <w:vAlign w:val="center"/>
          </w:tcPr>
          <w:p w14:paraId="4899A413" w14:textId="019C86C0" w:rsidR="5FA5399C" w:rsidRPr="00830EE2" w:rsidRDefault="5FA5399C" w:rsidP="5FA5399C">
            <w:pPr>
              <w:rPr>
                <w:rFonts w:ascii="Arial" w:eastAsiaTheme="minorEastAsia" w:hAnsi="Arial" w:cs="Arial"/>
                <w:sz w:val="20"/>
                <w:szCs w:val="20"/>
              </w:rPr>
            </w:pPr>
          </w:p>
        </w:tc>
      </w:tr>
      <w:tr w:rsidR="5FA5399C" w:rsidRPr="004C0EBD" w14:paraId="4989B929" w14:textId="77777777" w:rsidTr="008156C8">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29ED3237" w:rsidR="5FA5399C" w:rsidRPr="008156C8" w:rsidRDefault="5FA5399C" w:rsidP="5FA5399C">
            <w:pPr>
              <w:rPr>
                <w:rFonts w:ascii="Arial" w:eastAsiaTheme="minorEastAsia" w:hAnsi="Arial" w:cs="Arial"/>
                <w:sz w:val="20"/>
                <w:szCs w:val="20"/>
                <w:lang w:val="en-IE"/>
              </w:rPr>
            </w:pPr>
          </w:p>
        </w:tc>
        <w:tc>
          <w:tcPr>
            <w:tcW w:w="2533" w:type="dxa"/>
            <w:tcMar>
              <w:top w:w="28" w:type="dxa"/>
              <w:bottom w:w="28" w:type="dxa"/>
            </w:tcMar>
            <w:vAlign w:val="center"/>
          </w:tcPr>
          <w:p w14:paraId="00FBA627" w14:textId="6CEA1564" w:rsidR="5FA5399C" w:rsidRPr="00830EE2" w:rsidRDefault="5FA5399C" w:rsidP="5FA5399C">
            <w:pPr>
              <w:rPr>
                <w:rFonts w:ascii="Arial" w:eastAsiaTheme="minorEastAsia" w:hAnsi="Arial" w:cs="Arial"/>
                <w:sz w:val="20"/>
                <w:szCs w:val="20"/>
              </w:rPr>
            </w:pPr>
          </w:p>
        </w:tc>
      </w:tr>
      <w:tr w:rsidR="0052536B" w:rsidRPr="004C0EBD" w14:paraId="2F25F258" w14:textId="77777777" w:rsidTr="008156C8">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proofErr w:type="spellStart"/>
            <w:r>
              <w:rPr>
                <w:rFonts w:ascii="Arial" w:hAnsi="Arial"/>
                <w:sz w:val="20"/>
              </w:rPr>
              <w:t>Schiedam</w:t>
            </w:r>
            <w:proofErr w:type="spellEnd"/>
          </w:p>
        </w:tc>
        <w:tc>
          <w:tcPr>
            <w:tcW w:w="2194" w:type="dxa"/>
            <w:tcMar>
              <w:top w:w="28" w:type="dxa"/>
              <w:bottom w:w="28" w:type="dxa"/>
            </w:tcMar>
            <w:vAlign w:val="center"/>
          </w:tcPr>
          <w:p w14:paraId="69DE1BE3" w14:textId="0BAC3CBA" w:rsidR="0052536B" w:rsidRPr="00830EE2" w:rsidRDefault="0052536B" w:rsidP="5FA5399C">
            <w:pPr>
              <w:rPr>
                <w:rFonts w:ascii="Arial" w:eastAsiaTheme="minorEastAsia" w:hAnsi="Arial" w:cs="Arial"/>
                <w:sz w:val="20"/>
                <w:szCs w:val="20"/>
              </w:rPr>
            </w:pPr>
          </w:p>
        </w:tc>
        <w:tc>
          <w:tcPr>
            <w:tcW w:w="2533" w:type="dxa"/>
            <w:tcMar>
              <w:top w:w="28" w:type="dxa"/>
              <w:bottom w:w="28" w:type="dxa"/>
            </w:tcMar>
            <w:vAlign w:val="center"/>
          </w:tcPr>
          <w:p w14:paraId="08E0B254" w14:textId="6B438C85" w:rsidR="0052536B" w:rsidRPr="00830EE2" w:rsidRDefault="0052536B" w:rsidP="5FA5399C">
            <w:pPr>
              <w:rPr>
                <w:rFonts w:ascii="Arial" w:eastAsiaTheme="minorEastAsia" w:hAnsi="Arial" w:cs="Arial"/>
                <w:sz w:val="20"/>
                <w:szCs w:val="20"/>
              </w:rPr>
            </w:pPr>
          </w:p>
        </w:tc>
      </w:tr>
      <w:tr w:rsidR="0052536B" w:rsidRPr="004C0EBD" w14:paraId="7E879F35" w14:textId="77777777" w:rsidTr="008156C8">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Pr>
                <w:rFonts w:ascii="Arial" w:hAnsi="Arial"/>
                <w:sz w:val="20"/>
              </w:rPr>
              <w:t>Schoorl</w:t>
            </w:r>
            <w:proofErr w:type="spellEnd"/>
          </w:p>
        </w:tc>
        <w:tc>
          <w:tcPr>
            <w:tcW w:w="2194" w:type="dxa"/>
            <w:tcMar>
              <w:top w:w="28" w:type="dxa"/>
              <w:bottom w:w="28" w:type="dxa"/>
            </w:tcMar>
            <w:vAlign w:val="center"/>
          </w:tcPr>
          <w:p w14:paraId="22548B1A" w14:textId="69A26FC1" w:rsidR="0052536B" w:rsidRPr="00830EE2" w:rsidRDefault="0052536B" w:rsidP="00A3595E">
            <w:pPr>
              <w:rPr>
                <w:rFonts w:ascii="Arial" w:hAnsi="Arial" w:cs="Arial"/>
                <w:sz w:val="20"/>
                <w:szCs w:val="20"/>
              </w:rPr>
            </w:pPr>
          </w:p>
        </w:tc>
        <w:tc>
          <w:tcPr>
            <w:tcW w:w="2533" w:type="dxa"/>
            <w:tcMar>
              <w:top w:w="28" w:type="dxa"/>
              <w:bottom w:w="28" w:type="dxa"/>
            </w:tcMar>
            <w:vAlign w:val="center"/>
          </w:tcPr>
          <w:p w14:paraId="206930F3" w14:textId="1972C4FA" w:rsidR="0052536B" w:rsidRPr="00830EE2" w:rsidRDefault="0052536B" w:rsidP="00A3595E">
            <w:pPr>
              <w:rPr>
                <w:rFonts w:ascii="Arial" w:hAnsi="Arial" w:cs="Arial"/>
                <w:sz w:val="20"/>
                <w:szCs w:val="20"/>
              </w:rPr>
            </w:pPr>
          </w:p>
        </w:tc>
      </w:tr>
      <w:tr w:rsidR="5FA5399C" w:rsidRPr="004C0EBD" w14:paraId="6B67DA41" w14:textId="77777777" w:rsidTr="008156C8">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Pr>
                <w:rFonts w:ascii="Arial" w:hAnsi="Arial"/>
                <w:sz w:val="20"/>
              </w:rPr>
              <w:t>Alfen</w:t>
            </w:r>
            <w:proofErr w:type="spellEnd"/>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17A62432" w:rsidR="5FA5399C" w:rsidRPr="008156C8" w:rsidRDefault="5FA5399C" w:rsidP="5FA5399C">
            <w:pPr>
              <w:rPr>
                <w:rFonts w:ascii="Arial" w:hAnsi="Arial" w:cs="Arial"/>
                <w:sz w:val="20"/>
                <w:szCs w:val="20"/>
                <w:lang w:val="en-IE"/>
              </w:rPr>
            </w:pPr>
          </w:p>
        </w:tc>
        <w:tc>
          <w:tcPr>
            <w:tcW w:w="2533" w:type="dxa"/>
            <w:tcMar>
              <w:top w:w="28" w:type="dxa"/>
              <w:bottom w:w="28" w:type="dxa"/>
            </w:tcMar>
            <w:vAlign w:val="center"/>
          </w:tcPr>
          <w:p w14:paraId="64147A1A" w14:textId="62FB6BA2" w:rsidR="5FA5399C" w:rsidRPr="00830EE2" w:rsidRDefault="5FA5399C" w:rsidP="5FA5399C">
            <w:pPr>
              <w:rPr>
                <w:rFonts w:ascii="Arial" w:hAnsi="Arial" w:cs="Arial"/>
                <w:sz w:val="20"/>
                <w:szCs w:val="20"/>
              </w:rPr>
            </w:pPr>
          </w:p>
        </w:tc>
      </w:tr>
      <w:tr w:rsidR="5FA5399C" w:rsidRPr="004C0EBD" w14:paraId="00D67DD7" w14:textId="77777777" w:rsidTr="008156C8">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proofErr w:type="spellStart"/>
            <w:r>
              <w:rPr>
                <w:rFonts w:ascii="Arial" w:hAnsi="Arial"/>
                <w:sz w:val="20"/>
              </w:rPr>
              <w:t>Zwolle</w:t>
            </w:r>
            <w:proofErr w:type="spellEnd"/>
          </w:p>
        </w:tc>
        <w:tc>
          <w:tcPr>
            <w:tcW w:w="2194" w:type="dxa"/>
            <w:tcMar>
              <w:top w:w="28" w:type="dxa"/>
              <w:bottom w:w="28" w:type="dxa"/>
            </w:tcMar>
            <w:vAlign w:val="center"/>
          </w:tcPr>
          <w:p w14:paraId="73C755F4" w14:textId="5BC746EA" w:rsidR="5FA5399C" w:rsidRPr="008156C8" w:rsidRDefault="5FA5399C" w:rsidP="5FA5399C">
            <w:pPr>
              <w:rPr>
                <w:rFonts w:ascii="Arial" w:hAnsi="Arial" w:cs="Arial"/>
                <w:sz w:val="20"/>
                <w:szCs w:val="20"/>
                <w:lang w:val="en-IE"/>
              </w:rPr>
            </w:pPr>
          </w:p>
        </w:tc>
        <w:tc>
          <w:tcPr>
            <w:tcW w:w="2533" w:type="dxa"/>
            <w:tcMar>
              <w:top w:w="28" w:type="dxa"/>
              <w:bottom w:w="28" w:type="dxa"/>
            </w:tcMar>
            <w:vAlign w:val="center"/>
          </w:tcPr>
          <w:p w14:paraId="0A535D25" w14:textId="625D0442" w:rsidR="5FA5399C" w:rsidRPr="00830EE2" w:rsidRDefault="5FA5399C" w:rsidP="5FA5399C">
            <w:pPr>
              <w:rPr>
                <w:rFonts w:ascii="Arial" w:hAnsi="Arial" w:cs="Arial"/>
                <w:sz w:val="20"/>
                <w:szCs w:val="20"/>
              </w:rPr>
            </w:pPr>
          </w:p>
        </w:tc>
      </w:tr>
      <w:tr w:rsidR="00C81F79" w:rsidRPr="004C0EBD" w14:paraId="0656996A" w14:textId="77777777" w:rsidTr="008156C8">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proofErr w:type="spellStart"/>
            <w:r>
              <w:rPr>
                <w:rFonts w:ascii="Arial" w:hAnsi="Arial"/>
                <w:sz w:val="20"/>
              </w:rPr>
              <w:t>Nijmegen</w:t>
            </w:r>
            <w:proofErr w:type="spellEnd"/>
            <w:r>
              <w:rPr>
                <w:rFonts w:ascii="Arial" w:hAnsi="Arial"/>
                <w:sz w:val="20"/>
              </w:rPr>
              <w:t>, NL</w:t>
            </w:r>
          </w:p>
        </w:tc>
        <w:tc>
          <w:tcPr>
            <w:tcW w:w="2194" w:type="dxa"/>
            <w:tcMar>
              <w:top w:w="28" w:type="dxa"/>
              <w:bottom w:w="28" w:type="dxa"/>
            </w:tcMar>
            <w:vAlign w:val="center"/>
          </w:tcPr>
          <w:p w14:paraId="6628BE06" w14:textId="06F8540E" w:rsidR="00C81F79" w:rsidRPr="00830EE2" w:rsidRDefault="00C81F79" w:rsidP="00C81F79">
            <w:pPr>
              <w:rPr>
                <w:rFonts w:ascii="Arial" w:hAnsi="Arial" w:cs="Arial"/>
                <w:sz w:val="20"/>
                <w:szCs w:val="20"/>
              </w:rPr>
            </w:pPr>
          </w:p>
        </w:tc>
        <w:tc>
          <w:tcPr>
            <w:tcW w:w="2533" w:type="dxa"/>
            <w:tcMar>
              <w:top w:w="28" w:type="dxa"/>
              <w:bottom w:w="28" w:type="dxa"/>
            </w:tcMar>
            <w:vAlign w:val="center"/>
          </w:tcPr>
          <w:p w14:paraId="440EC98A" w14:textId="3A75372D" w:rsidR="00C81F79" w:rsidRPr="00830EE2" w:rsidRDefault="004664C1" w:rsidP="00C81F79">
            <w:pPr>
              <w:rPr>
                <w:rFonts w:ascii="Arial" w:hAnsi="Arial" w:cs="Arial"/>
                <w:sz w:val="20"/>
                <w:szCs w:val="20"/>
              </w:rPr>
            </w:pPr>
            <w:hyperlink r:id="rId20" w:history="1"/>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4C0EBD" w:rsidRDefault="5FA5399C">
      <w:r>
        <w:br w:type="page"/>
      </w:r>
    </w:p>
    <w:p w14:paraId="6FA05133" w14:textId="77777777" w:rsidR="006A5081" w:rsidRDefault="5FA5399C" w:rsidP="00AE6706">
      <w:pPr>
        <w:pStyle w:val="MH1"/>
      </w:pPr>
      <w:bookmarkStart w:id="91" w:name="_Toc180504668"/>
      <w:r>
        <w:t>Приложение 5 — Поддръжници за</w:t>
      </w:r>
      <w:bookmarkEnd w:id="91"/>
      <w:r>
        <w:t xml:space="preserve"> </w:t>
      </w:r>
    </w:p>
    <w:p w14:paraId="0F9716BC" w14:textId="72422C09" w:rsidR="00077532" w:rsidRPr="004C0EBD" w:rsidRDefault="5FA5399C" w:rsidP="00AE6706">
      <w:pPr>
        <w:pStyle w:val="MH1"/>
      </w:pPr>
      <w:bookmarkStart w:id="92" w:name="_Toc180504669"/>
      <w:r>
        <w:t>заемен капитал и собствен капитал</w:t>
      </w:r>
      <w:r>
        <w:rPr>
          <w:rStyle w:val="FootnoteReference"/>
        </w:rPr>
        <w:t>2</w:t>
      </w:r>
      <w:bookmarkEnd w:id="92"/>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Моля, имайте предвид: </w:t>
      </w:r>
      <w:r>
        <w:t xml:space="preserve">Списъкът по-долу не е изчерпателен. Не сме проучили опита, качеството или тарифите на изброените по-долу консултанти.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Тип финансиране</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Дружество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Уебсайт</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Електронна поща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Пасиви</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proofErr w:type="spellStart"/>
            <w:r>
              <w:rPr>
                <w:rFonts w:ascii="Arial" w:hAnsi="Arial"/>
                <w:sz w:val="20"/>
              </w:rPr>
              <w:t>Commerzbank</w:t>
            </w:r>
            <w:proofErr w:type="spellEnd"/>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339274EC"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proofErr w:type="spellStart"/>
            <w:r>
              <w:rPr>
                <w:rFonts w:ascii="Arial" w:hAnsi="Arial"/>
                <w:sz w:val="20"/>
              </w:rPr>
              <w:t>KfW</w:t>
            </w:r>
            <w:proofErr w:type="spellEnd"/>
            <w:r>
              <w:rPr>
                <w:rFonts w:ascii="Arial" w:hAnsi="Arial"/>
                <w:sz w:val="20"/>
              </w:rPr>
              <w:t xml:space="preserve"> </w:t>
            </w:r>
            <w:proofErr w:type="spellStart"/>
            <w:r>
              <w:rPr>
                <w:rFonts w:ascii="Arial" w:hAnsi="Arial"/>
                <w:sz w:val="20"/>
              </w:rPr>
              <w:t>Bank</w:t>
            </w:r>
            <w:proofErr w:type="spellEnd"/>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139F3275"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proofErr w:type="spellStart"/>
            <w:r>
              <w:rPr>
                <w:rFonts w:ascii="Arial" w:hAnsi="Arial"/>
                <w:sz w:val="20"/>
              </w:rPr>
              <w:t>Rabobank</w:t>
            </w:r>
            <w:proofErr w:type="spellEnd"/>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16CB62EF"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5D5F7EDB"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proofErr w:type="spellStart"/>
            <w:r>
              <w:rPr>
                <w:rFonts w:ascii="Arial" w:hAnsi="Arial"/>
                <w:sz w:val="20"/>
              </w:rPr>
              <w:t>Triodos</w:t>
            </w:r>
            <w:proofErr w:type="spellEnd"/>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149C41A7"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 xml:space="preserve">ASN </w:t>
            </w:r>
            <w:proofErr w:type="spellStart"/>
            <w:r>
              <w:rPr>
                <w:rFonts w:ascii="Arial" w:hAnsi="Arial"/>
                <w:sz w:val="20"/>
              </w:rPr>
              <w:t>Bank</w:t>
            </w:r>
            <w:proofErr w:type="spellEnd"/>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498F54D2"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 xml:space="preserve">BNG </w:t>
            </w:r>
            <w:proofErr w:type="spellStart"/>
            <w:r>
              <w:rPr>
                <w:rFonts w:ascii="Arial" w:hAnsi="Arial"/>
                <w:sz w:val="20"/>
              </w:rPr>
              <w:t>Bank</w:t>
            </w:r>
            <w:proofErr w:type="spellEnd"/>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1AB5DC20"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proofErr w:type="spellStart"/>
            <w:r>
              <w:rPr>
                <w:rFonts w:ascii="Arial" w:hAnsi="Arial"/>
                <w:b/>
                <w:color w:val="3DC3C6"/>
                <w:sz w:val="24"/>
              </w:rPr>
              <w:t>Crowdfunding</w:t>
            </w:r>
            <w:proofErr w:type="spellEnd"/>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Pr>
                <w:rFonts w:ascii="Arial" w:hAnsi="Arial"/>
                <w:sz w:val="20"/>
              </w:rPr>
              <w:t>Zonnepanelen</w:t>
            </w:r>
            <w:proofErr w:type="spellEnd"/>
            <w:r>
              <w:rPr>
                <w:rFonts w:ascii="Arial" w:hAnsi="Arial"/>
                <w:sz w:val="20"/>
              </w:rPr>
              <w:t xml:space="preserve"> </w:t>
            </w:r>
            <w:proofErr w:type="spellStart"/>
            <w:r>
              <w:rPr>
                <w:rFonts w:ascii="Arial" w:hAnsi="Arial"/>
                <w:sz w:val="20"/>
              </w:rPr>
              <w:t>Delen</w:t>
            </w:r>
            <w:proofErr w:type="spellEnd"/>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4DCA7750"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6B502109"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AE6706">
      <w:pPr>
        <w:pStyle w:val="MH1"/>
      </w:pPr>
      <w:bookmarkStart w:id="93" w:name="_Toc180504670"/>
      <w:r>
        <w:t>Приложение 6 — Проверки по „Обхват 12“</w:t>
      </w:r>
      <w:r>
        <w:rPr>
          <w:rStyle w:val="FootnoteReference"/>
        </w:rPr>
        <w:t>2</w:t>
      </w:r>
      <w:bookmarkEnd w:id="93"/>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Моля, имайте предвид: </w:t>
      </w:r>
      <w:r>
        <w:t xml:space="preserve">Списъкът по-долу не е изчерпателен. Не сме проучили опита, качеството или тарифите на изброените по-долу консултанти.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Дружество</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Място на установяване</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Уебсайт</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Електронна поща</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Omega</w:t>
            </w:r>
            <w:proofErr w:type="spellEnd"/>
            <w:r>
              <w:rPr>
                <w:rFonts w:asciiTheme="majorHAnsi" w:hAnsiTheme="majorHAnsi"/>
                <w:sz w:val="20"/>
              </w:rPr>
              <w:t xml:space="preserve"> </w:t>
            </w:r>
            <w:proofErr w:type="spellStart"/>
            <w:r>
              <w:rPr>
                <w:rFonts w:asciiTheme="majorHAnsi" w:hAnsiTheme="majorHAnsi"/>
                <w:sz w:val="20"/>
              </w:rPr>
              <w:t>Energie</w:t>
            </w:r>
            <w:proofErr w:type="spellEnd"/>
            <w:r>
              <w:rPr>
                <w:rFonts w:asciiTheme="majorHAnsi" w:hAnsiTheme="majorHAnsi"/>
                <w:sz w:val="20"/>
              </w:rPr>
              <w:t xml:space="preserve"> </w:t>
            </w:r>
            <w:proofErr w:type="spellStart"/>
            <w:r>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Vianen</w:t>
            </w:r>
            <w:proofErr w:type="spellEnd"/>
            <w:r>
              <w:rPr>
                <w:rFonts w:asciiTheme="majorHAnsi" w:hAnsiTheme="majorHAnsi"/>
                <w:sz w:val="20"/>
              </w:rPr>
              <w:t>,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649B60DA"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RJ </w:t>
            </w:r>
            <w:proofErr w:type="spellStart"/>
            <w:r>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Best</w:t>
            </w:r>
            <w:proofErr w:type="spellEnd"/>
            <w:r>
              <w:rPr>
                <w:rFonts w:asciiTheme="majorHAnsi" w:hAnsiTheme="majorHAnsi"/>
                <w:sz w:val="20"/>
              </w:rPr>
              <w: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7C104276"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16D2B429"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2C565626"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w:t>
            </w:r>
            <w:proofErr w:type="spellStart"/>
            <w:r>
              <w:rPr>
                <w:rFonts w:asciiTheme="majorHAnsi" w:hAnsiTheme="majorHAnsi"/>
                <w:sz w:val="20"/>
              </w:rPr>
              <w:t>Inspecties</w:t>
            </w:r>
            <w:proofErr w:type="spellEnd"/>
            <w:r>
              <w:rPr>
                <w:rFonts w:asciiTheme="majorHAnsi" w:hAnsiTheme="majorHAnsi"/>
                <w:sz w:val="20"/>
              </w:rPr>
              <w:t xml:space="preserve"> </w:t>
            </w:r>
            <w:proofErr w:type="spellStart"/>
            <w:r>
              <w:rPr>
                <w:rFonts w:asciiTheme="majorHAnsi" w:hAnsiTheme="majorHAnsi"/>
                <w:sz w:val="20"/>
              </w:rPr>
              <w:t>en</w:t>
            </w:r>
            <w:proofErr w:type="spellEnd"/>
            <w:r>
              <w:rPr>
                <w:rFonts w:asciiTheme="majorHAnsi" w:hAnsiTheme="majorHAnsi"/>
                <w:sz w:val="20"/>
              </w:rPr>
              <w:t xml:space="preserve"> </w:t>
            </w:r>
            <w:proofErr w:type="spellStart"/>
            <w:r>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Dronten</w:t>
            </w:r>
            <w:proofErr w:type="spellEnd"/>
            <w:r>
              <w:rPr>
                <w:rFonts w:asciiTheme="majorHAnsi" w:hAnsiTheme="majorHAnsi"/>
                <w:sz w:val="20"/>
              </w:rPr>
              <w:t>,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0733ADB3"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Apeldoorn</w:t>
            </w:r>
            <w:proofErr w:type="spellEnd"/>
            <w:r>
              <w:rPr>
                <w:rFonts w:asciiTheme="majorHAnsi" w:hAnsiTheme="majorHAnsi"/>
                <w:sz w:val="20"/>
              </w:rPr>
              <w:t>,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37DF6735"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Install</w:t>
            </w:r>
            <w:proofErr w:type="spellEnd"/>
            <w:r>
              <w:rPr>
                <w:rFonts w:asciiTheme="majorHAnsi" w:hAnsiTheme="majorHAnsi"/>
                <w:sz w:val="20"/>
              </w:rPr>
              <w:t xml:space="preserve"> </w:t>
            </w:r>
            <w:proofErr w:type="spellStart"/>
            <w:r>
              <w:rPr>
                <w:rFonts w:asciiTheme="majorHAnsi" w:hAnsiTheme="majorHAnsi"/>
                <w:sz w:val="20"/>
              </w:rPr>
              <w:t>Keur</w:t>
            </w:r>
            <w:proofErr w:type="spellEnd"/>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Woerden</w:t>
            </w:r>
            <w:proofErr w:type="spellEnd"/>
            <w:r>
              <w:rPr>
                <w:rFonts w:asciiTheme="majorHAnsi" w:hAnsiTheme="majorHAnsi"/>
                <w:sz w:val="20"/>
              </w:rPr>
              <w:t>,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10873832"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TUV </w:t>
            </w:r>
            <w:proofErr w:type="spellStart"/>
            <w:r>
              <w:rPr>
                <w:rFonts w:asciiTheme="majorHAnsi" w:hAnsiTheme="majorHAnsi"/>
                <w:sz w:val="20"/>
              </w:rPr>
              <w:t>Nord</w:t>
            </w:r>
            <w:proofErr w:type="spellEnd"/>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Son,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2E8384C5"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Beverwijk</w:t>
            </w:r>
            <w:proofErr w:type="spellEnd"/>
            <w:r>
              <w:rPr>
                <w:rFonts w:asciiTheme="majorHAnsi" w:hAnsiTheme="majorHAnsi"/>
                <w:sz w:val="20"/>
              </w:rPr>
              <w:t>,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068952A9"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AE6706">
      <w:pPr>
        <w:pStyle w:val="MH1"/>
      </w:pPr>
      <w:bookmarkStart w:id="94" w:name="_Toc180504671"/>
      <w:r>
        <w:t xml:space="preserve">Приложение 7 — Проверки на предприятието </w:t>
      </w:r>
      <w:r>
        <w:cr/>
      </w:r>
      <w:r>
        <w:br/>
        <w:t>и изпитване на произволни слънчеви панели</w:t>
      </w:r>
      <w:r>
        <w:rPr>
          <w:rStyle w:val="FootnoteReference"/>
        </w:rPr>
        <w:t>2</w:t>
      </w:r>
      <w:bookmarkEnd w:id="94"/>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Моля, имайте предвид: </w:t>
      </w:r>
      <w:r>
        <w:t xml:space="preserve">Списъкът по-долу не е изчерпателен. Не сме проучили опита, качеството или тарифите на изброените по-долу консултанти.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Дружество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Място на установяване</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Уебсайт</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Електронна поща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proofErr w:type="spellStart"/>
            <w:r>
              <w:rPr>
                <w:rFonts w:ascii="Arial" w:hAnsi="Arial"/>
                <w:sz w:val="20"/>
              </w:rPr>
              <w:t>Hong</w:t>
            </w:r>
            <w:proofErr w:type="spellEnd"/>
            <w:r>
              <w:rPr>
                <w:rFonts w:ascii="Arial" w:hAnsi="Arial"/>
                <w:sz w:val="20"/>
              </w:rPr>
              <w:t xml:space="preserve"> </w:t>
            </w:r>
            <w:proofErr w:type="spellStart"/>
            <w:r>
              <w:rPr>
                <w:rFonts w:ascii="Arial" w:hAnsi="Arial"/>
                <w:sz w:val="20"/>
              </w:rPr>
              <w:t>Kong</w:t>
            </w:r>
            <w:proofErr w:type="spellEnd"/>
            <w:r>
              <w:rPr>
                <w:rFonts w:ascii="Arial" w:hAnsi="Arial"/>
                <w:sz w:val="20"/>
              </w:rPr>
              <w:t>,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49392BDB"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proofErr w:type="spellStart"/>
            <w:r>
              <w:rPr>
                <w:rFonts w:ascii="Arial" w:hAnsi="Arial"/>
                <w:sz w:val="20"/>
              </w:rPr>
              <w:t>Odin</w:t>
            </w:r>
            <w:proofErr w:type="spellEnd"/>
            <w:r>
              <w:rPr>
                <w:rFonts w:ascii="Arial" w:hAnsi="Arial"/>
                <w:sz w:val="20"/>
              </w:rPr>
              <w:t xml:space="preserve"> </w:t>
            </w:r>
            <w:proofErr w:type="spellStart"/>
            <w:r>
              <w:rPr>
                <w:rFonts w:ascii="Arial" w:hAnsi="Arial"/>
                <w:sz w:val="20"/>
              </w:rPr>
              <w:t>Spire</w:t>
            </w:r>
            <w:proofErr w:type="spellEnd"/>
            <w:r>
              <w:rPr>
                <w:rFonts w:ascii="Arial" w:hAnsi="Arial"/>
                <w:sz w:val="20"/>
              </w:rPr>
              <w:t>/</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proofErr w:type="spellStart"/>
            <w:r>
              <w:rPr>
                <w:rFonts w:ascii="Arial" w:hAnsi="Arial"/>
                <w:sz w:val="20"/>
              </w:rPr>
              <w:t>Rotterdam</w:t>
            </w:r>
            <w:proofErr w:type="spellEnd"/>
            <w:r>
              <w:rPr>
                <w:rFonts w:ascii="Arial" w:hAnsi="Arial"/>
                <w:sz w:val="20"/>
              </w:rPr>
              <w:t>,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086FEF3A"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proofErr w:type="spellStart"/>
            <w:r>
              <w:rPr>
                <w:rFonts w:ascii="Arial" w:hAnsi="Arial"/>
                <w:sz w:val="20"/>
              </w:rPr>
              <w:t>Shanghai</w:t>
            </w:r>
            <w:proofErr w:type="spellEnd"/>
            <w:r>
              <w:rPr>
                <w:rFonts w:ascii="Arial" w:hAnsi="Arial"/>
                <w:sz w:val="20"/>
              </w:rPr>
              <w:t>,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55B7D4EA"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proofErr w:type="spellStart"/>
            <w:r>
              <w:rPr>
                <w:rFonts w:ascii="Arial" w:hAnsi="Arial"/>
                <w:sz w:val="20"/>
              </w:rPr>
              <w:t>Solar</w:t>
            </w:r>
            <w:proofErr w:type="spellEnd"/>
            <w:r>
              <w:rPr>
                <w:rFonts w:ascii="Arial" w:hAnsi="Arial"/>
                <w:sz w:val="20"/>
              </w:rPr>
              <w:t xml:space="preserve"> </w:t>
            </w:r>
            <w:proofErr w:type="spellStart"/>
            <w:r>
              <w:rPr>
                <w:rFonts w:ascii="Arial" w:hAnsi="Arial"/>
                <w:sz w:val="20"/>
              </w:rPr>
              <w:t>Tester</w:t>
            </w:r>
            <w:proofErr w:type="spellEnd"/>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proofErr w:type="spellStart"/>
            <w:r>
              <w:rPr>
                <w:rFonts w:ascii="Arial" w:hAnsi="Arial"/>
                <w:sz w:val="20"/>
              </w:rPr>
              <w:t>Schinnen</w:t>
            </w:r>
            <w:proofErr w:type="spellEnd"/>
            <w:r>
              <w:rPr>
                <w:rFonts w:ascii="Arial" w:hAnsi="Arial"/>
                <w:sz w:val="20"/>
              </w:rPr>
              <w:t>,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0C4EFEDB" w:rsidR="00781A6E" w:rsidRPr="008156C8" w:rsidRDefault="00781A6E" w:rsidP="00CB76C0">
            <w:pPr>
              <w:rPr>
                <w:rFonts w:ascii="Arial" w:eastAsiaTheme="minorEastAsia" w:hAnsi="Arial" w:cs="Arial"/>
                <w:sz w:val="20"/>
                <w:szCs w:val="20"/>
                <w:lang w:val="en-IE"/>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proofErr w:type="spellStart"/>
            <w:r>
              <w:rPr>
                <w:rFonts w:ascii="Arial" w:hAnsi="Arial"/>
                <w:sz w:val="20"/>
              </w:rPr>
              <w:t>Shanghai</w:t>
            </w:r>
            <w:proofErr w:type="spellEnd"/>
            <w:r>
              <w:rPr>
                <w:rFonts w:ascii="Arial" w:hAnsi="Arial"/>
                <w:sz w:val="20"/>
              </w:rPr>
              <w:t>,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5D34CFBF"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 xml:space="preserve">PI </w:t>
            </w:r>
            <w:proofErr w:type="spellStart"/>
            <w:r>
              <w:rPr>
                <w:rFonts w:ascii="Arial" w:hAnsi="Arial"/>
                <w:sz w:val="20"/>
              </w:rPr>
              <w:t>Berlin</w:t>
            </w:r>
            <w:proofErr w:type="spellEnd"/>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proofErr w:type="spellStart"/>
            <w:r>
              <w:rPr>
                <w:rFonts w:ascii="Arial" w:hAnsi="Arial"/>
                <w:sz w:val="20"/>
              </w:rPr>
              <w:t>Berlin</w:t>
            </w:r>
            <w:proofErr w:type="spellEnd"/>
            <w:r>
              <w:rPr>
                <w:rFonts w:ascii="Arial" w:hAnsi="Arial"/>
                <w:sz w:val="20"/>
              </w:rPr>
              <w:t>,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4E12AE9F"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AE6706">
      <w:pPr>
        <w:pStyle w:val="MH1"/>
      </w:pPr>
      <w:bookmarkStart w:id="95" w:name="_Toc180504672"/>
      <w:r>
        <w:t xml:space="preserve">Приложение 8 — Наблюдение, поддръжка </w:t>
      </w:r>
      <w:r>
        <w:cr/>
      </w:r>
      <w:r>
        <w:br/>
        <w:t>и ремонти</w:t>
      </w:r>
      <w:r>
        <w:rPr>
          <w:rStyle w:val="FootnoteReference"/>
        </w:rPr>
        <w:t>2</w:t>
      </w:r>
      <w:bookmarkEnd w:id="95"/>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Моля, имайте предвид: </w:t>
      </w:r>
      <w:r>
        <w:t xml:space="preserve">Списъкът по-долу не е изчерпателен. Не сме проучили опита, качеството или тарифите на изброените по-долу консултанти.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Дружество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Място на установяване</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Уебсайт</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Електронна поща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Pr>
                <w:rFonts w:ascii="Arial" w:hAnsi="Arial"/>
                <w:sz w:val="20"/>
              </w:rPr>
              <w:t>Zonnepark</w:t>
            </w:r>
            <w:proofErr w:type="spellEnd"/>
            <w:r>
              <w:rPr>
                <w:rFonts w:ascii="Arial" w:hAnsi="Arial"/>
                <w:sz w:val="20"/>
              </w:rPr>
              <w:t xml:space="preserve"> Services </w:t>
            </w:r>
            <w:proofErr w:type="spellStart"/>
            <w:r>
              <w:rPr>
                <w:rFonts w:ascii="Arial" w:hAnsi="Arial"/>
                <w:sz w:val="20"/>
              </w:rPr>
              <w:t>Nederland</w:t>
            </w:r>
            <w:proofErr w:type="spellEnd"/>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proofErr w:type="spellStart"/>
            <w:r>
              <w:rPr>
                <w:rFonts w:ascii="Arial" w:hAnsi="Arial"/>
                <w:sz w:val="20"/>
              </w:rPr>
              <w:t>Utrecht</w:t>
            </w:r>
            <w:proofErr w:type="spellEnd"/>
            <w:r>
              <w:rPr>
                <w:rFonts w:ascii="Arial" w:hAnsi="Arial"/>
                <w:sz w:val="20"/>
              </w:rPr>
              <w: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4D93D1B4"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proofErr w:type="spellStart"/>
            <w:r>
              <w:rPr>
                <w:rFonts w:ascii="Arial" w:hAnsi="Arial"/>
                <w:sz w:val="20"/>
              </w:rPr>
              <w:t>Hilversum</w:t>
            </w:r>
            <w:proofErr w:type="spellEnd"/>
            <w:r>
              <w:rPr>
                <w:rFonts w:ascii="Arial" w:hAnsi="Arial"/>
                <w:sz w:val="20"/>
              </w:rPr>
              <w:t>,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3AE0BE6F"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Pr>
                <w:rFonts w:ascii="Arial" w:hAnsi="Arial"/>
                <w:sz w:val="20"/>
              </w:rPr>
              <w:t>Rosmalen</w:t>
            </w:r>
            <w:proofErr w:type="spellEnd"/>
            <w:r>
              <w:rPr>
                <w:rFonts w:ascii="Arial" w:hAnsi="Arial"/>
                <w:sz w:val="20"/>
              </w:rPr>
              <w:t>,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3AA21CD3"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proofErr w:type="spellStart"/>
            <w:r>
              <w:rPr>
                <w:rFonts w:ascii="Arial" w:hAnsi="Arial"/>
                <w:sz w:val="20"/>
              </w:rPr>
              <w:t>Stern</w:t>
            </w:r>
            <w:proofErr w:type="spellEnd"/>
            <w:r>
              <w:rPr>
                <w:rFonts w:ascii="Arial" w:hAnsi="Arial"/>
                <w:sz w:val="20"/>
              </w:rPr>
              <w:t xml:space="preserve">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Pr>
                <w:rFonts w:ascii="Arial" w:hAnsi="Arial"/>
                <w:sz w:val="20"/>
              </w:rPr>
              <w:t>Schoorl</w:t>
            </w:r>
            <w:proofErr w:type="spellEnd"/>
            <w:r>
              <w:rPr>
                <w:rFonts w:ascii="Arial" w:hAnsi="Arial"/>
                <w:sz w:val="20"/>
              </w:rPr>
              <w:t>.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Не се прилага.</w:t>
            </w:r>
          </w:p>
        </w:tc>
        <w:tc>
          <w:tcPr>
            <w:tcW w:w="2266" w:type="dxa"/>
            <w:tcMar>
              <w:top w:w="28" w:type="dxa"/>
              <w:bottom w:w="28" w:type="dxa"/>
            </w:tcMar>
            <w:vAlign w:val="center"/>
          </w:tcPr>
          <w:p w14:paraId="0808A1C5" w14:textId="5AF66C35"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AE6706">
      <w:pPr>
        <w:pStyle w:val="MH1"/>
      </w:pPr>
      <w:bookmarkStart w:id="96" w:name="_Toc180504673"/>
      <w:r>
        <w:t>Приложение 9 Преглед на застрахователното покритие „CAR“</w:t>
      </w:r>
      <w:bookmarkEnd w:id="96"/>
    </w:p>
    <w:p w14:paraId="6661C4AB" w14:textId="77777777" w:rsidR="00027167" w:rsidRPr="004C0EBD" w:rsidRDefault="00027167" w:rsidP="00027167"/>
    <w:p w14:paraId="163D15A6" w14:textId="1FF9D596" w:rsidR="00DE7E3C" w:rsidRPr="00536BD4" w:rsidRDefault="00DE7E3C" w:rsidP="00AE6706">
      <w:pPr>
        <w:pStyle w:val="MH3"/>
        <w:rPr>
          <w:szCs w:val="24"/>
        </w:rPr>
      </w:pPr>
      <w:bookmarkStart w:id="97" w:name="_Toc180504674"/>
      <w:r>
        <w:t>Раздел I: Строителните работи</w:t>
      </w:r>
      <w:bookmarkEnd w:id="97"/>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Строителните работи са тези, които са договорени в договора за строителство. Застрахователната сума за строително-монтажните работи включва разходите за ремонт с цел възстановяване до състоянието преди повредата.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cr/>
      </w:r>
      <w:r>
        <w:rPr>
          <w:rFonts w:ascii="Arial" w:hAnsi="Arial"/>
        </w:rPr>
        <w:br/>
      </w:r>
      <w:r>
        <w:rPr>
          <w:rFonts w:ascii="Arial" w:hAnsi="Arial"/>
          <w:color w:val="000000" w:themeColor="text1"/>
        </w:rPr>
        <w:t xml:space="preserve">Рискове, които покрива полица „CAR“: наводнения, вятър, земетресения, щети от вода и мухъл, строителни дефекти и небрежност.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Нормалното износване и изхабяване и умишлената небрежност не се покриват.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cr/>
      </w:r>
      <w:r>
        <w:rPr>
          <w:rFonts w:ascii="Arial" w:hAnsi="Arial"/>
        </w:rPr>
        <w:br/>
      </w:r>
      <w:r>
        <w:rPr>
          <w:rFonts w:ascii="Arial" w:hAnsi="Arial"/>
          <w:i/>
          <w:color w:val="3DC3C6"/>
        </w:rPr>
        <w:t>Специално прекъсване на експлоатацията (незадължително)</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cr/>
      </w:r>
      <w:r>
        <w:rPr>
          <w:rFonts w:ascii="Arial" w:hAnsi="Arial"/>
          <w:sz w:val="2"/>
        </w:rPr>
        <w:br/>
      </w:r>
      <w:r>
        <w:rPr>
          <w:rFonts w:ascii="Arial" w:hAnsi="Arial"/>
          <w:color w:val="000000" w:themeColor="text1"/>
        </w:rPr>
        <w:t>Това покрива всички финансови загуби на застрахованата страна в резултат на прекъсване на договорената работа, което води до забавяне на планираното начало на търговските операции.</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000000" w:themeColor="text1"/>
          <w:sz w:val="24"/>
        </w:rPr>
        <w:t>Р</w:t>
      </w:r>
      <w:r>
        <w:rPr>
          <w:rFonts w:ascii="Arial" w:hAnsi="Arial"/>
          <w:b/>
          <w:color w:val="104D54"/>
          <w:sz w:val="24"/>
        </w:rPr>
        <w:t>аздел II: Отговорност</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Клаузата относно отговорността покрива отговорността на застрахованата страна </w:t>
      </w:r>
      <w:r>
        <w:rPr>
          <w:rFonts w:ascii="Arial" w:hAnsi="Arial"/>
          <w:b/>
          <w:color w:val="104D54"/>
        </w:rPr>
        <w:t>и други страни</w:t>
      </w:r>
      <w:r>
        <w:rPr>
          <w:rFonts w:ascii="Arial" w:hAnsi="Arial"/>
          <w:color w:val="104D54"/>
        </w:rPr>
        <w:t xml:space="preserve"> </w:t>
      </w:r>
      <w:r>
        <w:rPr>
          <w:rFonts w:ascii="Arial" w:hAnsi="Arial"/>
          <w:color w:val="000000" w:themeColor="text1"/>
        </w:rPr>
        <w:t>— например изпълнителите — спрямо трети страни за свързани събития за изпълнението на работата, като например:</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телесно нараняване</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загуба, повреда или унищожаване на материална собственост.</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Освен това съществува и отговорността на застрахованите страни една спрямо друга. Ако договарящата се страна причини вреда на клиента (като и двамата са застраховани по полицата), договарящата се страна може да предяви иск по полицата, тъй като отговорността ѝ спрямо клиента е покрита от нея.</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Раздел III: Съществуващо имущество на клиента</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Повреда на съществуващото имущество на клиента в резултат на застрахованите строителни работи. Това означава, че щетите са пряка последица от извършените строителни работи.</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Раздел IV: Материали на изпълнителя</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Повреда на оборудването на изпълнителя в резултат на външни събития, като буря, пожар и кражба. Това оборудване включва скелета, рамки, кабини, навеси, инструменти и др., които са необходими на обекта като част от строителните работи.</w:t>
      </w:r>
      <w:r>
        <w:rPr>
          <w:rFonts w:ascii="Arial" w:hAnsi="Arial"/>
          <w:color w:val="000000" w:themeColor="text1"/>
          <w:sz w:val="27"/>
        </w:rPr>
        <w:t xml:space="preserve"> </w:t>
      </w:r>
      <w:r>
        <w:rPr>
          <w:rFonts w:ascii="Arial" w:hAnsi="Arial"/>
          <w:color w:val="000000" w:themeColor="text1"/>
        </w:rPr>
        <w:t xml:space="preserve">Тук не се включва следното: ветроходно и плаващо оборудване, влекове, булдозери, кранове и други транспортни средства с механично задвижване.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Заглавие V: Имущество на ръководството и персонала</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Щети на лично имущество, собственост на ръководството и персонала на застрахованата страна, настъпили на обекта и причинени от външни събития, като например бури и кражба.</w:t>
      </w:r>
      <w:r>
        <w:rPr>
          <w:rFonts w:ascii="Arial" w:hAnsi="Arial"/>
          <w:color w:val="000000" w:themeColor="text1"/>
          <w:sz w:val="27"/>
        </w:rPr>
        <w:t xml:space="preserve"> </w:t>
      </w:r>
      <w:r>
        <w:rPr>
          <w:rFonts w:ascii="Arial" w:hAnsi="Arial"/>
          <w:color w:val="000000" w:themeColor="text1"/>
        </w:rPr>
        <w:t>Тук не се включва следното:</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пари в брой и ценни документи, и др.,</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превозни средства без придвижващо устройство.</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Раздел VI Транспорт</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Настоящият параграф включва повреда или кражба на строителни материали по време на транспортиране.</w:t>
      </w:r>
      <w:r>
        <w:rPr>
          <w:rFonts w:ascii="Arial" w:hAnsi="Arial"/>
        </w:rPr>
        <w:cr/>
      </w:r>
      <w:r>
        <w:rPr>
          <w:rFonts w:ascii="Arial" w:hAnsi="Arial"/>
        </w:rPr>
        <w:br/>
      </w:r>
      <w:r>
        <w:rPr>
          <w:rFonts w:ascii="Arial" w:hAnsi="Arial"/>
          <w:color w:val="000000" w:themeColor="text1"/>
        </w:rPr>
        <w:t>Важният фактор за покритието в този раздел е, че:</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транспортът се заплаща от застрахованата страна и на неин риск;</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1"/>
          <w:headerReference w:type="default" r:id="rId22"/>
          <w:footerReference w:type="even" r:id="rId23"/>
          <w:footerReference w:type="default" r:id="rId24"/>
          <w:headerReference w:type="first" r:id="rId25"/>
          <w:footerReference w:type="first" r:id="rId26"/>
          <w:pgSz w:w="11906" w:h="16838" w:code="9"/>
          <w:pgMar w:top="1417" w:right="1417" w:bottom="1417" w:left="1417" w:header="709" w:footer="709" w:gutter="0"/>
          <w:pgNumType w:start="0"/>
          <w:cols w:space="708"/>
          <w:titlePg/>
          <w:docGrid w:linePitch="360"/>
        </w:sectPr>
      </w:pPr>
      <w:r>
        <w:rPr>
          <w:rFonts w:ascii="Arial" w:hAnsi="Arial"/>
          <w:color w:val="000000" w:themeColor="text1"/>
        </w:rPr>
        <w:t>покритието трябва да важи от товаренето до разтоварването на обекта.</w:t>
      </w:r>
      <w:bookmarkEnd w:id="0"/>
    </w:p>
    <w:p w14:paraId="3B1999A5" w14:textId="6B3F44E4" w:rsidR="00026952" w:rsidRPr="00B41704" w:rsidRDefault="00026952" w:rsidP="00B41704">
      <w:pPr>
        <w:rPr>
          <w:rFonts w:eastAsia="Aptos"/>
          <w:kern w:val="2"/>
          <w:sz w:val="16"/>
          <w:szCs w:val="16"/>
          <w:lang w:val="en-IE"/>
          <w14:ligatures w14:val="standardContextual"/>
        </w:rPr>
      </w:pPr>
    </w:p>
    <w:sectPr w:rsidR="00026952" w:rsidRPr="00B41704" w:rsidSect="005E0F9F">
      <w:headerReference w:type="even" r:id="rId27"/>
      <w:headerReference w:type="default" r:id="rId28"/>
      <w:headerReference w:type="first" r:id="rId29"/>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16FD7" w14:textId="77777777" w:rsidR="0075115D" w:rsidRDefault="00751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E115D" w14:textId="77777777" w:rsidR="0075115D" w:rsidRDefault="007511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 w:id="1">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Настоящият доклад е във версия 1.0 и на по-късен етап може да бъдат добавени допълнителни имена. </w:t>
      </w:r>
    </w:p>
  </w:footnote>
  <w:footnote w:id="2">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Вж. също: </w:t>
      </w:r>
      <w:hyperlink r:id="rId1" w:history="1">
        <w:r>
          <w:rPr>
            <w:rFonts w:ascii="Arial" w:hAnsi="Arial"/>
            <w:color w:val="3DC3C6"/>
            <w:u w:val="single"/>
          </w:rPr>
          <w:t>UvW 2021-XX Praktische handreiking ZOW sjabloon UvW versie jan 2022.pdf (stowa.nl)</w:t>
        </w:r>
      </w:hyperlink>
      <w:r>
        <w:rPr>
          <w:rFonts w:ascii="Arial" w:hAnsi="Arial"/>
          <w:color w:val="3DC3C6"/>
        </w:rPr>
        <w:t xml:space="preserve">  </w:t>
      </w:r>
      <w:r>
        <w:rPr>
          <w:rFonts w:ascii="Arial" w:hAnsi="Arial"/>
        </w:rPr>
        <w:cr/>
      </w:r>
      <w:r>
        <w:rPr>
          <w:rFonts w:ascii="Arial" w:hAnsi="Arial"/>
        </w:rPr>
        <w:br/>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Например: Tibber, ANWB Energy, NextEnergy, Eneco, EnergyZero, Zonneplan, Frank Energie, Innova</w:t>
      </w:r>
    </w:p>
  </w:footnote>
  <w:footnote w:id="4">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Например: Edmij, Energypool, Scholt, Sympower</w:t>
      </w:r>
    </w:p>
  </w:footnote>
  <w:footnote w:id="5">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Ако отдавате покрив или парцел земя под наем на организатор на проект за фотоволтаична система, то тогава въпросната страна ще отговаря за финансирането.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BF200" w14:textId="250AC013"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5A9EE769"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1923137580" name="Picture 1923137580" descr="Син правоъгълник с бели граници &#10; &#10;Автоматично създадено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ОБЩНОСТ НА ПУБЛИЧНИТЕ КУПУВАЧИ</w:t>
    </w:r>
    <w:r>
      <w:rPr>
        <w:rFonts w:ascii="Arial" w:hAnsi="Arial"/>
        <w:color w:val="104D55"/>
      </w:rPr>
      <w:tab/>
      <w:t xml:space="preserve">                           </w:t>
    </w:r>
    <w:r w:rsidR="003D587C">
      <w:rPr>
        <w:rFonts w:ascii="Arial" w:hAnsi="Arial"/>
        <w:color w:val="104D55"/>
        <w:lang w:val="de-AT"/>
      </w:rPr>
      <w:br/>
    </w:r>
    <w:r>
      <w:rPr>
        <w:rFonts w:ascii="Arial" w:hAnsi="Arial"/>
        <w:b/>
        <w:color w:val="DDE3E2"/>
      </w:rPr>
      <w:t>ПРЕДВАРИТЕЛНИ ЕТАПИ НА ПРОЕКТ ЗА ФОТОВОЛТАИЧНА СИСТЕМА</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1711016841" name="Picture 1711016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1427206118" name="Picture 1427206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ОБЩНОСТ НА ПУБЛИЧНИТЕ КУПУВАЧИ</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ПРЕДВАРИТЕЛНИ ЕТАПИ НА ПРОЕКТ ЗА ФОТОВОЛТАИЧНА СИСТЕМА</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17E0"/>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587C"/>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664C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065DB"/>
    <w:rsid w:val="006171C0"/>
    <w:rsid w:val="00621554"/>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376D"/>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6780D"/>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56C8"/>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0D02"/>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834FE"/>
    <w:rsid w:val="00A92923"/>
    <w:rsid w:val="00AA5E4E"/>
    <w:rsid w:val="00AB4873"/>
    <w:rsid w:val="00AC2296"/>
    <w:rsid w:val="00AC4181"/>
    <w:rsid w:val="00AC6B7A"/>
    <w:rsid w:val="00AD0D6F"/>
    <w:rsid w:val="00AD1376"/>
    <w:rsid w:val="00AD2D1B"/>
    <w:rsid w:val="00AE6706"/>
    <w:rsid w:val="00AF0FE0"/>
    <w:rsid w:val="00B04543"/>
    <w:rsid w:val="00B04952"/>
    <w:rsid w:val="00B06E62"/>
    <w:rsid w:val="00B10834"/>
    <w:rsid w:val="00B13A99"/>
    <w:rsid w:val="00B160CC"/>
    <w:rsid w:val="00B24ED3"/>
    <w:rsid w:val="00B25774"/>
    <w:rsid w:val="00B275AA"/>
    <w:rsid w:val="00B32DA3"/>
    <w:rsid w:val="00B33249"/>
    <w:rsid w:val="00B41704"/>
    <w:rsid w:val="00B46EE4"/>
    <w:rsid w:val="00B54067"/>
    <w:rsid w:val="00B54C59"/>
    <w:rsid w:val="00B57FFA"/>
    <w:rsid w:val="00B63BBC"/>
    <w:rsid w:val="00B72237"/>
    <w:rsid w:val="00B7557D"/>
    <w:rsid w:val="00B75861"/>
    <w:rsid w:val="00B77E57"/>
    <w:rsid w:val="00B836D6"/>
    <w:rsid w:val="00B8410D"/>
    <w:rsid w:val="00B848B1"/>
    <w:rsid w:val="00B85790"/>
    <w:rsid w:val="00B94614"/>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4619"/>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bg-BG"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styleId="TOCHeading">
    <w:name w:val="TOC Heading"/>
    <w:basedOn w:val="Heading1"/>
    <w:next w:val="Normal"/>
    <w:uiPriority w:val="39"/>
    <w:unhideWhenUsed/>
    <w:qFormat/>
    <w:rsid w:val="00A00D02"/>
    <w:pPr>
      <w:outlineLvl w:val="9"/>
    </w:pPr>
    <w:rPr>
      <w:rFonts w:asciiTheme="majorHAnsi" w:hAnsiTheme="majorHAnsi" w:cstheme="majorBidi"/>
      <w:b w:val="0"/>
      <w:bCs w:val="0"/>
      <w:color w:val="2F5496" w:themeColor="accent1" w:themeShade="BF"/>
      <w:sz w:val="32"/>
      <w:szCs w:val="32"/>
      <w:lang w:val="en-US" w:eastAsia="en-US"/>
    </w:rPr>
  </w:style>
  <w:style w:type="paragraph" w:styleId="TOC3">
    <w:name w:val="toc 3"/>
    <w:basedOn w:val="Normal"/>
    <w:next w:val="Normal"/>
    <w:autoRedefine/>
    <w:uiPriority w:val="39"/>
    <w:unhideWhenUsed/>
    <w:rsid w:val="00A00D02"/>
    <w:pPr>
      <w:spacing w:after="100" w:line="259" w:lineRule="auto"/>
      <w:ind w:left="440"/>
    </w:pPr>
    <w:rPr>
      <w:rFonts w:eastAsiaTheme="minorEastAsia" w:cstheme="minorBidi"/>
      <w:kern w:val="2"/>
      <w:lang w:val="en-IE" w:eastAsia="en-IE"/>
      <w14:ligatures w14:val="standardContextual"/>
    </w:rPr>
  </w:style>
  <w:style w:type="paragraph" w:styleId="TOC4">
    <w:name w:val="toc 4"/>
    <w:basedOn w:val="Normal"/>
    <w:next w:val="Normal"/>
    <w:autoRedefine/>
    <w:uiPriority w:val="39"/>
    <w:unhideWhenUsed/>
    <w:rsid w:val="00A00D02"/>
    <w:pPr>
      <w:spacing w:after="100" w:line="259" w:lineRule="auto"/>
      <w:ind w:left="660"/>
    </w:pPr>
    <w:rPr>
      <w:rFonts w:eastAsiaTheme="minorEastAsia" w:cstheme="minorBidi"/>
      <w:kern w:val="2"/>
      <w:lang w:val="en-IE" w:eastAsia="en-IE"/>
      <w14:ligatures w14:val="standardContextual"/>
    </w:rPr>
  </w:style>
  <w:style w:type="paragraph" w:styleId="TOC5">
    <w:name w:val="toc 5"/>
    <w:basedOn w:val="Normal"/>
    <w:next w:val="Normal"/>
    <w:autoRedefine/>
    <w:uiPriority w:val="39"/>
    <w:unhideWhenUsed/>
    <w:rsid w:val="00A00D02"/>
    <w:pPr>
      <w:spacing w:after="100" w:line="259" w:lineRule="auto"/>
      <w:ind w:left="880"/>
    </w:pPr>
    <w:rPr>
      <w:rFonts w:eastAsiaTheme="minorEastAsia" w:cstheme="minorBidi"/>
      <w:kern w:val="2"/>
      <w:lang w:val="en-IE" w:eastAsia="en-IE"/>
      <w14:ligatures w14:val="standardContextual"/>
    </w:rPr>
  </w:style>
  <w:style w:type="paragraph" w:styleId="TOC6">
    <w:name w:val="toc 6"/>
    <w:basedOn w:val="Normal"/>
    <w:next w:val="Normal"/>
    <w:autoRedefine/>
    <w:uiPriority w:val="39"/>
    <w:unhideWhenUsed/>
    <w:rsid w:val="00A00D02"/>
    <w:pPr>
      <w:spacing w:after="100" w:line="259" w:lineRule="auto"/>
      <w:ind w:left="1100"/>
    </w:pPr>
    <w:rPr>
      <w:rFonts w:eastAsiaTheme="minorEastAsia" w:cstheme="minorBidi"/>
      <w:kern w:val="2"/>
      <w:lang w:val="en-IE" w:eastAsia="en-IE"/>
      <w14:ligatures w14:val="standardContextual"/>
    </w:rPr>
  </w:style>
  <w:style w:type="paragraph" w:styleId="TOC7">
    <w:name w:val="toc 7"/>
    <w:basedOn w:val="Normal"/>
    <w:next w:val="Normal"/>
    <w:autoRedefine/>
    <w:uiPriority w:val="39"/>
    <w:unhideWhenUsed/>
    <w:rsid w:val="00A00D02"/>
    <w:pPr>
      <w:spacing w:after="100" w:line="259" w:lineRule="auto"/>
      <w:ind w:left="1320"/>
    </w:pPr>
    <w:rPr>
      <w:rFonts w:eastAsiaTheme="minorEastAsia" w:cstheme="minorBidi"/>
      <w:kern w:val="2"/>
      <w:lang w:val="en-IE" w:eastAsia="en-IE"/>
      <w14:ligatures w14:val="standardContextual"/>
    </w:rPr>
  </w:style>
  <w:style w:type="paragraph" w:styleId="TOC8">
    <w:name w:val="toc 8"/>
    <w:basedOn w:val="Normal"/>
    <w:next w:val="Normal"/>
    <w:autoRedefine/>
    <w:uiPriority w:val="39"/>
    <w:unhideWhenUsed/>
    <w:rsid w:val="00A00D02"/>
    <w:pPr>
      <w:spacing w:after="100" w:line="259" w:lineRule="auto"/>
      <w:ind w:left="1540"/>
    </w:pPr>
    <w:rPr>
      <w:rFonts w:eastAsiaTheme="minorEastAsia" w:cstheme="minorBidi"/>
      <w:kern w:val="2"/>
      <w:lang w:val="en-IE" w:eastAsia="en-IE"/>
      <w14:ligatures w14:val="standardContextual"/>
    </w:rPr>
  </w:style>
  <w:style w:type="paragraph" w:styleId="TOC9">
    <w:name w:val="toc 9"/>
    <w:basedOn w:val="Normal"/>
    <w:next w:val="Normal"/>
    <w:autoRedefine/>
    <w:uiPriority w:val="39"/>
    <w:unhideWhenUsed/>
    <w:rsid w:val="00A00D02"/>
    <w:pPr>
      <w:spacing w:after="100" w:line="259" w:lineRule="auto"/>
      <w:ind w:left="1760"/>
    </w:pPr>
    <w:rPr>
      <w:rFonts w:eastAsiaTheme="minorEastAsia" w:cstheme="minorBidi"/>
      <w:kern w:val="2"/>
      <w:lang w:val="en-IE" w:eastAsia="en-IE"/>
      <w14:ligatures w14:val="standardContextual"/>
    </w:rPr>
  </w:style>
  <w:style w:type="paragraph" w:customStyle="1" w:styleId="MH1">
    <w:name w:val="MH1"/>
    <w:basedOn w:val="Style2"/>
    <w:link w:val="MH1Char"/>
    <w:qFormat/>
    <w:rsid w:val="00AE6706"/>
  </w:style>
  <w:style w:type="character" w:customStyle="1" w:styleId="Style2Char">
    <w:name w:val="Style2 Char"/>
    <w:basedOn w:val="Heading1Char"/>
    <w:link w:val="Style2"/>
    <w:rsid w:val="00AE6706"/>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AE6706"/>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AE6706"/>
    <w:pPr>
      <w:ind w:left="-851"/>
    </w:pPr>
  </w:style>
  <w:style w:type="character" w:customStyle="1" w:styleId="SUB1Char">
    <w:name w:val="SUB1 Char"/>
    <w:basedOn w:val="DefaultParagraphFont"/>
    <w:link w:val="SUB1"/>
    <w:rsid w:val="00AE6706"/>
    <w:rPr>
      <w:rFonts w:ascii="Arial" w:eastAsia="Times New Roman" w:hAnsi="Arial" w:cs="Arial"/>
      <w:b/>
      <w:color w:val="104D54"/>
      <w:sz w:val="36"/>
      <w:szCs w:val="36"/>
      <w:lang w:eastAsia="nl-NL"/>
    </w:rPr>
  </w:style>
  <w:style w:type="character" w:customStyle="1" w:styleId="MH2Char">
    <w:name w:val="MH2 Char"/>
    <w:basedOn w:val="SUB1Char"/>
    <w:link w:val="MH2"/>
    <w:rsid w:val="00AE6706"/>
    <w:rPr>
      <w:rFonts w:ascii="Arial" w:eastAsia="Times New Roman" w:hAnsi="Arial" w:cs="Arial"/>
      <w:b/>
      <w:color w:val="104D54"/>
      <w:sz w:val="36"/>
      <w:szCs w:val="36"/>
      <w:lang w:eastAsia="nl-NL"/>
    </w:rPr>
  </w:style>
  <w:style w:type="paragraph" w:customStyle="1" w:styleId="MH3">
    <w:name w:val="MH3"/>
    <w:basedOn w:val="SUB2"/>
    <w:link w:val="MH3Char"/>
    <w:qFormat/>
    <w:rsid w:val="00AE6706"/>
  </w:style>
  <w:style w:type="character" w:customStyle="1" w:styleId="SUB2Char">
    <w:name w:val="SUB2 Char"/>
    <w:basedOn w:val="DefaultParagraphFont"/>
    <w:link w:val="SUB2"/>
    <w:rsid w:val="00AE6706"/>
    <w:rPr>
      <w:rFonts w:ascii="Arial" w:eastAsia="Times New Roman" w:hAnsi="Arial" w:cs="Arial"/>
      <w:b/>
      <w:color w:val="104D54"/>
      <w:sz w:val="28"/>
      <w:szCs w:val="28"/>
      <w:lang w:eastAsia="nl-NL"/>
    </w:rPr>
  </w:style>
  <w:style w:type="character" w:customStyle="1" w:styleId="MH3Char">
    <w:name w:val="MH3 Char"/>
    <w:basedOn w:val="SUB2Char"/>
    <w:link w:val="MH3"/>
    <w:rsid w:val="00AE6706"/>
    <w:rPr>
      <w:rFonts w:ascii="Arial" w:eastAsia="Times New Roman" w:hAnsi="Arial" w:cs="Arial"/>
      <w:b/>
      <w:color w:val="104D54"/>
      <w:sz w:val="28"/>
      <w:szCs w:val="2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yperlink" Target="mailto:info.nl@encon.eu" TargetMode="Externa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footer" Target="footer2.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footer" Target="footer1.xml"/><Relationship Id="rId28" Type="http://schemas.openxmlformats.org/officeDocument/2006/relationships/header" Target="header5.xml"/><Relationship Id="rId10" Type="http://schemas.openxmlformats.org/officeDocument/2006/relationships/diagramData" Target="diagrams/data1.xml"/><Relationship Id="rId19" Type="http://schemas.openxmlformats.org/officeDocument/2006/relationships/hyperlink" Target="http://www.zonopwater.nl/" TargetMode="External"/><Relationship Id="rId31"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eader" Target="header2.xml"/><Relationship Id="rId27" Type="http://schemas.openxmlformats.org/officeDocument/2006/relationships/header" Target="header4.xm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bg-BG" sz="900"/>
            <a:t>I.</a:t>
          </a:r>
          <a:r>
            <a:rPr lang="de-AT" sz="900"/>
            <a:t> </a:t>
          </a:r>
          <a:r>
            <a:rPr lang="bg-BG" sz="900"/>
            <a:t>Предварително проучване</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bg-BG" sz="900"/>
            <a:t>II.</a:t>
          </a:r>
          <a:r>
            <a:rPr lang="de-AT" sz="900"/>
            <a:t> </a:t>
          </a:r>
          <a:r>
            <a:rPr lang="bg-BG" sz="900"/>
            <a:t>Покана за участие в търг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bg-BG" sz="900"/>
            <a:t>III.</a:t>
          </a:r>
          <a:r>
            <a:rPr lang="de-AT" sz="900"/>
            <a:t> </a:t>
          </a:r>
          <a:r>
            <a:rPr lang="bg-BG" sz="900"/>
            <a:t>Изпълнение на проекта за фотоволтаична система</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bg-BG" sz="900"/>
            <a:t>IV.</a:t>
          </a:r>
          <a:r>
            <a:rPr lang="de-AT" sz="900"/>
            <a:t> </a:t>
          </a:r>
          <a:r>
            <a:rPr lang="bg-BG" sz="900"/>
            <a:t>Оперативен етап</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bg-BG" sz="900"/>
            <a:t>V. Излизане от употреба/разглобяване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bg-BG" sz="900" kern="1200"/>
            <a:t>I.</a:t>
          </a:r>
          <a:r>
            <a:rPr lang="de-AT" sz="900" kern="1200"/>
            <a:t> </a:t>
          </a:r>
          <a:r>
            <a:rPr lang="bg-BG" sz="900" kern="1200"/>
            <a:t>Предварително проучване</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bg-BG" sz="900" kern="1200"/>
            <a:t>II.</a:t>
          </a:r>
          <a:r>
            <a:rPr lang="de-AT" sz="900" kern="1200"/>
            <a:t> </a:t>
          </a:r>
          <a:r>
            <a:rPr lang="bg-BG" sz="900" kern="1200"/>
            <a:t>Покана за участие в търг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bg-BG" sz="900" kern="1200"/>
            <a:t>III.</a:t>
          </a:r>
          <a:r>
            <a:rPr lang="de-AT" sz="900" kern="1200"/>
            <a:t> </a:t>
          </a:r>
          <a:r>
            <a:rPr lang="bg-BG" sz="900" kern="1200"/>
            <a:t>Изпълнение на проекта за фотоволтаична система</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bg-BG" sz="900" kern="1200"/>
            <a:t>IV.</a:t>
          </a:r>
          <a:r>
            <a:rPr lang="de-AT" sz="900" kern="1200"/>
            <a:t> </a:t>
          </a:r>
          <a:r>
            <a:rPr lang="bg-BG" sz="900" kern="1200"/>
            <a:t>Оперативен етап</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bg-BG" sz="900" kern="1200"/>
            <a:t>V. Излизане от употреба/разглобяване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2.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43</Pages>
  <Words>9047</Words>
  <Characters>52657</Characters>
  <Application>Microsoft Office Word</Application>
  <DocSecurity>0</DocSecurity>
  <Lines>4787</Lines>
  <Paragraphs>979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60725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5</cp:revision>
  <cp:lastPrinted>2024-10-22T13:39:00Z</cp:lastPrinted>
  <dcterms:created xsi:type="dcterms:W3CDTF">2024-09-17T12:28:00Z</dcterms:created>
  <dcterms:modified xsi:type="dcterms:W3CDTF">2024-10-22T13:50:00Z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