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5B7E7AB6">
                <wp:simplePos x="0" y="0"/>
                <wp:positionH relativeFrom="margin">
                  <wp:posOffset>-347345</wp:posOffset>
                </wp:positionH>
                <wp:positionV relativeFrom="margin">
                  <wp:posOffset>2157730</wp:posOffset>
                </wp:positionV>
                <wp:extent cx="5888990" cy="4171950"/>
                <wp:effectExtent l="0" t="0" r="1651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88990" cy="4171950"/>
                        </a:xfrm>
                        <a:prstGeom prst="rect">
                          <a:avLst/>
                        </a:prstGeom>
                        <a:noFill/>
                        <a:ln w="6350">
                          <a:solidFill>
                            <a:schemeClr val="accent1"/>
                          </a:solidFill>
                        </a:ln>
                      </wps:spPr>
                      <wps:txbx>
                        <w:txbxContent>
                          <w:p w14:paraId="433801F0" w14:textId="33C6B9EE" w:rsidR="006E1674" w:rsidRPr="008843D6" w:rsidRDefault="006E1674" w:rsidP="00C36793">
                            <w:pPr>
                              <w:pStyle w:val="Style2"/>
                              <w:ind w:left="0"/>
                              <w:rPr>
                                <w:sz w:val="32"/>
                                <w:szCs w:val="32"/>
                              </w:rPr>
                            </w:pPr>
                            <w:bookmarkStart w:id="1" w:name="_Toc176864053"/>
                            <w:bookmarkStart w:id="2" w:name="_Toc176867393"/>
                            <w:bookmarkStart w:id="3" w:name="_Toc176867782"/>
                            <w:bookmarkStart w:id="4" w:name="_Toc176868162"/>
                            <w:bookmarkStart w:id="5" w:name="_Toc176868900"/>
                            <w:bookmarkStart w:id="6" w:name="_Toc176869014"/>
                            <w:r>
                              <w:rPr>
                                <w:color w:val="FFFFFF" w:themeColor="background1"/>
                                <w:sz w:val="56"/>
                              </w:rPr>
                              <w:t>Προκαταρκτικά στάδια έργου φωτοβολταϊκών</w:t>
                            </w:r>
                            <w:r w:rsidR="00C36793" w:rsidRPr="000B38A0">
                              <w:rPr>
                                <w:color w:val="FFFFFF" w:themeColor="background1"/>
                                <w:sz w:val="56"/>
                              </w:rPr>
                              <w:br/>
                            </w:r>
                            <w:r w:rsidR="00C36793" w:rsidRPr="00C36793">
                              <w:rPr>
                                <w:color w:val="FFFFFF" w:themeColor="background1"/>
                                <w:sz w:val="56"/>
                              </w:rPr>
                              <w:br/>
                            </w:r>
                            <w:r>
                              <w:rPr>
                                <w:b w:val="0"/>
                                <w:color w:val="104D54"/>
                                <w:sz w:val="32"/>
                              </w:rPr>
                              <w:t>Συνοπτικός οδηγός για:</w:t>
                            </w:r>
                            <w:bookmarkEnd w:id="1"/>
                            <w:bookmarkEnd w:id="2"/>
                            <w:bookmarkEnd w:id="3"/>
                            <w:bookmarkEnd w:id="4"/>
                            <w:bookmarkEnd w:id="5"/>
                            <w:bookmarkEnd w:id="6"/>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7" w:name="_Toc176864054"/>
                            <w:bookmarkStart w:id="8" w:name="_Toc176867394"/>
                            <w:bookmarkStart w:id="9" w:name="_Toc176867783"/>
                            <w:bookmarkStart w:id="10" w:name="_Toc176868163"/>
                            <w:bookmarkStart w:id="11" w:name="_Toc176868901"/>
                            <w:bookmarkStart w:id="12" w:name="_Toc176869015"/>
                            <w:r>
                              <w:rPr>
                                <w:b w:val="0"/>
                                <w:color w:val="FFFFFF" w:themeColor="background1"/>
                                <w:sz w:val="32"/>
                              </w:rPr>
                              <w:t>έργα με περισσότερους από 100 ηλιακούς συλλέκτες</w:t>
                            </w:r>
                            <w:bookmarkEnd w:id="7"/>
                            <w:bookmarkEnd w:id="8"/>
                            <w:bookmarkEnd w:id="9"/>
                            <w:bookmarkEnd w:id="10"/>
                            <w:bookmarkEnd w:id="11"/>
                            <w:bookmarkEnd w:id="12"/>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13" w:name="_Toc176864055"/>
                            <w:bookmarkStart w:id="14" w:name="_Toc176867395"/>
                            <w:bookmarkStart w:id="15" w:name="_Toc176867784"/>
                            <w:bookmarkStart w:id="16" w:name="_Toc176868164"/>
                            <w:bookmarkStart w:id="17" w:name="_Toc176868902"/>
                            <w:bookmarkStart w:id="18" w:name="_Toc176869016"/>
                            <w:r>
                              <w:rPr>
                                <w:b w:val="0"/>
                                <w:color w:val="FFFFFF" w:themeColor="background1"/>
                                <w:sz w:val="32"/>
                              </w:rPr>
                              <w:t>οργανισμούς του δημόσιου τομέα και ιδιωτικούς οργανισμούς</w:t>
                            </w:r>
                            <w:bookmarkEnd w:id="13"/>
                            <w:bookmarkEnd w:id="14"/>
                            <w:bookmarkEnd w:id="15"/>
                            <w:bookmarkEnd w:id="16"/>
                            <w:bookmarkEnd w:id="17"/>
                            <w:bookmarkEnd w:id="18"/>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9" w:name="_Toc176864056"/>
                            <w:bookmarkStart w:id="20" w:name="_Toc176867396"/>
                            <w:bookmarkStart w:id="21" w:name="_Toc176867785"/>
                            <w:bookmarkStart w:id="22" w:name="_Toc176868165"/>
                            <w:bookmarkStart w:id="23" w:name="_Toc176868903"/>
                            <w:bookmarkStart w:id="24" w:name="_Toc176869017"/>
                            <w:r>
                              <w:rPr>
                                <w:color w:val="104D54"/>
                                <w:sz w:val="28"/>
                              </w:rPr>
                              <w:t>Πώς θα διασφαλίσετε καλές τιμές και καλή ποιότητα</w:t>
                            </w:r>
                            <w:bookmarkEnd w:id="19"/>
                            <w:bookmarkEnd w:id="20"/>
                            <w:bookmarkEnd w:id="21"/>
                            <w:bookmarkEnd w:id="22"/>
                            <w:bookmarkEnd w:id="23"/>
                            <w:bookmarkEnd w:id="24"/>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5" w:name="_Toc176864057"/>
                            <w:bookmarkStart w:id="26" w:name="_Toc176867397"/>
                            <w:bookmarkStart w:id="27" w:name="_Toc176867786"/>
                            <w:bookmarkStart w:id="28" w:name="_Toc176868166"/>
                            <w:bookmarkStart w:id="29" w:name="_Toc176868904"/>
                            <w:bookmarkStart w:id="30" w:name="_Toc176869018"/>
                            <w:r>
                              <w:rPr>
                                <w:color w:val="104D54"/>
                                <w:sz w:val="28"/>
                              </w:rPr>
                              <w:t>Ασφάλεια και πυρασφάλεια</w:t>
                            </w:r>
                            <w:bookmarkEnd w:id="25"/>
                            <w:bookmarkEnd w:id="26"/>
                            <w:bookmarkEnd w:id="27"/>
                            <w:bookmarkEnd w:id="28"/>
                            <w:bookmarkEnd w:id="29"/>
                            <w:bookmarkEnd w:id="30"/>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1" w:name="_Toc176864058"/>
                            <w:bookmarkStart w:id="32" w:name="_Toc176867398"/>
                            <w:bookmarkStart w:id="33" w:name="_Toc176867787"/>
                            <w:bookmarkStart w:id="34" w:name="_Toc176868167"/>
                            <w:bookmarkStart w:id="35" w:name="_Toc176868905"/>
                            <w:bookmarkStart w:id="36" w:name="_Toc176869019"/>
                            <w:r>
                              <w:rPr>
                                <w:color w:val="104D54"/>
                                <w:sz w:val="28"/>
                              </w:rPr>
                              <w:t>Επιλογές βιωσιμότητας</w:t>
                            </w:r>
                            <w:bookmarkEnd w:id="31"/>
                            <w:bookmarkEnd w:id="32"/>
                            <w:bookmarkEnd w:id="33"/>
                            <w:bookmarkEnd w:id="34"/>
                            <w:bookmarkEnd w:id="35"/>
                            <w:bookmarkEnd w:id="36"/>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37" w:name="_Toc176864059"/>
                            <w:bookmarkStart w:id="38" w:name="_Toc176867399"/>
                            <w:bookmarkStart w:id="39" w:name="_Toc176867788"/>
                            <w:bookmarkStart w:id="40" w:name="_Toc176868168"/>
                            <w:bookmarkStart w:id="41" w:name="_Toc176868906"/>
                            <w:bookmarkStart w:id="42" w:name="_Toc176869020"/>
                            <w:r>
                              <w:rPr>
                                <w:color w:val="104D54"/>
                                <w:sz w:val="28"/>
                              </w:rPr>
                              <w:t>Πρακτικές συμβουλές και ονόματα</w:t>
                            </w:r>
                            <w:bookmarkEnd w:id="37"/>
                            <w:bookmarkEnd w:id="38"/>
                            <w:bookmarkEnd w:id="39"/>
                            <w:bookmarkEnd w:id="40"/>
                            <w:bookmarkEnd w:id="41"/>
                            <w:bookmarkEnd w:id="42"/>
                          </w:p>
                          <w:p w14:paraId="5EAD48E1" w14:textId="7E551FD0" w:rsidR="006E1674" w:rsidRPr="00282220" w:rsidRDefault="006E1674" w:rsidP="00282220">
                            <w:pPr>
                              <w:pStyle w:val="Style2"/>
                              <w:ind w:left="360" w:firstLine="348"/>
                              <w:rPr>
                                <w:bCs/>
                                <w:color w:val="104D54"/>
                                <w:sz w:val="28"/>
                                <w:szCs w:val="28"/>
                              </w:rPr>
                            </w:pPr>
                            <w:bookmarkStart w:id="43" w:name="_Toc176864060"/>
                            <w:bookmarkStart w:id="44" w:name="_Toc176867400"/>
                            <w:bookmarkStart w:id="45" w:name="_Toc176867789"/>
                            <w:bookmarkStart w:id="46" w:name="_Toc176868169"/>
                            <w:bookmarkStart w:id="47" w:name="_Toc176868907"/>
                            <w:bookmarkStart w:id="48" w:name="_Toc176869021"/>
                            <w:r>
                              <w:rPr>
                                <w:color w:val="104D54"/>
                                <w:sz w:val="28"/>
                              </w:rPr>
                              <w:t>εταιρειών παροχής τεχνικών συμβουλών</w:t>
                            </w:r>
                            <w:bookmarkEnd w:id="43"/>
                            <w:bookmarkEnd w:id="44"/>
                            <w:bookmarkEnd w:id="45"/>
                            <w:bookmarkEnd w:id="46"/>
                            <w:bookmarkEnd w:id="47"/>
                            <w:bookmarkEnd w:id="48"/>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7.35pt;margin-top:169.9pt;width:463.7pt;height:328.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" filled="f" strokecolor="#4472c4 [3204]" strokeweight=".5pt">
                <v:path arrowok="t"/>
                <v:textbox>
                  <w:txbxContent>
                    <w:p w14:paraId="433801F0" w14:textId="33C6B9EE" w:rsidR="006E1674" w:rsidRPr="008843D6" w:rsidRDefault="006E1674" w:rsidP="00C36793">
                      <w:pPr>
                        <w:pStyle w:val="Style2"/>
                        <w:ind w:left="0"/>
                        <w:rPr>
                          <w:sz w:val="32"/>
                          <w:szCs w:val="32"/>
                        </w:rPr>
                      </w:pPr>
                      <w:bookmarkStart w:id="49" w:name="_Toc176864053"/>
                      <w:bookmarkStart w:id="50" w:name="_Toc176867393"/>
                      <w:bookmarkStart w:id="51" w:name="_Toc176867782"/>
                      <w:bookmarkStart w:id="52" w:name="_Toc176868162"/>
                      <w:bookmarkStart w:id="53" w:name="_Toc176868900"/>
                      <w:bookmarkStart w:id="54" w:name="_Toc176869014"/>
                      <w:r>
                        <w:rPr>
                          <w:color w:val="FFFFFF" w:themeColor="background1"/>
                          <w:sz w:val="56"/>
                        </w:rPr>
                        <w:t>Προκαταρκτικά στάδια έργου φωτοβολταϊκών</w:t>
                      </w:r>
                      <w:r w:rsidR="00C36793" w:rsidRPr="000B38A0">
                        <w:rPr>
                          <w:color w:val="FFFFFF" w:themeColor="background1"/>
                          <w:sz w:val="56"/>
                        </w:rPr>
                        <w:br/>
                      </w:r>
                      <w:r w:rsidR="00C36793" w:rsidRPr="00C36793">
                        <w:rPr>
                          <w:color w:val="FFFFFF" w:themeColor="background1"/>
                          <w:sz w:val="56"/>
                        </w:rPr>
                        <w:br/>
                      </w:r>
                      <w:r>
                        <w:rPr>
                          <w:b w:val="0"/>
                          <w:color w:val="104D54"/>
                          <w:sz w:val="32"/>
                        </w:rPr>
                        <w:t>Συνοπτικός οδηγός για:</w:t>
                      </w:r>
                      <w:bookmarkEnd w:id="49"/>
                      <w:bookmarkEnd w:id="50"/>
                      <w:bookmarkEnd w:id="51"/>
                      <w:bookmarkEnd w:id="52"/>
                      <w:bookmarkEnd w:id="53"/>
                      <w:bookmarkEnd w:id="54"/>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55" w:name="_Toc176864054"/>
                      <w:bookmarkStart w:id="56" w:name="_Toc176867394"/>
                      <w:bookmarkStart w:id="57" w:name="_Toc176867783"/>
                      <w:bookmarkStart w:id="58" w:name="_Toc176868163"/>
                      <w:bookmarkStart w:id="59" w:name="_Toc176868901"/>
                      <w:bookmarkStart w:id="60" w:name="_Toc176869015"/>
                      <w:r>
                        <w:rPr>
                          <w:b w:val="0"/>
                          <w:color w:val="FFFFFF" w:themeColor="background1"/>
                          <w:sz w:val="32"/>
                        </w:rPr>
                        <w:t>έργα με περισσότερους από 100 ηλιακούς συλλέκτες</w:t>
                      </w:r>
                      <w:bookmarkEnd w:id="55"/>
                      <w:bookmarkEnd w:id="56"/>
                      <w:bookmarkEnd w:id="57"/>
                      <w:bookmarkEnd w:id="58"/>
                      <w:bookmarkEnd w:id="59"/>
                      <w:bookmarkEnd w:id="6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61" w:name="_Toc176864055"/>
                      <w:bookmarkStart w:id="62" w:name="_Toc176867395"/>
                      <w:bookmarkStart w:id="63" w:name="_Toc176867784"/>
                      <w:bookmarkStart w:id="64" w:name="_Toc176868164"/>
                      <w:bookmarkStart w:id="65" w:name="_Toc176868902"/>
                      <w:bookmarkStart w:id="66" w:name="_Toc176869016"/>
                      <w:r>
                        <w:rPr>
                          <w:b w:val="0"/>
                          <w:color w:val="FFFFFF" w:themeColor="background1"/>
                          <w:sz w:val="32"/>
                        </w:rPr>
                        <w:t>οργανισμούς του δημόσιου τομέα και ιδιωτικούς οργανισμούς</w:t>
                      </w:r>
                      <w:bookmarkEnd w:id="61"/>
                      <w:bookmarkEnd w:id="62"/>
                      <w:bookmarkEnd w:id="63"/>
                      <w:bookmarkEnd w:id="64"/>
                      <w:bookmarkEnd w:id="65"/>
                      <w:bookmarkEnd w:id="66"/>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67" w:name="_Toc176864056"/>
                      <w:bookmarkStart w:id="68" w:name="_Toc176867396"/>
                      <w:bookmarkStart w:id="69" w:name="_Toc176867785"/>
                      <w:bookmarkStart w:id="70" w:name="_Toc176868165"/>
                      <w:bookmarkStart w:id="71" w:name="_Toc176868903"/>
                      <w:bookmarkStart w:id="72" w:name="_Toc176869017"/>
                      <w:r>
                        <w:rPr>
                          <w:color w:val="104D54"/>
                          <w:sz w:val="28"/>
                        </w:rPr>
                        <w:t>Πώς θα διασφαλίσετε καλές τιμές και καλή ποιότητα</w:t>
                      </w:r>
                      <w:bookmarkEnd w:id="67"/>
                      <w:bookmarkEnd w:id="68"/>
                      <w:bookmarkEnd w:id="69"/>
                      <w:bookmarkEnd w:id="70"/>
                      <w:bookmarkEnd w:id="71"/>
                      <w:bookmarkEnd w:id="72"/>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73" w:name="_Toc176864057"/>
                      <w:bookmarkStart w:id="74" w:name="_Toc176867397"/>
                      <w:bookmarkStart w:id="75" w:name="_Toc176867786"/>
                      <w:bookmarkStart w:id="76" w:name="_Toc176868166"/>
                      <w:bookmarkStart w:id="77" w:name="_Toc176868904"/>
                      <w:bookmarkStart w:id="78" w:name="_Toc176869018"/>
                      <w:r>
                        <w:rPr>
                          <w:color w:val="104D54"/>
                          <w:sz w:val="28"/>
                        </w:rPr>
                        <w:t>Ασφάλεια και πυρασφάλεια</w:t>
                      </w:r>
                      <w:bookmarkEnd w:id="73"/>
                      <w:bookmarkEnd w:id="74"/>
                      <w:bookmarkEnd w:id="75"/>
                      <w:bookmarkEnd w:id="76"/>
                      <w:bookmarkEnd w:id="77"/>
                      <w:bookmarkEnd w:id="78"/>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79" w:name="_Toc176864058"/>
                      <w:bookmarkStart w:id="80" w:name="_Toc176867398"/>
                      <w:bookmarkStart w:id="81" w:name="_Toc176867787"/>
                      <w:bookmarkStart w:id="82" w:name="_Toc176868167"/>
                      <w:bookmarkStart w:id="83" w:name="_Toc176868905"/>
                      <w:bookmarkStart w:id="84" w:name="_Toc176869019"/>
                      <w:r>
                        <w:rPr>
                          <w:color w:val="104D54"/>
                          <w:sz w:val="28"/>
                        </w:rPr>
                        <w:t>Επιλογές βιωσιμότητας</w:t>
                      </w:r>
                      <w:bookmarkEnd w:id="79"/>
                      <w:bookmarkEnd w:id="80"/>
                      <w:bookmarkEnd w:id="81"/>
                      <w:bookmarkEnd w:id="82"/>
                      <w:bookmarkEnd w:id="83"/>
                      <w:bookmarkEnd w:id="84"/>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85" w:name="_Toc176864059"/>
                      <w:bookmarkStart w:id="86" w:name="_Toc176867399"/>
                      <w:bookmarkStart w:id="87" w:name="_Toc176867788"/>
                      <w:bookmarkStart w:id="88" w:name="_Toc176868168"/>
                      <w:bookmarkStart w:id="89" w:name="_Toc176868906"/>
                      <w:bookmarkStart w:id="90" w:name="_Toc176869020"/>
                      <w:r>
                        <w:rPr>
                          <w:color w:val="104D54"/>
                          <w:sz w:val="28"/>
                        </w:rPr>
                        <w:t>Πρακτικές συμβουλές και ονόματα</w:t>
                      </w:r>
                      <w:bookmarkEnd w:id="85"/>
                      <w:bookmarkEnd w:id="86"/>
                      <w:bookmarkEnd w:id="87"/>
                      <w:bookmarkEnd w:id="88"/>
                      <w:bookmarkEnd w:id="89"/>
                      <w:bookmarkEnd w:id="90"/>
                    </w:p>
                    <w:p w14:paraId="5EAD48E1" w14:textId="7E551FD0" w:rsidR="006E1674" w:rsidRPr="00282220" w:rsidRDefault="006E1674" w:rsidP="00282220">
                      <w:pPr>
                        <w:pStyle w:val="Style2"/>
                        <w:ind w:left="360" w:firstLine="348"/>
                        <w:rPr>
                          <w:bCs/>
                          <w:color w:val="104D54"/>
                          <w:sz w:val="28"/>
                          <w:szCs w:val="28"/>
                        </w:rPr>
                      </w:pPr>
                      <w:bookmarkStart w:id="91" w:name="_Toc176864060"/>
                      <w:bookmarkStart w:id="92" w:name="_Toc176867400"/>
                      <w:bookmarkStart w:id="93" w:name="_Toc176867789"/>
                      <w:bookmarkStart w:id="94" w:name="_Toc176868169"/>
                      <w:bookmarkStart w:id="95" w:name="_Toc176868907"/>
                      <w:bookmarkStart w:id="96" w:name="_Toc176869021"/>
                      <w:r>
                        <w:rPr>
                          <w:color w:val="104D54"/>
                          <w:sz w:val="28"/>
                        </w:rPr>
                        <w:t>εταιρειών παροχής τεχνικών συμβουλών</w:t>
                      </w:r>
                      <w:bookmarkEnd w:id="91"/>
                      <w:bookmarkEnd w:id="92"/>
                      <w:bookmarkEnd w:id="93"/>
                      <w:bookmarkEnd w:id="94"/>
                      <w:bookmarkEnd w:id="95"/>
                      <w:bookmarkEnd w:id="96"/>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094DE4" w:rsidRDefault="006E1674" w:rsidP="006E1674">
                            <w:pPr>
                              <w:rPr>
                                <w:rFonts w:ascii="Arial" w:hAnsi="Arial" w:cs="Arial"/>
                                <w:b/>
                                <w:bCs/>
                                <w:color w:val="104D54"/>
                                <w:sz w:val="32"/>
                                <w:szCs w:val="32"/>
                                <w:lang w:val="en-US"/>
                              </w:rPr>
                            </w:pPr>
                            <w:r w:rsidRPr="00094DE4">
                              <w:rPr>
                                <w:rFonts w:ascii="Arial" w:hAnsi="Arial"/>
                                <w:b/>
                                <w:color w:val="104D54"/>
                                <w:sz w:val="32"/>
                                <w:lang w:val="en-US"/>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094DE4" w:rsidRDefault="006E1674" w:rsidP="006E1674">
                      <w:pPr>
                        <w:rPr>
                          <w:rFonts w:ascii="Arial" w:hAnsi="Arial" w:cs="Arial"/>
                          <w:b/>
                          <w:bCs/>
                          <w:color w:val="104D54"/>
                          <w:sz w:val="32"/>
                          <w:szCs w:val="32"/>
                          <w:lang w:val="en-US"/>
                        </w:rPr>
                      </w:pPr>
                      <w:r w:rsidRPr="00094DE4">
                        <w:rPr>
                          <w:rFonts w:ascii="Arial" w:hAnsi="Arial"/>
                          <w:b/>
                          <w:color w:val="104D54"/>
                          <w:sz w:val="32"/>
                          <w:lang w:val="en-US"/>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1A087E14">
                <wp:simplePos x="0" y="0"/>
                <wp:positionH relativeFrom="margin">
                  <wp:posOffset>-337820</wp:posOffset>
                </wp:positionH>
                <wp:positionV relativeFrom="page">
                  <wp:posOffset>7857490</wp:posOffset>
                </wp:positionV>
                <wp:extent cx="4940300" cy="1514475"/>
                <wp:effectExtent l="0" t="0" r="0" b="9525"/>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514475"/>
                        </a:xfrm>
                        <a:prstGeom prst="rect">
                          <a:avLst/>
                        </a:prstGeom>
                        <a:solidFill>
                          <a:sysClr val="window" lastClr="FFFFFF"/>
                        </a:solidFill>
                        <a:ln w="6350">
                          <a:noFill/>
                        </a:ln>
                      </wps:spPr>
                      <wps:txbx>
                        <w:txbxContent>
                          <w:p w14:paraId="4A9FFD1D" w14:textId="52D98434" w:rsidR="006E1674" w:rsidRPr="00282220" w:rsidRDefault="006E1674" w:rsidP="006E1674">
                            <w:pPr>
                              <w:rPr>
                                <w:rFonts w:ascii="Arial" w:hAnsi="Arial" w:cs="Arial"/>
                                <w:b/>
                                <w:bCs/>
                                <w:color w:val="104D54"/>
                              </w:rPr>
                            </w:pPr>
                            <w:r>
                              <w:rPr>
                                <w:rFonts w:ascii="Arial" w:hAnsi="Arial"/>
                                <w:color w:val="104D54"/>
                              </w:rPr>
                              <w:t xml:space="preserve">Μια πρωτοβουλία των οργανισμών: </w:t>
                            </w:r>
                            <w:r>
                              <w:rPr>
                                <w:rFonts w:ascii="Arial" w:hAnsi="Arial"/>
                                <w:b/>
                                <w:color w:val="104D54"/>
                              </w:rPr>
                              <w:t xml:space="preserve">RVO και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Έκδοση: 0.99 (Σχέδιο)</w:t>
                            </w:r>
                          </w:p>
                          <w:p w14:paraId="51A068EF" w14:textId="77777777" w:rsidR="006E1674" w:rsidRPr="00282220" w:rsidRDefault="006E1674" w:rsidP="006E1674">
                            <w:pPr>
                              <w:rPr>
                                <w:rFonts w:ascii="Arial" w:hAnsi="Arial" w:cs="Arial"/>
                                <w:color w:val="104D54"/>
                                <w:sz w:val="12"/>
                                <w:szCs w:val="12"/>
                              </w:rPr>
                            </w:pPr>
                          </w:p>
                          <w:p w14:paraId="11E67A02" w14:textId="0DA1B709" w:rsidR="006E1674" w:rsidRPr="00282220" w:rsidRDefault="006E1674" w:rsidP="006E1674">
                            <w:pPr>
                              <w:rPr>
                                <w:rFonts w:ascii="Arial" w:hAnsi="Arial" w:cs="Arial"/>
                                <w:color w:val="104D54"/>
                                <w:sz w:val="12"/>
                                <w:szCs w:val="12"/>
                              </w:rPr>
                            </w:pPr>
                            <w:r>
                              <w:rPr>
                                <w:rFonts w:ascii="Arial" w:hAnsi="Arial"/>
                                <w:color w:val="104D54"/>
                              </w:rPr>
                              <w:t>Συντάκτες: Michiel Mensink και Marcello Passaro,</w:t>
                            </w:r>
                            <w:r w:rsidR="00C36793" w:rsidRPr="00D7386F">
                              <w:rPr>
                                <w:rFonts w:ascii="Arial" w:hAnsi="Arial"/>
                                <w:color w:val="104D54"/>
                              </w:rPr>
                              <w:br/>
                            </w:r>
                            <w:r>
                              <w:rPr>
                                <w:rFonts w:ascii="Arial" w:hAnsi="Arial"/>
                                <w:color w:val="104D54"/>
                              </w:rPr>
                              <w:t>οι οποίοι έχουν χορηγήσει τα σχετικά δικαιώματα πνευματικής ιδιοκτησίας στο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Ημερομηνία δημοσίευσης: 5 Σεπτεμβρίου 2023</w:t>
                            </w:r>
                          </w:p>
                          <w:p w14:paraId="7696FCCA" w14:textId="77777777" w:rsidR="006E1674" w:rsidRPr="00282220"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6pt;margin-top:618.7pt;width:389pt;height:119.25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" fillcolor="window" stroked="f" strokeweight=".5pt">
                <v:textbox>
                  <w:txbxContent>
                    <w:p w14:paraId="4A9FFD1D" w14:textId="52D98434" w:rsidR="006E1674" w:rsidRPr="00282220" w:rsidRDefault="006E1674" w:rsidP="006E1674">
                      <w:pPr>
                        <w:rPr>
                          <w:rFonts w:ascii="Arial" w:hAnsi="Arial" w:cs="Arial"/>
                          <w:b/>
                          <w:bCs/>
                          <w:color w:val="104D54"/>
                        </w:rPr>
                      </w:pPr>
                      <w:r>
                        <w:rPr>
                          <w:rFonts w:ascii="Arial" w:hAnsi="Arial"/>
                          <w:color w:val="104D54"/>
                        </w:rPr>
                        <w:t xml:space="preserve">Μια πρωτοβουλία των οργανισμών: </w:t>
                      </w:r>
                      <w:r>
                        <w:rPr>
                          <w:rFonts w:ascii="Arial" w:hAnsi="Arial"/>
                          <w:b/>
                          <w:color w:val="104D54"/>
                        </w:rPr>
                        <w:t xml:space="preserve">RVO και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Έκδοση: 0.99 (Σχέδιο)</w:t>
                      </w:r>
                    </w:p>
                    <w:p w14:paraId="51A068EF" w14:textId="77777777" w:rsidR="006E1674" w:rsidRPr="00282220" w:rsidRDefault="006E1674" w:rsidP="006E1674">
                      <w:pPr>
                        <w:rPr>
                          <w:rFonts w:ascii="Arial" w:hAnsi="Arial" w:cs="Arial"/>
                          <w:color w:val="104D54"/>
                          <w:sz w:val="12"/>
                          <w:szCs w:val="12"/>
                        </w:rPr>
                      </w:pPr>
                    </w:p>
                    <w:p w14:paraId="11E67A02" w14:textId="0DA1B709" w:rsidR="006E1674" w:rsidRPr="00282220" w:rsidRDefault="006E1674" w:rsidP="006E1674">
                      <w:pPr>
                        <w:rPr>
                          <w:rFonts w:ascii="Arial" w:hAnsi="Arial" w:cs="Arial"/>
                          <w:color w:val="104D54"/>
                          <w:sz w:val="12"/>
                          <w:szCs w:val="12"/>
                        </w:rPr>
                      </w:pPr>
                      <w:r>
                        <w:rPr>
                          <w:rFonts w:ascii="Arial" w:hAnsi="Arial"/>
                          <w:color w:val="104D54"/>
                        </w:rPr>
                        <w:t>Συντάκτες: Michiel Mensink και Marcello Passaro,</w:t>
                      </w:r>
                      <w:r w:rsidR="00C36793" w:rsidRPr="00D7386F">
                        <w:rPr>
                          <w:rFonts w:ascii="Arial" w:hAnsi="Arial"/>
                          <w:color w:val="104D54"/>
                        </w:rPr>
                        <w:br/>
                      </w:r>
                      <w:r>
                        <w:rPr>
                          <w:rFonts w:ascii="Arial" w:hAnsi="Arial"/>
                          <w:color w:val="104D54"/>
                        </w:rPr>
                        <w:t>οι οποίοι έχουν χορηγήσει τα σχετικά δικαιώματα πνευματικής ιδιοκτησίας στο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Ημερομηνία δημοσίευσης: 5 Σεπτεμβρίου 2023</w:t>
                      </w:r>
                    </w:p>
                    <w:p w14:paraId="7696FCCA" w14:textId="77777777" w:rsidR="006E1674" w:rsidRPr="00282220"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br w:type="page"/>
      </w:r>
    </w:p>
    <w:p w14:paraId="47F55D33" w14:textId="77777777" w:rsidR="00845A98" w:rsidRPr="00175EA5" w:rsidRDefault="0029348A" w:rsidP="00094DE4">
      <w:pPr>
        <w:pStyle w:val="MH1"/>
      </w:pPr>
      <w:bookmarkStart w:id="97" w:name="_Toc176867401"/>
      <w:bookmarkStart w:id="98" w:name="_Toc176868908"/>
      <w:bookmarkStart w:id="99" w:name="_Toc180507829"/>
      <w:r>
        <w:lastRenderedPageBreak/>
        <w:t>Πίνακας</w:t>
      </w:r>
      <w:r w:rsidRPr="00175EA5">
        <w:t xml:space="preserve"> </w:t>
      </w:r>
      <w:r>
        <w:t>περιεχομένων</w:t>
      </w:r>
      <w:bookmarkEnd w:id="97"/>
      <w:bookmarkEnd w:id="98"/>
      <w:bookmarkEnd w:id="99"/>
    </w:p>
    <w:p w14:paraId="053C2B11" w14:textId="77777777" w:rsidR="00845A98" w:rsidRPr="00175EA5" w:rsidRDefault="00845A98" w:rsidP="00A3595E"/>
    <w:sdt>
      <w:sdtPr>
        <w:rPr>
          <w:rFonts w:asciiTheme="minorHAnsi" w:eastAsiaTheme="majorEastAsia" w:hAnsiTheme="minorHAnsi" w:cstheme="majorBidi"/>
          <w:color w:val="2F5496" w:themeColor="accent1" w:themeShade="BF"/>
          <w:sz w:val="32"/>
          <w:szCs w:val="32"/>
          <w:lang w:val="en-US" w:eastAsia="en-US"/>
        </w:rPr>
        <w:id w:val="-282115105"/>
        <w:docPartObj>
          <w:docPartGallery w:val="Table of Contents"/>
          <w:docPartUnique/>
        </w:docPartObj>
      </w:sdtPr>
      <w:sdtEndPr>
        <w:rPr>
          <w:rFonts w:asciiTheme="majorHAnsi" w:hAnsiTheme="majorHAnsi"/>
          <w:b/>
          <w:bCs/>
          <w:noProof/>
        </w:rPr>
      </w:sdtEndPr>
      <w:sdtContent>
        <w:p w14:paraId="0B1A7571" w14:textId="77E619A9" w:rsidR="00F42ABA" w:rsidRDefault="00094DE4">
          <w:pPr>
            <w:pStyle w:val="TOC1"/>
            <w:tabs>
              <w:tab w:val="right" w:leader="dot" w:pos="9062"/>
            </w:tabs>
            <w:rPr>
              <w:rFonts w:asciiTheme="minorHAnsi" w:eastAsiaTheme="minorEastAsia" w:hAnsiTheme="minorHAnsi" w:cstheme="minorBidi"/>
              <w:noProof/>
              <w:kern w:val="2"/>
              <w:lang w:val="en-IE" w:eastAsia="en-IE"/>
              <w14:ligatures w14:val="standardContextual"/>
            </w:rPr>
          </w:pPr>
          <w:r>
            <w:fldChar w:fldCharType="begin"/>
          </w:r>
          <w:r>
            <w:instrText xml:space="preserve"> TOC \h \z \t "MH1,1,MH2,2,MH3,3" </w:instrText>
          </w:r>
          <w:r>
            <w:fldChar w:fldCharType="separate"/>
          </w:r>
          <w:hyperlink w:anchor="_Toc180507829" w:history="1">
            <w:r w:rsidR="00F42ABA" w:rsidRPr="00233EA4">
              <w:rPr>
                <w:rStyle w:val="Hyperlink"/>
                <w:noProof/>
              </w:rPr>
              <w:t>Πίνακας περιεχομένων</w:t>
            </w:r>
            <w:r w:rsidR="00F42ABA">
              <w:rPr>
                <w:noProof/>
                <w:webHidden/>
              </w:rPr>
              <w:tab/>
            </w:r>
            <w:r w:rsidR="00F42ABA">
              <w:rPr>
                <w:noProof/>
                <w:webHidden/>
              </w:rPr>
              <w:fldChar w:fldCharType="begin"/>
            </w:r>
            <w:r w:rsidR="00F42ABA">
              <w:rPr>
                <w:noProof/>
                <w:webHidden/>
              </w:rPr>
              <w:instrText xml:space="preserve"> PAGEREF _Toc180507829 \h </w:instrText>
            </w:r>
            <w:r w:rsidR="00F42ABA">
              <w:rPr>
                <w:noProof/>
                <w:webHidden/>
              </w:rPr>
            </w:r>
            <w:r w:rsidR="00F42ABA">
              <w:rPr>
                <w:noProof/>
                <w:webHidden/>
              </w:rPr>
              <w:fldChar w:fldCharType="separate"/>
            </w:r>
            <w:r w:rsidR="00F42ABA">
              <w:rPr>
                <w:noProof/>
                <w:webHidden/>
              </w:rPr>
              <w:t>1</w:t>
            </w:r>
            <w:r w:rsidR="00F42ABA">
              <w:rPr>
                <w:noProof/>
                <w:webHidden/>
              </w:rPr>
              <w:fldChar w:fldCharType="end"/>
            </w:r>
          </w:hyperlink>
        </w:p>
        <w:p w14:paraId="11182F38" w14:textId="441F4A0E"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30" w:history="1">
            <w:r w:rsidRPr="00233EA4">
              <w:rPr>
                <w:rStyle w:val="Hyperlink"/>
                <w:noProof/>
              </w:rPr>
              <w:t>Objective of and background  to this guide</w:t>
            </w:r>
            <w:r>
              <w:rPr>
                <w:noProof/>
                <w:webHidden/>
              </w:rPr>
              <w:tab/>
            </w:r>
            <w:r>
              <w:rPr>
                <w:noProof/>
                <w:webHidden/>
              </w:rPr>
              <w:fldChar w:fldCharType="begin"/>
            </w:r>
            <w:r>
              <w:rPr>
                <w:noProof/>
                <w:webHidden/>
              </w:rPr>
              <w:instrText xml:space="preserve"> PAGEREF _Toc180507830 \h </w:instrText>
            </w:r>
            <w:r>
              <w:rPr>
                <w:noProof/>
                <w:webHidden/>
              </w:rPr>
            </w:r>
            <w:r>
              <w:rPr>
                <w:noProof/>
                <w:webHidden/>
              </w:rPr>
              <w:fldChar w:fldCharType="separate"/>
            </w:r>
            <w:r>
              <w:rPr>
                <w:noProof/>
                <w:webHidden/>
              </w:rPr>
              <w:t>3</w:t>
            </w:r>
            <w:r>
              <w:rPr>
                <w:noProof/>
                <w:webHidden/>
              </w:rPr>
              <w:fldChar w:fldCharType="end"/>
            </w:r>
          </w:hyperlink>
        </w:p>
        <w:p w14:paraId="67D82F8A" w14:textId="22844FDE" w:rsidR="00F42ABA" w:rsidRDefault="00F42ABA">
          <w:pPr>
            <w:pStyle w:val="TOC3"/>
            <w:tabs>
              <w:tab w:val="right" w:leader="dot" w:pos="9062"/>
            </w:tabs>
            <w:rPr>
              <w:noProof/>
              <w:lang w:val="en-IE" w:eastAsia="en-IE"/>
            </w:rPr>
          </w:pPr>
          <w:hyperlink w:anchor="_Toc180507831" w:history="1">
            <w:r w:rsidRPr="00233EA4">
              <w:rPr>
                <w:rStyle w:val="Hyperlink"/>
                <w:noProof/>
              </w:rPr>
              <w:t>Why</w:t>
            </w:r>
            <w:r>
              <w:rPr>
                <w:noProof/>
                <w:webHidden/>
              </w:rPr>
              <w:tab/>
            </w:r>
            <w:r>
              <w:rPr>
                <w:noProof/>
                <w:webHidden/>
              </w:rPr>
              <w:fldChar w:fldCharType="begin"/>
            </w:r>
            <w:r>
              <w:rPr>
                <w:noProof/>
                <w:webHidden/>
              </w:rPr>
              <w:instrText xml:space="preserve"> PAGEREF _Toc180507831 \h </w:instrText>
            </w:r>
            <w:r>
              <w:rPr>
                <w:noProof/>
                <w:webHidden/>
              </w:rPr>
            </w:r>
            <w:r>
              <w:rPr>
                <w:noProof/>
                <w:webHidden/>
              </w:rPr>
              <w:fldChar w:fldCharType="separate"/>
            </w:r>
            <w:r>
              <w:rPr>
                <w:noProof/>
                <w:webHidden/>
              </w:rPr>
              <w:t>3</w:t>
            </w:r>
            <w:r>
              <w:rPr>
                <w:noProof/>
                <w:webHidden/>
              </w:rPr>
              <w:fldChar w:fldCharType="end"/>
            </w:r>
          </w:hyperlink>
        </w:p>
        <w:p w14:paraId="6BA4A3D0" w14:textId="0FB2E163" w:rsidR="00F42ABA" w:rsidRDefault="00F42ABA">
          <w:pPr>
            <w:pStyle w:val="TOC3"/>
            <w:tabs>
              <w:tab w:val="right" w:leader="dot" w:pos="9062"/>
            </w:tabs>
            <w:rPr>
              <w:noProof/>
              <w:lang w:val="en-IE" w:eastAsia="en-IE"/>
            </w:rPr>
          </w:pPr>
          <w:hyperlink w:anchor="_Toc180507832" w:history="1">
            <w:r w:rsidRPr="00233EA4">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_Toc180507832 \h </w:instrText>
            </w:r>
            <w:r>
              <w:rPr>
                <w:noProof/>
                <w:webHidden/>
              </w:rPr>
            </w:r>
            <w:r>
              <w:rPr>
                <w:noProof/>
                <w:webHidden/>
              </w:rPr>
              <w:fldChar w:fldCharType="separate"/>
            </w:r>
            <w:r>
              <w:rPr>
                <w:noProof/>
                <w:webHidden/>
              </w:rPr>
              <w:t>3</w:t>
            </w:r>
            <w:r>
              <w:rPr>
                <w:noProof/>
                <w:webHidden/>
              </w:rPr>
              <w:fldChar w:fldCharType="end"/>
            </w:r>
          </w:hyperlink>
        </w:p>
        <w:p w14:paraId="262D44DF" w14:textId="0F46556D" w:rsidR="00F42ABA" w:rsidRDefault="00F42ABA">
          <w:pPr>
            <w:pStyle w:val="TOC3"/>
            <w:tabs>
              <w:tab w:val="right" w:leader="dot" w:pos="9062"/>
            </w:tabs>
            <w:rPr>
              <w:noProof/>
              <w:lang w:val="en-IE" w:eastAsia="en-IE"/>
            </w:rPr>
          </w:pPr>
          <w:hyperlink w:anchor="_Toc180507833" w:history="1">
            <w:r w:rsidRPr="00233EA4">
              <w:rPr>
                <w:rStyle w:val="Hyperlink"/>
                <w:noProof/>
              </w:rPr>
              <w:t>Responsibility</w:t>
            </w:r>
            <w:r>
              <w:rPr>
                <w:noProof/>
                <w:webHidden/>
              </w:rPr>
              <w:tab/>
            </w:r>
            <w:r>
              <w:rPr>
                <w:noProof/>
                <w:webHidden/>
              </w:rPr>
              <w:fldChar w:fldCharType="begin"/>
            </w:r>
            <w:r>
              <w:rPr>
                <w:noProof/>
                <w:webHidden/>
              </w:rPr>
              <w:instrText xml:space="preserve"> PAGEREF _Toc180507833 \h </w:instrText>
            </w:r>
            <w:r>
              <w:rPr>
                <w:noProof/>
                <w:webHidden/>
              </w:rPr>
            </w:r>
            <w:r>
              <w:rPr>
                <w:noProof/>
                <w:webHidden/>
              </w:rPr>
              <w:fldChar w:fldCharType="separate"/>
            </w:r>
            <w:r>
              <w:rPr>
                <w:noProof/>
                <w:webHidden/>
              </w:rPr>
              <w:t>4</w:t>
            </w:r>
            <w:r>
              <w:rPr>
                <w:noProof/>
                <w:webHidden/>
              </w:rPr>
              <w:fldChar w:fldCharType="end"/>
            </w:r>
          </w:hyperlink>
        </w:p>
        <w:p w14:paraId="31B7DE7A" w14:textId="0F5347E2" w:rsidR="00F42ABA" w:rsidRDefault="00F42ABA">
          <w:pPr>
            <w:pStyle w:val="TOC3"/>
            <w:tabs>
              <w:tab w:val="right" w:leader="dot" w:pos="9062"/>
            </w:tabs>
            <w:rPr>
              <w:noProof/>
              <w:lang w:val="en-IE" w:eastAsia="en-IE"/>
            </w:rPr>
          </w:pPr>
          <w:hyperlink w:anchor="_Toc180507834" w:history="1">
            <w:r w:rsidRPr="00233EA4">
              <w:rPr>
                <w:rStyle w:val="Hyperlink"/>
                <w:noProof/>
              </w:rPr>
              <w:t>Disclaimer</w:t>
            </w:r>
            <w:r>
              <w:rPr>
                <w:noProof/>
                <w:webHidden/>
              </w:rPr>
              <w:tab/>
            </w:r>
            <w:r>
              <w:rPr>
                <w:noProof/>
                <w:webHidden/>
              </w:rPr>
              <w:fldChar w:fldCharType="begin"/>
            </w:r>
            <w:r>
              <w:rPr>
                <w:noProof/>
                <w:webHidden/>
              </w:rPr>
              <w:instrText xml:space="preserve"> PAGEREF _Toc180507834 \h </w:instrText>
            </w:r>
            <w:r>
              <w:rPr>
                <w:noProof/>
                <w:webHidden/>
              </w:rPr>
            </w:r>
            <w:r>
              <w:rPr>
                <w:noProof/>
                <w:webHidden/>
              </w:rPr>
              <w:fldChar w:fldCharType="separate"/>
            </w:r>
            <w:r>
              <w:rPr>
                <w:noProof/>
                <w:webHidden/>
              </w:rPr>
              <w:t>4</w:t>
            </w:r>
            <w:r>
              <w:rPr>
                <w:noProof/>
                <w:webHidden/>
              </w:rPr>
              <w:fldChar w:fldCharType="end"/>
            </w:r>
          </w:hyperlink>
        </w:p>
        <w:p w14:paraId="75DEC263" w14:textId="0C9F8B82"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35" w:history="1">
            <w:r w:rsidRPr="00233EA4">
              <w:rPr>
                <w:rStyle w:val="Hyperlink"/>
                <w:noProof/>
              </w:rPr>
              <w:t>Εισαγωγή</w:t>
            </w:r>
            <w:r>
              <w:rPr>
                <w:noProof/>
                <w:webHidden/>
              </w:rPr>
              <w:tab/>
            </w:r>
            <w:r>
              <w:rPr>
                <w:noProof/>
                <w:webHidden/>
              </w:rPr>
              <w:fldChar w:fldCharType="begin"/>
            </w:r>
            <w:r>
              <w:rPr>
                <w:noProof/>
                <w:webHidden/>
              </w:rPr>
              <w:instrText xml:space="preserve"> PAGEREF _Toc180507835 \h </w:instrText>
            </w:r>
            <w:r>
              <w:rPr>
                <w:noProof/>
                <w:webHidden/>
              </w:rPr>
            </w:r>
            <w:r>
              <w:rPr>
                <w:noProof/>
                <w:webHidden/>
              </w:rPr>
              <w:fldChar w:fldCharType="separate"/>
            </w:r>
            <w:r>
              <w:rPr>
                <w:noProof/>
                <w:webHidden/>
              </w:rPr>
              <w:t>5</w:t>
            </w:r>
            <w:r>
              <w:rPr>
                <w:noProof/>
                <w:webHidden/>
              </w:rPr>
              <w:fldChar w:fldCharType="end"/>
            </w:r>
          </w:hyperlink>
        </w:p>
        <w:p w14:paraId="7DD44885" w14:textId="6C4C2245"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36" w:history="1">
            <w:r w:rsidRPr="00233EA4">
              <w:rPr>
                <w:rStyle w:val="Hyperlink"/>
                <w:noProof/>
              </w:rPr>
              <w:t>Προκαταρκτική μελέτη</w:t>
            </w:r>
            <w:r>
              <w:rPr>
                <w:noProof/>
                <w:webHidden/>
              </w:rPr>
              <w:tab/>
            </w:r>
            <w:r>
              <w:rPr>
                <w:noProof/>
                <w:webHidden/>
              </w:rPr>
              <w:fldChar w:fldCharType="begin"/>
            </w:r>
            <w:r>
              <w:rPr>
                <w:noProof/>
                <w:webHidden/>
              </w:rPr>
              <w:instrText xml:space="preserve"> PAGEREF _Toc180507836 \h </w:instrText>
            </w:r>
            <w:r>
              <w:rPr>
                <w:noProof/>
                <w:webHidden/>
              </w:rPr>
            </w:r>
            <w:r>
              <w:rPr>
                <w:noProof/>
                <w:webHidden/>
              </w:rPr>
              <w:fldChar w:fldCharType="separate"/>
            </w:r>
            <w:r>
              <w:rPr>
                <w:noProof/>
                <w:webHidden/>
              </w:rPr>
              <w:t>6</w:t>
            </w:r>
            <w:r>
              <w:rPr>
                <w:noProof/>
                <w:webHidden/>
              </w:rPr>
              <w:fldChar w:fldCharType="end"/>
            </w:r>
          </w:hyperlink>
        </w:p>
        <w:p w14:paraId="53EF208F" w14:textId="1D638B51" w:rsidR="00F42ABA" w:rsidRDefault="00F42ABA">
          <w:pPr>
            <w:pStyle w:val="TOC3"/>
            <w:tabs>
              <w:tab w:val="right" w:leader="dot" w:pos="9062"/>
            </w:tabs>
            <w:rPr>
              <w:noProof/>
              <w:lang w:val="en-IE" w:eastAsia="en-IE"/>
            </w:rPr>
          </w:pPr>
          <w:hyperlink w:anchor="_Toc180507837" w:history="1">
            <w:r w:rsidRPr="00233EA4">
              <w:rPr>
                <w:rStyle w:val="Hyperlink"/>
                <w:noProof/>
              </w:rPr>
              <w:t>1.1 Γενικά στοιχεία</w:t>
            </w:r>
            <w:r>
              <w:rPr>
                <w:noProof/>
                <w:webHidden/>
              </w:rPr>
              <w:tab/>
            </w:r>
            <w:r>
              <w:rPr>
                <w:noProof/>
                <w:webHidden/>
              </w:rPr>
              <w:fldChar w:fldCharType="begin"/>
            </w:r>
            <w:r>
              <w:rPr>
                <w:noProof/>
                <w:webHidden/>
              </w:rPr>
              <w:instrText xml:space="preserve"> PAGEREF _Toc180507837 \h </w:instrText>
            </w:r>
            <w:r>
              <w:rPr>
                <w:noProof/>
                <w:webHidden/>
              </w:rPr>
            </w:r>
            <w:r>
              <w:rPr>
                <w:noProof/>
                <w:webHidden/>
              </w:rPr>
              <w:fldChar w:fldCharType="separate"/>
            </w:r>
            <w:r>
              <w:rPr>
                <w:noProof/>
                <w:webHidden/>
              </w:rPr>
              <w:t>7</w:t>
            </w:r>
            <w:r>
              <w:rPr>
                <w:noProof/>
                <w:webHidden/>
              </w:rPr>
              <w:fldChar w:fldCharType="end"/>
            </w:r>
          </w:hyperlink>
        </w:p>
        <w:p w14:paraId="17C0ECBC" w14:textId="7D6F8C87" w:rsidR="00F42ABA" w:rsidRDefault="00F42ABA">
          <w:pPr>
            <w:pStyle w:val="TOC3"/>
            <w:tabs>
              <w:tab w:val="right" w:leader="dot" w:pos="9062"/>
            </w:tabs>
            <w:rPr>
              <w:noProof/>
              <w:lang w:val="en-IE" w:eastAsia="en-IE"/>
            </w:rPr>
          </w:pPr>
          <w:hyperlink w:anchor="_Toc180507838" w:history="1">
            <w:r w:rsidRPr="00233EA4">
              <w:rPr>
                <w:rStyle w:val="Hyperlink"/>
                <w:noProof/>
              </w:rPr>
              <w:t>1.2 Ηλεκτρολογικές παράμετροι</w:t>
            </w:r>
            <w:r>
              <w:rPr>
                <w:noProof/>
                <w:webHidden/>
              </w:rPr>
              <w:tab/>
            </w:r>
            <w:r>
              <w:rPr>
                <w:noProof/>
                <w:webHidden/>
              </w:rPr>
              <w:fldChar w:fldCharType="begin"/>
            </w:r>
            <w:r>
              <w:rPr>
                <w:noProof/>
                <w:webHidden/>
              </w:rPr>
              <w:instrText xml:space="preserve"> PAGEREF _Toc180507838 \h </w:instrText>
            </w:r>
            <w:r>
              <w:rPr>
                <w:noProof/>
                <w:webHidden/>
              </w:rPr>
            </w:r>
            <w:r>
              <w:rPr>
                <w:noProof/>
                <w:webHidden/>
              </w:rPr>
              <w:fldChar w:fldCharType="separate"/>
            </w:r>
            <w:r>
              <w:rPr>
                <w:noProof/>
                <w:webHidden/>
              </w:rPr>
              <w:t>7</w:t>
            </w:r>
            <w:r>
              <w:rPr>
                <w:noProof/>
                <w:webHidden/>
              </w:rPr>
              <w:fldChar w:fldCharType="end"/>
            </w:r>
          </w:hyperlink>
        </w:p>
        <w:p w14:paraId="5F46B984" w14:textId="30933672" w:rsidR="00F42ABA" w:rsidRDefault="00F42ABA">
          <w:pPr>
            <w:pStyle w:val="TOC3"/>
            <w:tabs>
              <w:tab w:val="right" w:leader="dot" w:pos="9062"/>
            </w:tabs>
            <w:rPr>
              <w:noProof/>
              <w:lang w:val="en-IE" w:eastAsia="en-IE"/>
            </w:rPr>
          </w:pPr>
          <w:hyperlink w:anchor="_Toc180507839" w:history="1">
            <w:r w:rsidRPr="00233EA4">
              <w:rPr>
                <w:rStyle w:val="Hyperlink"/>
                <w:noProof/>
              </w:rPr>
              <w:t>1.3 Φωτογραφίες και χάρτες</w:t>
            </w:r>
            <w:r>
              <w:rPr>
                <w:noProof/>
                <w:webHidden/>
              </w:rPr>
              <w:tab/>
            </w:r>
            <w:r>
              <w:rPr>
                <w:noProof/>
                <w:webHidden/>
              </w:rPr>
              <w:fldChar w:fldCharType="begin"/>
            </w:r>
            <w:r>
              <w:rPr>
                <w:noProof/>
                <w:webHidden/>
              </w:rPr>
              <w:instrText xml:space="preserve"> PAGEREF _Toc180507839 \h </w:instrText>
            </w:r>
            <w:r>
              <w:rPr>
                <w:noProof/>
                <w:webHidden/>
              </w:rPr>
            </w:r>
            <w:r>
              <w:rPr>
                <w:noProof/>
                <w:webHidden/>
              </w:rPr>
              <w:fldChar w:fldCharType="separate"/>
            </w:r>
            <w:r>
              <w:rPr>
                <w:noProof/>
                <w:webHidden/>
              </w:rPr>
              <w:t>7</w:t>
            </w:r>
            <w:r>
              <w:rPr>
                <w:noProof/>
                <w:webHidden/>
              </w:rPr>
              <w:fldChar w:fldCharType="end"/>
            </w:r>
          </w:hyperlink>
        </w:p>
        <w:p w14:paraId="3747F943" w14:textId="4279CCB0" w:rsidR="00F42ABA" w:rsidRDefault="00F42ABA">
          <w:pPr>
            <w:pStyle w:val="TOC3"/>
            <w:tabs>
              <w:tab w:val="right" w:leader="dot" w:pos="9062"/>
            </w:tabs>
            <w:rPr>
              <w:noProof/>
              <w:lang w:val="en-IE" w:eastAsia="en-IE"/>
            </w:rPr>
          </w:pPr>
          <w:hyperlink w:anchor="_Toc180507840" w:history="1">
            <w:r w:rsidRPr="00233EA4">
              <w:rPr>
                <w:rStyle w:val="Hyperlink"/>
                <w:noProof/>
              </w:rPr>
              <w:t>1.4 Σχεδιασμός</w:t>
            </w:r>
            <w:r>
              <w:rPr>
                <w:noProof/>
                <w:webHidden/>
              </w:rPr>
              <w:tab/>
            </w:r>
            <w:r>
              <w:rPr>
                <w:noProof/>
                <w:webHidden/>
              </w:rPr>
              <w:fldChar w:fldCharType="begin"/>
            </w:r>
            <w:r>
              <w:rPr>
                <w:noProof/>
                <w:webHidden/>
              </w:rPr>
              <w:instrText xml:space="preserve"> PAGEREF _Toc180507840 \h </w:instrText>
            </w:r>
            <w:r>
              <w:rPr>
                <w:noProof/>
                <w:webHidden/>
              </w:rPr>
            </w:r>
            <w:r>
              <w:rPr>
                <w:noProof/>
                <w:webHidden/>
              </w:rPr>
              <w:fldChar w:fldCharType="separate"/>
            </w:r>
            <w:r>
              <w:rPr>
                <w:noProof/>
                <w:webHidden/>
              </w:rPr>
              <w:t>7</w:t>
            </w:r>
            <w:r>
              <w:rPr>
                <w:noProof/>
                <w:webHidden/>
              </w:rPr>
              <w:fldChar w:fldCharType="end"/>
            </w:r>
          </w:hyperlink>
        </w:p>
        <w:p w14:paraId="5F323FED" w14:textId="75E2BA46" w:rsidR="00F42ABA" w:rsidRDefault="00F42ABA">
          <w:pPr>
            <w:pStyle w:val="TOC3"/>
            <w:tabs>
              <w:tab w:val="right" w:leader="dot" w:pos="9062"/>
            </w:tabs>
            <w:rPr>
              <w:noProof/>
              <w:lang w:val="en-IE" w:eastAsia="en-IE"/>
            </w:rPr>
          </w:pPr>
          <w:hyperlink w:anchor="_Toc180507841" w:history="1">
            <w:r w:rsidRPr="00233EA4">
              <w:rPr>
                <w:rStyle w:val="Hyperlink"/>
                <w:noProof/>
              </w:rPr>
              <w:t>1.5 Φορτίο στέγης</w:t>
            </w:r>
            <w:r>
              <w:rPr>
                <w:noProof/>
                <w:webHidden/>
              </w:rPr>
              <w:tab/>
            </w:r>
            <w:r>
              <w:rPr>
                <w:noProof/>
                <w:webHidden/>
              </w:rPr>
              <w:fldChar w:fldCharType="begin"/>
            </w:r>
            <w:r>
              <w:rPr>
                <w:noProof/>
                <w:webHidden/>
              </w:rPr>
              <w:instrText xml:space="preserve"> PAGEREF _Toc180507841 \h </w:instrText>
            </w:r>
            <w:r>
              <w:rPr>
                <w:noProof/>
                <w:webHidden/>
              </w:rPr>
            </w:r>
            <w:r>
              <w:rPr>
                <w:noProof/>
                <w:webHidden/>
              </w:rPr>
              <w:fldChar w:fldCharType="separate"/>
            </w:r>
            <w:r>
              <w:rPr>
                <w:noProof/>
                <w:webHidden/>
              </w:rPr>
              <w:t>7</w:t>
            </w:r>
            <w:r>
              <w:rPr>
                <w:noProof/>
                <w:webHidden/>
              </w:rPr>
              <w:fldChar w:fldCharType="end"/>
            </w:r>
          </w:hyperlink>
        </w:p>
        <w:p w14:paraId="25CB56F8" w14:textId="48AFD0DC" w:rsidR="00F42ABA" w:rsidRDefault="00F42ABA">
          <w:pPr>
            <w:pStyle w:val="TOC3"/>
            <w:tabs>
              <w:tab w:val="right" w:leader="dot" w:pos="9062"/>
            </w:tabs>
            <w:rPr>
              <w:noProof/>
              <w:lang w:val="en-IE" w:eastAsia="en-IE"/>
            </w:rPr>
          </w:pPr>
          <w:hyperlink w:anchor="_Toc180507842" w:history="1">
            <w:r w:rsidRPr="00233EA4">
              <w:rPr>
                <w:rStyle w:val="Hyperlink"/>
                <w:noProof/>
              </w:rPr>
              <w:t>2.1 Καθορισμός του μέγιστου αριθμού ηλιακών συλλεκτών και της μέγιστης παραγωγής ενέργειας</w:t>
            </w:r>
            <w:r>
              <w:rPr>
                <w:noProof/>
                <w:webHidden/>
              </w:rPr>
              <w:tab/>
            </w:r>
            <w:r>
              <w:rPr>
                <w:noProof/>
                <w:webHidden/>
              </w:rPr>
              <w:fldChar w:fldCharType="begin"/>
            </w:r>
            <w:r>
              <w:rPr>
                <w:noProof/>
                <w:webHidden/>
              </w:rPr>
              <w:instrText xml:space="preserve"> PAGEREF _Toc180507842 \h </w:instrText>
            </w:r>
            <w:r>
              <w:rPr>
                <w:noProof/>
                <w:webHidden/>
              </w:rPr>
            </w:r>
            <w:r>
              <w:rPr>
                <w:noProof/>
                <w:webHidden/>
              </w:rPr>
              <w:fldChar w:fldCharType="separate"/>
            </w:r>
            <w:r>
              <w:rPr>
                <w:noProof/>
                <w:webHidden/>
              </w:rPr>
              <w:t>8</w:t>
            </w:r>
            <w:r>
              <w:rPr>
                <w:noProof/>
                <w:webHidden/>
              </w:rPr>
              <w:fldChar w:fldCharType="end"/>
            </w:r>
          </w:hyperlink>
        </w:p>
        <w:p w14:paraId="04D422D7" w14:textId="5E59DD34" w:rsidR="00F42ABA" w:rsidRDefault="00F42ABA">
          <w:pPr>
            <w:pStyle w:val="TOC3"/>
            <w:tabs>
              <w:tab w:val="right" w:leader="dot" w:pos="9062"/>
            </w:tabs>
            <w:rPr>
              <w:noProof/>
              <w:lang w:val="en-IE" w:eastAsia="en-IE"/>
            </w:rPr>
          </w:pPr>
          <w:hyperlink w:anchor="_Toc180507843" w:history="1">
            <w:r w:rsidRPr="00233EA4">
              <w:rPr>
                <w:rStyle w:val="Hyperlink"/>
                <w:noProof/>
              </w:rPr>
              <w:t>2.2 Προσδιορίστε τις γενικές γραμμές της επιχειρηματικής πρότασης</w:t>
            </w:r>
            <w:r>
              <w:rPr>
                <w:noProof/>
                <w:webHidden/>
              </w:rPr>
              <w:tab/>
            </w:r>
            <w:r>
              <w:rPr>
                <w:noProof/>
                <w:webHidden/>
              </w:rPr>
              <w:fldChar w:fldCharType="begin"/>
            </w:r>
            <w:r>
              <w:rPr>
                <w:noProof/>
                <w:webHidden/>
              </w:rPr>
              <w:instrText xml:space="preserve"> PAGEREF _Toc180507843 \h </w:instrText>
            </w:r>
            <w:r>
              <w:rPr>
                <w:noProof/>
                <w:webHidden/>
              </w:rPr>
            </w:r>
            <w:r>
              <w:rPr>
                <w:noProof/>
                <w:webHidden/>
              </w:rPr>
              <w:fldChar w:fldCharType="separate"/>
            </w:r>
            <w:r>
              <w:rPr>
                <w:noProof/>
                <w:webHidden/>
              </w:rPr>
              <w:t>8</w:t>
            </w:r>
            <w:r>
              <w:rPr>
                <w:noProof/>
                <w:webHidden/>
              </w:rPr>
              <w:fldChar w:fldCharType="end"/>
            </w:r>
          </w:hyperlink>
        </w:p>
        <w:p w14:paraId="5949552A" w14:textId="006D52C3" w:rsidR="00F42ABA" w:rsidRDefault="00F42ABA">
          <w:pPr>
            <w:pStyle w:val="TOC3"/>
            <w:tabs>
              <w:tab w:val="right" w:leader="dot" w:pos="9062"/>
            </w:tabs>
            <w:rPr>
              <w:noProof/>
              <w:lang w:val="en-IE" w:eastAsia="en-IE"/>
            </w:rPr>
          </w:pPr>
          <w:hyperlink w:anchor="_Toc180507844" w:history="1">
            <w:r w:rsidRPr="00233EA4">
              <w:rPr>
                <w:rStyle w:val="Hyperlink"/>
                <w:noProof/>
              </w:rPr>
              <w:t>2.3 Προσδιορισμός ενδεικτικής παραγωγής ηλεκτρικής ενέργειας, κόστους έργου και αριθμού ηλιακών συλλεκτών</w:t>
            </w:r>
            <w:r>
              <w:rPr>
                <w:noProof/>
                <w:webHidden/>
              </w:rPr>
              <w:tab/>
            </w:r>
            <w:r>
              <w:rPr>
                <w:noProof/>
                <w:webHidden/>
              </w:rPr>
              <w:fldChar w:fldCharType="begin"/>
            </w:r>
            <w:r>
              <w:rPr>
                <w:noProof/>
                <w:webHidden/>
              </w:rPr>
              <w:instrText xml:space="preserve"> PAGEREF _Toc180507844 \h </w:instrText>
            </w:r>
            <w:r>
              <w:rPr>
                <w:noProof/>
                <w:webHidden/>
              </w:rPr>
            </w:r>
            <w:r>
              <w:rPr>
                <w:noProof/>
                <w:webHidden/>
              </w:rPr>
              <w:fldChar w:fldCharType="separate"/>
            </w:r>
            <w:r>
              <w:rPr>
                <w:noProof/>
                <w:webHidden/>
              </w:rPr>
              <w:t>9</w:t>
            </w:r>
            <w:r>
              <w:rPr>
                <w:noProof/>
                <w:webHidden/>
              </w:rPr>
              <w:fldChar w:fldCharType="end"/>
            </w:r>
          </w:hyperlink>
        </w:p>
        <w:p w14:paraId="6D551BE6" w14:textId="1EEE6131" w:rsidR="00F42ABA" w:rsidRDefault="00F42ABA">
          <w:pPr>
            <w:pStyle w:val="TOC3"/>
            <w:tabs>
              <w:tab w:val="right" w:leader="dot" w:pos="9062"/>
            </w:tabs>
            <w:rPr>
              <w:noProof/>
              <w:lang w:val="en-IE" w:eastAsia="en-IE"/>
            </w:rPr>
          </w:pPr>
          <w:hyperlink w:anchor="_Toc180507845" w:history="1">
            <w:r w:rsidRPr="00233EA4">
              <w:rPr>
                <w:rStyle w:val="Hyperlink"/>
                <w:noProof/>
              </w:rPr>
              <w:t>2.4 Προαιρετικά στοιχεία</w:t>
            </w:r>
            <w:r>
              <w:rPr>
                <w:noProof/>
                <w:webHidden/>
              </w:rPr>
              <w:tab/>
            </w:r>
            <w:r>
              <w:rPr>
                <w:noProof/>
                <w:webHidden/>
              </w:rPr>
              <w:fldChar w:fldCharType="begin"/>
            </w:r>
            <w:r>
              <w:rPr>
                <w:noProof/>
                <w:webHidden/>
              </w:rPr>
              <w:instrText xml:space="preserve"> PAGEREF _Toc180507845 \h </w:instrText>
            </w:r>
            <w:r>
              <w:rPr>
                <w:noProof/>
                <w:webHidden/>
              </w:rPr>
            </w:r>
            <w:r>
              <w:rPr>
                <w:noProof/>
                <w:webHidden/>
              </w:rPr>
              <w:fldChar w:fldCharType="separate"/>
            </w:r>
            <w:r>
              <w:rPr>
                <w:noProof/>
                <w:webHidden/>
              </w:rPr>
              <w:t>9</w:t>
            </w:r>
            <w:r>
              <w:rPr>
                <w:noProof/>
                <w:webHidden/>
              </w:rPr>
              <w:fldChar w:fldCharType="end"/>
            </w:r>
          </w:hyperlink>
        </w:p>
        <w:p w14:paraId="751C391E" w14:textId="61BA570A" w:rsidR="00F42ABA" w:rsidRDefault="00F42ABA">
          <w:pPr>
            <w:pStyle w:val="TOC3"/>
            <w:tabs>
              <w:tab w:val="right" w:leader="dot" w:pos="9062"/>
            </w:tabs>
            <w:rPr>
              <w:noProof/>
              <w:lang w:val="en-IE" w:eastAsia="en-IE"/>
            </w:rPr>
          </w:pPr>
          <w:hyperlink w:anchor="_Toc180507846" w:history="1">
            <w:r w:rsidRPr="00233EA4">
              <w:rPr>
                <w:rStyle w:val="Hyperlink"/>
                <w:noProof/>
              </w:rPr>
              <w:t>3.1 Ιδιοκτήτης ή μισθωτής;</w:t>
            </w:r>
            <w:r>
              <w:rPr>
                <w:noProof/>
                <w:webHidden/>
              </w:rPr>
              <w:tab/>
            </w:r>
            <w:r>
              <w:rPr>
                <w:noProof/>
                <w:webHidden/>
              </w:rPr>
              <w:fldChar w:fldCharType="begin"/>
            </w:r>
            <w:r>
              <w:rPr>
                <w:noProof/>
                <w:webHidden/>
              </w:rPr>
              <w:instrText xml:space="preserve"> PAGEREF _Toc180507846 \h </w:instrText>
            </w:r>
            <w:r>
              <w:rPr>
                <w:noProof/>
                <w:webHidden/>
              </w:rPr>
            </w:r>
            <w:r>
              <w:rPr>
                <w:noProof/>
                <w:webHidden/>
              </w:rPr>
              <w:fldChar w:fldCharType="separate"/>
            </w:r>
            <w:r>
              <w:rPr>
                <w:noProof/>
                <w:webHidden/>
              </w:rPr>
              <w:t>9</w:t>
            </w:r>
            <w:r>
              <w:rPr>
                <w:noProof/>
                <w:webHidden/>
              </w:rPr>
              <w:fldChar w:fldCharType="end"/>
            </w:r>
          </w:hyperlink>
        </w:p>
        <w:p w14:paraId="56C829C2" w14:textId="445A9CF4" w:rsidR="00F42ABA" w:rsidRDefault="00F42ABA">
          <w:pPr>
            <w:pStyle w:val="TOC3"/>
            <w:tabs>
              <w:tab w:val="right" w:leader="dot" w:pos="9062"/>
            </w:tabs>
            <w:rPr>
              <w:noProof/>
              <w:lang w:val="en-IE" w:eastAsia="en-IE"/>
            </w:rPr>
          </w:pPr>
          <w:hyperlink w:anchor="_Toc180507847" w:history="1">
            <w:r w:rsidRPr="00233EA4">
              <w:rPr>
                <w:rStyle w:val="Hyperlink"/>
                <w:noProof/>
              </w:rPr>
              <w:t>3.2 Για δημόσιους οργανισμούς: διαδικασία σύναψης δημόσιας σύμβασης ή απευθείας ανάθεση;</w:t>
            </w:r>
            <w:r>
              <w:rPr>
                <w:noProof/>
                <w:webHidden/>
              </w:rPr>
              <w:tab/>
            </w:r>
            <w:r>
              <w:rPr>
                <w:noProof/>
                <w:webHidden/>
              </w:rPr>
              <w:fldChar w:fldCharType="begin"/>
            </w:r>
            <w:r>
              <w:rPr>
                <w:noProof/>
                <w:webHidden/>
              </w:rPr>
              <w:instrText xml:space="preserve"> PAGEREF _Toc180507847 \h </w:instrText>
            </w:r>
            <w:r>
              <w:rPr>
                <w:noProof/>
                <w:webHidden/>
              </w:rPr>
            </w:r>
            <w:r>
              <w:rPr>
                <w:noProof/>
                <w:webHidden/>
              </w:rPr>
              <w:fldChar w:fldCharType="separate"/>
            </w:r>
            <w:r>
              <w:rPr>
                <w:noProof/>
                <w:webHidden/>
              </w:rPr>
              <w:t>10</w:t>
            </w:r>
            <w:r>
              <w:rPr>
                <w:noProof/>
                <w:webHidden/>
              </w:rPr>
              <w:fldChar w:fldCharType="end"/>
            </w:r>
          </w:hyperlink>
        </w:p>
        <w:p w14:paraId="57F6ED0A" w14:textId="361E75B5" w:rsidR="00F42ABA" w:rsidRDefault="00F42ABA">
          <w:pPr>
            <w:pStyle w:val="TOC3"/>
            <w:tabs>
              <w:tab w:val="right" w:leader="dot" w:pos="9062"/>
            </w:tabs>
            <w:rPr>
              <w:noProof/>
              <w:lang w:val="en-IE" w:eastAsia="en-IE"/>
            </w:rPr>
          </w:pPr>
          <w:hyperlink w:anchor="_Toc180507848" w:history="1">
            <w:r w:rsidRPr="00233EA4">
              <w:rPr>
                <w:rStyle w:val="Hyperlink"/>
                <w:noProof/>
              </w:rPr>
              <w:t>4.1 Άδειες</w:t>
            </w:r>
            <w:r>
              <w:rPr>
                <w:noProof/>
                <w:webHidden/>
              </w:rPr>
              <w:tab/>
            </w:r>
            <w:r>
              <w:rPr>
                <w:noProof/>
                <w:webHidden/>
              </w:rPr>
              <w:fldChar w:fldCharType="begin"/>
            </w:r>
            <w:r>
              <w:rPr>
                <w:noProof/>
                <w:webHidden/>
              </w:rPr>
              <w:instrText xml:space="preserve"> PAGEREF _Toc180507848 \h </w:instrText>
            </w:r>
            <w:r>
              <w:rPr>
                <w:noProof/>
                <w:webHidden/>
              </w:rPr>
            </w:r>
            <w:r>
              <w:rPr>
                <w:noProof/>
                <w:webHidden/>
              </w:rPr>
              <w:fldChar w:fldCharType="separate"/>
            </w:r>
            <w:r>
              <w:rPr>
                <w:noProof/>
                <w:webHidden/>
              </w:rPr>
              <w:t>13</w:t>
            </w:r>
            <w:r>
              <w:rPr>
                <w:noProof/>
                <w:webHidden/>
              </w:rPr>
              <w:fldChar w:fldCharType="end"/>
            </w:r>
          </w:hyperlink>
        </w:p>
        <w:p w14:paraId="36F0723F" w14:textId="723AB97C" w:rsidR="00F42ABA" w:rsidRDefault="00F42ABA">
          <w:pPr>
            <w:pStyle w:val="TOC3"/>
            <w:tabs>
              <w:tab w:val="right" w:leader="dot" w:pos="9062"/>
            </w:tabs>
            <w:rPr>
              <w:noProof/>
              <w:lang w:val="en-IE" w:eastAsia="en-IE"/>
            </w:rPr>
          </w:pPr>
          <w:hyperlink w:anchor="_Toc180507849" w:history="1">
            <w:r w:rsidRPr="00233EA4">
              <w:rPr>
                <w:rStyle w:val="Hyperlink"/>
                <w:noProof/>
              </w:rPr>
              <w:t>4.2 Σύνδεση με το δίκτυο: επιλογές και παράμετροι</w:t>
            </w:r>
            <w:r>
              <w:rPr>
                <w:noProof/>
                <w:webHidden/>
              </w:rPr>
              <w:tab/>
            </w:r>
            <w:r>
              <w:rPr>
                <w:noProof/>
                <w:webHidden/>
              </w:rPr>
              <w:fldChar w:fldCharType="begin"/>
            </w:r>
            <w:r>
              <w:rPr>
                <w:noProof/>
                <w:webHidden/>
              </w:rPr>
              <w:instrText xml:space="preserve"> PAGEREF _Toc180507849 \h </w:instrText>
            </w:r>
            <w:r>
              <w:rPr>
                <w:noProof/>
                <w:webHidden/>
              </w:rPr>
            </w:r>
            <w:r>
              <w:rPr>
                <w:noProof/>
                <w:webHidden/>
              </w:rPr>
              <w:fldChar w:fldCharType="separate"/>
            </w:r>
            <w:r>
              <w:rPr>
                <w:noProof/>
                <w:webHidden/>
              </w:rPr>
              <w:t>14</w:t>
            </w:r>
            <w:r>
              <w:rPr>
                <w:noProof/>
                <w:webHidden/>
              </w:rPr>
              <w:fldChar w:fldCharType="end"/>
            </w:r>
          </w:hyperlink>
        </w:p>
        <w:p w14:paraId="415BBE04" w14:textId="08CA143A" w:rsidR="00F42ABA" w:rsidRDefault="00F42ABA">
          <w:pPr>
            <w:pStyle w:val="TOC3"/>
            <w:tabs>
              <w:tab w:val="right" w:leader="dot" w:pos="9062"/>
            </w:tabs>
            <w:rPr>
              <w:noProof/>
              <w:lang w:val="en-IE" w:eastAsia="en-IE"/>
            </w:rPr>
          </w:pPr>
          <w:hyperlink w:anchor="_Toc180507850" w:history="1">
            <w:r w:rsidRPr="00233EA4">
              <w:rPr>
                <w:rStyle w:val="Hyperlink"/>
                <w:noProof/>
              </w:rPr>
              <w:t>5.1 Κύκλος εργασιών από την αντίστροφη παροχή ηλεκτρικής ενέργειας</w:t>
            </w:r>
            <w:r>
              <w:rPr>
                <w:noProof/>
                <w:webHidden/>
              </w:rPr>
              <w:tab/>
            </w:r>
            <w:r>
              <w:rPr>
                <w:noProof/>
                <w:webHidden/>
              </w:rPr>
              <w:fldChar w:fldCharType="begin"/>
            </w:r>
            <w:r>
              <w:rPr>
                <w:noProof/>
                <w:webHidden/>
              </w:rPr>
              <w:instrText xml:space="preserve"> PAGEREF _Toc180507850 \h </w:instrText>
            </w:r>
            <w:r>
              <w:rPr>
                <w:noProof/>
                <w:webHidden/>
              </w:rPr>
            </w:r>
            <w:r>
              <w:rPr>
                <w:noProof/>
                <w:webHidden/>
              </w:rPr>
              <w:fldChar w:fldCharType="separate"/>
            </w:r>
            <w:r>
              <w:rPr>
                <w:noProof/>
                <w:webHidden/>
              </w:rPr>
              <w:t>15</w:t>
            </w:r>
            <w:r>
              <w:rPr>
                <w:noProof/>
                <w:webHidden/>
              </w:rPr>
              <w:fldChar w:fldCharType="end"/>
            </w:r>
          </w:hyperlink>
        </w:p>
        <w:p w14:paraId="77958534" w14:textId="096F1295" w:rsidR="00F42ABA" w:rsidRDefault="00F42ABA">
          <w:pPr>
            <w:pStyle w:val="TOC3"/>
            <w:tabs>
              <w:tab w:val="right" w:leader="dot" w:pos="9062"/>
            </w:tabs>
            <w:rPr>
              <w:noProof/>
              <w:lang w:val="en-IE" w:eastAsia="en-IE"/>
            </w:rPr>
          </w:pPr>
          <w:hyperlink w:anchor="_Toc180507851" w:history="1">
            <w:r w:rsidRPr="00233EA4">
              <w:rPr>
                <w:rStyle w:val="Hyperlink"/>
                <w:noProof/>
              </w:rPr>
              <w:t>5.1 Επιδοτήσεις</w:t>
            </w:r>
            <w:r>
              <w:rPr>
                <w:noProof/>
                <w:webHidden/>
              </w:rPr>
              <w:tab/>
            </w:r>
            <w:r>
              <w:rPr>
                <w:noProof/>
                <w:webHidden/>
              </w:rPr>
              <w:fldChar w:fldCharType="begin"/>
            </w:r>
            <w:r>
              <w:rPr>
                <w:noProof/>
                <w:webHidden/>
              </w:rPr>
              <w:instrText xml:space="preserve"> PAGEREF _Toc180507851 \h </w:instrText>
            </w:r>
            <w:r>
              <w:rPr>
                <w:noProof/>
                <w:webHidden/>
              </w:rPr>
            </w:r>
            <w:r>
              <w:rPr>
                <w:noProof/>
                <w:webHidden/>
              </w:rPr>
              <w:fldChar w:fldCharType="separate"/>
            </w:r>
            <w:r>
              <w:rPr>
                <w:noProof/>
                <w:webHidden/>
              </w:rPr>
              <w:t>16</w:t>
            </w:r>
            <w:r>
              <w:rPr>
                <w:noProof/>
                <w:webHidden/>
              </w:rPr>
              <w:fldChar w:fldCharType="end"/>
            </w:r>
          </w:hyperlink>
        </w:p>
        <w:p w14:paraId="3E240F5B" w14:textId="09F1546E" w:rsidR="00F42ABA" w:rsidRDefault="00F42ABA">
          <w:pPr>
            <w:pStyle w:val="TOC3"/>
            <w:tabs>
              <w:tab w:val="right" w:leader="dot" w:pos="9062"/>
            </w:tabs>
            <w:rPr>
              <w:noProof/>
              <w:lang w:val="en-IE" w:eastAsia="en-IE"/>
            </w:rPr>
          </w:pPr>
          <w:hyperlink w:anchor="_Toc180507852" w:history="1">
            <w:r w:rsidRPr="00233EA4">
              <w:rPr>
                <w:rStyle w:val="Hyperlink"/>
                <w:noProof/>
              </w:rPr>
              <w:t>5.2 Χρηματοδότηση</w:t>
            </w:r>
            <w:r>
              <w:rPr>
                <w:noProof/>
                <w:webHidden/>
              </w:rPr>
              <w:tab/>
            </w:r>
            <w:r>
              <w:rPr>
                <w:noProof/>
                <w:webHidden/>
              </w:rPr>
              <w:fldChar w:fldCharType="begin"/>
            </w:r>
            <w:r>
              <w:rPr>
                <w:noProof/>
                <w:webHidden/>
              </w:rPr>
              <w:instrText xml:space="preserve"> PAGEREF _Toc180507852 \h </w:instrText>
            </w:r>
            <w:r>
              <w:rPr>
                <w:noProof/>
                <w:webHidden/>
              </w:rPr>
            </w:r>
            <w:r>
              <w:rPr>
                <w:noProof/>
                <w:webHidden/>
              </w:rPr>
              <w:fldChar w:fldCharType="separate"/>
            </w:r>
            <w:r>
              <w:rPr>
                <w:noProof/>
                <w:webHidden/>
              </w:rPr>
              <w:t>17</w:t>
            </w:r>
            <w:r>
              <w:rPr>
                <w:noProof/>
                <w:webHidden/>
              </w:rPr>
              <w:fldChar w:fldCharType="end"/>
            </w:r>
          </w:hyperlink>
        </w:p>
        <w:p w14:paraId="086DEC74" w14:textId="3F46B011" w:rsidR="00F42ABA" w:rsidRDefault="00F42ABA">
          <w:pPr>
            <w:pStyle w:val="TOC3"/>
            <w:tabs>
              <w:tab w:val="right" w:leader="dot" w:pos="9062"/>
            </w:tabs>
            <w:rPr>
              <w:noProof/>
              <w:lang w:val="en-IE" w:eastAsia="en-IE"/>
            </w:rPr>
          </w:pPr>
          <w:hyperlink w:anchor="_Toc180507853" w:history="1">
            <w:r w:rsidRPr="00233EA4">
              <w:rPr>
                <w:rStyle w:val="Hyperlink"/>
                <w:noProof/>
              </w:rPr>
              <w:t>5.3 Ασφάλιση</w:t>
            </w:r>
            <w:r>
              <w:rPr>
                <w:noProof/>
                <w:webHidden/>
              </w:rPr>
              <w:tab/>
            </w:r>
            <w:r>
              <w:rPr>
                <w:noProof/>
                <w:webHidden/>
              </w:rPr>
              <w:fldChar w:fldCharType="begin"/>
            </w:r>
            <w:r>
              <w:rPr>
                <w:noProof/>
                <w:webHidden/>
              </w:rPr>
              <w:instrText xml:space="preserve"> PAGEREF _Toc180507853 \h </w:instrText>
            </w:r>
            <w:r>
              <w:rPr>
                <w:noProof/>
                <w:webHidden/>
              </w:rPr>
            </w:r>
            <w:r>
              <w:rPr>
                <w:noProof/>
                <w:webHidden/>
              </w:rPr>
              <w:fldChar w:fldCharType="separate"/>
            </w:r>
            <w:r>
              <w:rPr>
                <w:noProof/>
                <w:webHidden/>
              </w:rPr>
              <w:t>19</w:t>
            </w:r>
            <w:r>
              <w:rPr>
                <w:noProof/>
                <w:webHidden/>
              </w:rPr>
              <w:fldChar w:fldCharType="end"/>
            </w:r>
          </w:hyperlink>
        </w:p>
        <w:p w14:paraId="7C14E22C" w14:textId="6CF4601C" w:rsidR="00F42ABA" w:rsidRDefault="00F42ABA">
          <w:pPr>
            <w:pStyle w:val="TOC3"/>
            <w:tabs>
              <w:tab w:val="right" w:leader="dot" w:pos="9062"/>
            </w:tabs>
            <w:rPr>
              <w:noProof/>
              <w:lang w:val="en-IE" w:eastAsia="en-IE"/>
            </w:rPr>
          </w:pPr>
          <w:hyperlink w:anchor="_Toc180507854" w:history="1">
            <w:r w:rsidRPr="00233EA4">
              <w:rPr>
                <w:rStyle w:val="Hyperlink"/>
                <w:noProof/>
              </w:rPr>
              <w:t>6.1 Ζητήματα βιωσιμότητας των ηλιακών συλλεκτών</w:t>
            </w:r>
            <w:r>
              <w:rPr>
                <w:noProof/>
                <w:webHidden/>
              </w:rPr>
              <w:tab/>
            </w:r>
            <w:r>
              <w:rPr>
                <w:noProof/>
                <w:webHidden/>
              </w:rPr>
              <w:fldChar w:fldCharType="begin"/>
            </w:r>
            <w:r>
              <w:rPr>
                <w:noProof/>
                <w:webHidden/>
              </w:rPr>
              <w:instrText xml:space="preserve"> PAGEREF _Toc180507854 \h </w:instrText>
            </w:r>
            <w:r>
              <w:rPr>
                <w:noProof/>
                <w:webHidden/>
              </w:rPr>
            </w:r>
            <w:r>
              <w:rPr>
                <w:noProof/>
                <w:webHidden/>
              </w:rPr>
              <w:fldChar w:fldCharType="separate"/>
            </w:r>
            <w:r>
              <w:rPr>
                <w:noProof/>
                <w:webHidden/>
              </w:rPr>
              <w:t>21</w:t>
            </w:r>
            <w:r>
              <w:rPr>
                <w:noProof/>
                <w:webHidden/>
              </w:rPr>
              <w:fldChar w:fldCharType="end"/>
            </w:r>
          </w:hyperlink>
        </w:p>
        <w:p w14:paraId="4835AF7D" w14:textId="66BF6378" w:rsidR="00F42ABA" w:rsidRDefault="00F42ABA">
          <w:pPr>
            <w:pStyle w:val="TOC3"/>
            <w:tabs>
              <w:tab w:val="right" w:leader="dot" w:pos="9062"/>
            </w:tabs>
            <w:rPr>
              <w:noProof/>
              <w:lang w:val="en-IE" w:eastAsia="en-IE"/>
            </w:rPr>
          </w:pPr>
          <w:hyperlink w:anchor="_Toc180507855" w:history="1">
            <w:r w:rsidRPr="00233EA4">
              <w:rPr>
                <w:rStyle w:val="Hyperlink"/>
                <w:noProof/>
              </w:rPr>
              <w:t>6.2 Περιβαλλοντικά ζητήματα που συνδέονται με τα φωτοβολταϊκά στο έδαφος και τα φωτοβολταϊκά στο νερό</w:t>
            </w:r>
            <w:r>
              <w:rPr>
                <w:noProof/>
                <w:webHidden/>
              </w:rPr>
              <w:tab/>
            </w:r>
            <w:r>
              <w:rPr>
                <w:noProof/>
                <w:webHidden/>
              </w:rPr>
              <w:fldChar w:fldCharType="begin"/>
            </w:r>
            <w:r>
              <w:rPr>
                <w:noProof/>
                <w:webHidden/>
              </w:rPr>
              <w:instrText xml:space="preserve"> PAGEREF _Toc180507855 \h </w:instrText>
            </w:r>
            <w:r>
              <w:rPr>
                <w:noProof/>
                <w:webHidden/>
              </w:rPr>
            </w:r>
            <w:r>
              <w:rPr>
                <w:noProof/>
                <w:webHidden/>
              </w:rPr>
              <w:fldChar w:fldCharType="separate"/>
            </w:r>
            <w:r>
              <w:rPr>
                <w:noProof/>
                <w:webHidden/>
              </w:rPr>
              <w:t>23</w:t>
            </w:r>
            <w:r>
              <w:rPr>
                <w:noProof/>
                <w:webHidden/>
              </w:rPr>
              <w:fldChar w:fldCharType="end"/>
            </w:r>
          </w:hyperlink>
        </w:p>
        <w:p w14:paraId="4E9A31D7" w14:textId="065BB4F8" w:rsidR="00F42ABA" w:rsidRDefault="00F42ABA">
          <w:pPr>
            <w:pStyle w:val="TOC3"/>
            <w:tabs>
              <w:tab w:val="right" w:leader="dot" w:pos="9062"/>
            </w:tabs>
            <w:rPr>
              <w:noProof/>
              <w:lang w:val="en-IE" w:eastAsia="en-IE"/>
            </w:rPr>
          </w:pPr>
          <w:hyperlink w:anchor="_Toc180507856" w:history="1">
            <w:r w:rsidRPr="00233EA4">
              <w:rPr>
                <w:rStyle w:val="Hyperlink"/>
                <w:noProof/>
              </w:rPr>
              <w:t>7.1 Χρονοδιαγράμματα</w:t>
            </w:r>
            <w:r>
              <w:rPr>
                <w:noProof/>
                <w:webHidden/>
              </w:rPr>
              <w:tab/>
            </w:r>
            <w:r>
              <w:rPr>
                <w:noProof/>
                <w:webHidden/>
              </w:rPr>
              <w:fldChar w:fldCharType="begin"/>
            </w:r>
            <w:r>
              <w:rPr>
                <w:noProof/>
                <w:webHidden/>
              </w:rPr>
              <w:instrText xml:space="preserve"> PAGEREF _Toc180507856 \h </w:instrText>
            </w:r>
            <w:r>
              <w:rPr>
                <w:noProof/>
                <w:webHidden/>
              </w:rPr>
            </w:r>
            <w:r>
              <w:rPr>
                <w:noProof/>
                <w:webHidden/>
              </w:rPr>
              <w:fldChar w:fldCharType="separate"/>
            </w:r>
            <w:r>
              <w:rPr>
                <w:noProof/>
                <w:webHidden/>
              </w:rPr>
              <w:t>24</w:t>
            </w:r>
            <w:r>
              <w:rPr>
                <w:noProof/>
                <w:webHidden/>
              </w:rPr>
              <w:fldChar w:fldCharType="end"/>
            </w:r>
          </w:hyperlink>
        </w:p>
        <w:p w14:paraId="0C76E05F" w14:textId="4F330F10" w:rsidR="00F42ABA" w:rsidRDefault="00F42ABA">
          <w:pPr>
            <w:pStyle w:val="TOC3"/>
            <w:tabs>
              <w:tab w:val="right" w:leader="dot" w:pos="9062"/>
            </w:tabs>
            <w:rPr>
              <w:noProof/>
              <w:lang w:val="en-IE" w:eastAsia="en-IE"/>
            </w:rPr>
          </w:pPr>
          <w:hyperlink w:anchor="_Toc180507857" w:history="1">
            <w:r w:rsidRPr="00233EA4">
              <w:rPr>
                <w:rStyle w:val="Hyperlink"/>
                <w:noProof/>
              </w:rPr>
              <w:t>7.2 Επιθεωρήσεις και τελικός έλεγχος</w:t>
            </w:r>
            <w:r>
              <w:rPr>
                <w:noProof/>
                <w:webHidden/>
              </w:rPr>
              <w:tab/>
            </w:r>
            <w:r>
              <w:rPr>
                <w:noProof/>
                <w:webHidden/>
              </w:rPr>
              <w:fldChar w:fldCharType="begin"/>
            </w:r>
            <w:r>
              <w:rPr>
                <w:noProof/>
                <w:webHidden/>
              </w:rPr>
              <w:instrText xml:space="preserve"> PAGEREF _Toc180507857 \h </w:instrText>
            </w:r>
            <w:r>
              <w:rPr>
                <w:noProof/>
                <w:webHidden/>
              </w:rPr>
            </w:r>
            <w:r>
              <w:rPr>
                <w:noProof/>
                <w:webHidden/>
              </w:rPr>
              <w:fldChar w:fldCharType="separate"/>
            </w:r>
            <w:r>
              <w:rPr>
                <w:noProof/>
                <w:webHidden/>
              </w:rPr>
              <w:t>24</w:t>
            </w:r>
            <w:r>
              <w:rPr>
                <w:noProof/>
                <w:webHidden/>
              </w:rPr>
              <w:fldChar w:fldCharType="end"/>
            </w:r>
          </w:hyperlink>
        </w:p>
        <w:p w14:paraId="478A5921" w14:textId="4E94BED5"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58" w:history="1">
            <w:r w:rsidRPr="00233EA4">
              <w:rPr>
                <w:rStyle w:val="Hyperlink"/>
                <w:noProof/>
              </w:rPr>
              <w:t>Συντομογραφίες και ακρωνύμια</w:t>
            </w:r>
            <w:r>
              <w:rPr>
                <w:noProof/>
                <w:webHidden/>
              </w:rPr>
              <w:tab/>
            </w:r>
            <w:r>
              <w:rPr>
                <w:noProof/>
                <w:webHidden/>
              </w:rPr>
              <w:fldChar w:fldCharType="begin"/>
            </w:r>
            <w:r>
              <w:rPr>
                <w:noProof/>
                <w:webHidden/>
              </w:rPr>
              <w:instrText xml:space="preserve"> PAGEREF _Toc180507858 \h </w:instrText>
            </w:r>
            <w:r>
              <w:rPr>
                <w:noProof/>
                <w:webHidden/>
              </w:rPr>
            </w:r>
            <w:r>
              <w:rPr>
                <w:noProof/>
                <w:webHidden/>
              </w:rPr>
              <w:fldChar w:fldCharType="separate"/>
            </w:r>
            <w:r>
              <w:rPr>
                <w:noProof/>
                <w:webHidden/>
              </w:rPr>
              <w:t>28</w:t>
            </w:r>
            <w:r>
              <w:rPr>
                <w:noProof/>
                <w:webHidden/>
              </w:rPr>
              <w:fldChar w:fldCharType="end"/>
            </w:r>
          </w:hyperlink>
        </w:p>
        <w:p w14:paraId="218A1ECE" w14:textId="39D6BF75"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59" w:history="1">
            <w:r w:rsidRPr="00233EA4">
              <w:rPr>
                <w:rStyle w:val="Hyperlink"/>
                <w:noProof/>
              </w:rPr>
              <w:t>Παράρτημα 1 — Τεχνικοί σύμβουλοι</w:t>
            </w:r>
            <w:r>
              <w:rPr>
                <w:noProof/>
                <w:webHidden/>
              </w:rPr>
              <w:tab/>
            </w:r>
            <w:r>
              <w:rPr>
                <w:noProof/>
                <w:webHidden/>
              </w:rPr>
              <w:fldChar w:fldCharType="begin"/>
            </w:r>
            <w:r>
              <w:rPr>
                <w:noProof/>
                <w:webHidden/>
              </w:rPr>
              <w:instrText xml:space="preserve"> PAGEREF _Toc180507859 \h </w:instrText>
            </w:r>
            <w:r>
              <w:rPr>
                <w:noProof/>
                <w:webHidden/>
              </w:rPr>
            </w:r>
            <w:r>
              <w:rPr>
                <w:noProof/>
                <w:webHidden/>
              </w:rPr>
              <w:fldChar w:fldCharType="separate"/>
            </w:r>
            <w:r>
              <w:rPr>
                <w:noProof/>
                <w:webHidden/>
              </w:rPr>
              <w:t>30</w:t>
            </w:r>
            <w:r>
              <w:rPr>
                <w:noProof/>
                <w:webHidden/>
              </w:rPr>
              <w:fldChar w:fldCharType="end"/>
            </w:r>
          </w:hyperlink>
        </w:p>
        <w:p w14:paraId="4ACC9A2E" w14:textId="458D0C1C"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60" w:history="1">
            <w:r w:rsidRPr="00233EA4">
              <w:rPr>
                <w:rStyle w:val="Hyperlink"/>
                <w:noProof/>
              </w:rPr>
              <w:t>Παράρτημα 2 — Σύμβουλοι δομικής φυσικής, μηχανικοί δομικών έργων που εξειδικεύονται σε φορτία στέγης</w:t>
            </w:r>
            <w:r>
              <w:rPr>
                <w:noProof/>
                <w:webHidden/>
              </w:rPr>
              <w:tab/>
            </w:r>
            <w:r>
              <w:rPr>
                <w:noProof/>
                <w:webHidden/>
              </w:rPr>
              <w:fldChar w:fldCharType="begin"/>
            </w:r>
            <w:r>
              <w:rPr>
                <w:noProof/>
                <w:webHidden/>
              </w:rPr>
              <w:instrText xml:space="preserve"> PAGEREF _Toc180507860 \h </w:instrText>
            </w:r>
            <w:r>
              <w:rPr>
                <w:noProof/>
                <w:webHidden/>
              </w:rPr>
            </w:r>
            <w:r>
              <w:rPr>
                <w:noProof/>
                <w:webHidden/>
              </w:rPr>
              <w:fldChar w:fldCharType="separate"/>
            </w:r>
            <w:r>
              <w:rPr>
                <w:noProof/>
                <w:webHidden/>
              </w:rPr>
              <w:t>31</w:t>
            </w:r>
            <w:r>
              <w:rPr>
                <w:noProof/>
                <w:webHidden/>
              </w:rPr>
              <w:fldChar w:fldCharType="end"/>
            </w:r>
          </w:hyperlink>
        </w:p>
        <w:p w14:paraId="2643AC48" w14:textId="7CDB23BB"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61" w:history="1">
            <w:r w:rsidRPr="00233EA4">
              <w:rPr>
                <w:rStyle w:val="Hyperlink"/>
                <w:noProof/>
              </w:rPr>
              <w:t>Παράρτημα 3 — Εταιρείες εγκατάστασης, εταιρείες ΣΕΑ και φορείς υλοποίησης έργων για εταιρείες Φ/Β έργων</w:t>
            </w:r>
            <w:r>
              <w:rPr>
                <w:noProof/>
                <w:webHidden/>
              </w:rPr>
              <w:tab/>
            </w:r>
            <w:r>
              <w:rPr>
                <w:noProof/>
                <w:webHidden/>
              </w:rPr>
              <w:fldChar w:fldCharType="begin"/>
            </w:r>
            <w:r>
              <w:rPr>
                <w:noProof/>
                <w:webHidden/>
              </w:rPr>
              <w:instrText xml:space="preserve"> PAGEREF _Toc180507861 \h </w:instrText>
            </w:r>
            <w:r>
              <w:rPr>
                <w:noProof/>
                <w:webHidden/>
              </w:rPr>
            </w:r>
            <w:r>
              <w:rPr>
                <w:noProof/>
                <w:webHidden/>
              </w:rPr>
              <w:fldChar w:fldCharType="separate"/>
            </w:r>
            <w:r>
              <w:rPr>
                <w:noProof/>
                <w:webHidden/>
              </w:rPr>
              <w:t>32</w:t>
            </w:r>
            <w:r>
              <w:rPr>
                <w:noProof/>
                <w:webHidden/>
              </w:rPr>
              <w:fldChar w:fldCharType="end"/>
            </w:r>
          </w:hyperlink>
        </w:p>
        <w:p w14:paraId="0D350A45" w14:textId="24DF8AE1"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62" w:history="1">
            <w:r w:rsidRPr="00233EA4">
              <w:rPr>
                <w:rStyle w:val="Hyperlink"/>
                <w:noProof/>
              </w:rPr>
              <w:t>Παράρτημα 4 — Σύμβουλοι και πάροχοι εξειδικευμένοι σε συστήματα ενεργειακής διαχείρισης, μπαταρίες και διαχείριση ζήτησης</w:t>
            </w:r>
            <w:r>
              <w:rPr>
                <w:noProof/>
                <w:webHidden/>
              </w:rPr>
              <w:tab/>
            </w:r>
            <w:r>
              <w:rPr>
                <w:noProof/>
                <w:webHidden/>
              </w:rPr>
              <w:fldChar w:fldCharType="begin"/>
            </w:r>
            <w:r>
              <w:rPr>
                <w:noProof/>
                <w:webHidden/>
              </w:rPr>
              <w:instrText xml:space="preserve"> PAGEREF _Toc180507862 \h </w:instrText>
            </w:r>
            <w:r>
              <w:rPr>
                <w:noProof/>
                <w:webHidden/>
              </w:rPr>
            </w:r>
            <w:r>
              <w:rPr>
                <w:noProof/>
                <w:webHidden/>
              </w:rPr>
              <w:fldChar w:fldCharType="separate"/>
            </w:r>
            <w:r>
              <w:rPr>
                <w:noProof/>
                <w:webHidden/>
              </w:rPr>
              <w:t>34</w:t>
            </w:r>
            <w:r>
              <w:rPr>
                <w:noProof/>
                <w:webHidden/>
              </w:rPr>
              <w:fldChar w:fldCharType="end"/>
            </w:r>
          </w:hyperlink>
        </w:p>
        <w:p w14:paraId="46D7B0D0" w14:textId="2D589CFF"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63" w:history="1">
            <w:r w:rsidRPr="00233EA4">
              <w:rPr>
                <w:rStyle w:val="Hyperlink"/>
                <w:noProof/>
              </w:rPr>
              <w:t>Παράρτημα 5 — Εταιρείες χορήγησης δανειακών κεφαλαίων</w:t>
            </w:r>
            <w:r>
              <w:rPr>
                <w:noProof/>
                <w:webHidden/>
              </w:rPr>
              <w:tab/>
            </w:r>
            <w:r>
              <w:rPr>
                <w:noProof/>
                <w:webHidden/>
              </w:rPr>
              <w:fldChar w:fldCharType="begin"/>
            </w:r>
            <w:r>
              <w:rPr>
                <w:noProof/>
                <w:webHidden/>
              </w:rPr>
              <w:instrText xml:space="preserve"> PAGEREF _Toc180507863 \h </w:instrText>
            </w:r>
            <w:r>
              <w:rPr>
                <w:noProof/>
                <w:webHidden/>
              </w:rPr>
            </w:r>
            <w:r>
              <w:rPr>
                <w:noProof/>
                <w:webHidden/>
              </w:rPr>
              <w:fldChar w:fldCharType="separate"/>
            </w:r>
            <w:r>
              <w:rPr>
                <w:noProof/>
                <w:webHidden/>
              </w:rPr>
              <w:t>35</w:t>
            </w:r>
            <w:r>
              <w:rPr>
                <w:noProof/>
                <w:webHidden/>
              </w:rPr>
              <w:fldChar w:fldCharType="end"/>
            </w:r>
          </w:hyperlink>
        </w:p>
        <w:p w14:paraId="5BA6FACC" w14:textId="4B97664D"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64" w:history="1">
            <w:r w:rsidRPr="00233EA4">
              <w:rPr>
                <w:rStyle w:val="Hyperlink"/>
                <w:noProof/>
              </w:rPr>
              <w:t>και χρηματοδότησης με ίδια κεφάλαια</w:t>
            </w:r>
            <w:r>
              <w:rPr>
                <w:noProof/>
                <w:webHidden/>
              </w:rPr>
              <w:tab/>
            </w:r>
            <w:r>
              <w:rPr>
                <w:noProof/>
                <w:webHidden/>
              </w:rPr>
              <w:fldChar w:fldCharType="begin"/>
            </w:r>
            <w:r>
              <w:rPr>
                <w:noProof/>
                <w:webHidden/>
              </w:rPr>
              <w:instrText xml:space="preserve"> PAGEREF _Toc180507864 \h </w:instrText>
            </w:r>
            <w:r>
              <w:rPr>
                <w:noProof/>
                <w:webHidden/>
              </w:rPr>
            </w:r>
            <w:r>
              <w:rPr>
                <w:noProof/>
                <w:webHidden/>
              </w:rPr>
              <w:fldChar w:fldCharType="separate"/>
            </w:r>
            <w:r>
              <w:rPr>
                <w:noProof/>
                <w:webHidden/>
              </w:rPr>
              <w:t>35</w:t>
            </w:r>
            <w:r>
              <w:rPr>
                <w:noProof/>
                <w:webHidden/>
              </w:rPr>
              <w:fldChar w:fldCharType="end"/>
            </w:r>
          </w:hyperlink>
        </w:p>
        <w:p w14:paraId="2FF038C8" w14:textId="4F9DF222"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65" w:history="1">
            <w:r w:rsidRPr="00233EA4">
              <w:rPr>
                <w:rStyle w:val="Hyperlink"/>
                <w:noProof/>
              </w:rPr>
              <w:t>Παράρτημα 6 — Επιθεωρήσεις βάσει της Ενότητας 12</w:t>
            </w:r>
            <w:r>
              <w:rPr>
                <w:noProof/>
                <w:webHidden/>
              </w:rPr>
              <w:tab/>
            </w:r>
            <w:r>
              <w:rPr>
                <w:noProof/>
                <w:webHidden/>
              </w:rPr>
              <w:fldChar w:fldCharType="begin"/>
            </w:r>
            <w:r>
              <w:rPr>
                <w:noProof/>
                <w:webHidden/>
              </w:rPr>
              <w:instrText xml:space="preserve"> PAGEREF _Toc180507865 \h </w:instrText>
            </w:r>
            <w:r>
              <w:rPr>
                <w:noProof/>
                <w:webHidden/>
              </w:rPr>
            </w:r>
            <w:r>
              <w:rPr>
                <w:noProof/>
                <w:webHidden/>
              </w:rPr>
              <w:fldChar w:fldCharType="separate"/>
            </w:r>
            <w:r>
              <w:rPr>
                <w:noProof/>
                <w:webHidden/>
              </w:rPr>
              <w:t>36</w:t>
            </w:r>
            <w:r>
              <w:rPr>
                <w:noProof/>
                <w:webHidden/>
              </w:rPr>
              <w:fldChar w:fldCharType="end"/>
            </w:r>
          </w:hyperlink>
        </w:p>
        <w:p w14:paraId="2DBF0DE0" w14:textId="37B84C12"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66" w:history="1">
            <w:r w:rsidRPr="00233EA4">
              <w:rPr>
                <w:rStyle w:val="Hyperlink"/>
                <w:noProof/>
              </w:rPr>
              <w:t>Παράρτημα 7 — Έλεγχοι στο εργοστάσιο και δειγματοληπτικές δοκιμές</w:t>
            </w:r>
            <w:r>
              <w:rPr>
                <w:noProof/>
                <w:webHidden/>
              </w:rPr>
              <w:tab/>
            </w:r>
            <w:r>
              <w:rPr>
                <w:noProof/>
                <w:webHidden/>
              </w:rPr>
              <w:fldChar w:fldCharType="begin"/>
            </w:r>
            <w:r>
              <w:rPr>
                <w:noProof/>
                <w:webHidden/>
              </w:rPr>
              <w:instrText xml:space="preserve"> PAGEREF _Toc180507866 \h </w:instrText>
            </w:r>
            <w:r>
              <w:rPr>
                <w:noProof/>
                <w:webHidden/>
              </w:rPr>
            </w:r>
            <w:r>
              <w:rPr>
                <w:noProof/>
                <w:webHidden/>
              </w:rPr>
              <w:fldChar w:fldCharType="separate"/>
            </w:r>
            <w:r>
              <w:rPr>
                <w:noProof/>
                <w:webHidden/>
              </w:rPr>
              <w:t>37</w:t>
            </w:r>
            <w:r>
              <w:rPr>
                <w:noProof/>
                <w:webHidden/>
              </w:rPr>
              <w:fldChar w:fldCharType="end"/>
            </w:r>
          </w:hyperlink>
        </w:p>
        <w:p w14:paraId="15840D37" w14:textId="29C11706"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67" w:history="1">
            <w:r w:rsidRPr="00233EA4">
              <w:rPr>
                <w:rStyle w:val="Hyperlink"/>
                <w:noProof/>
              </w:rPr>
              <w:t>Παράρτημα 8 — Παρακολούθηση, συντήρηση και επισκευές</w:t>
            </w:r>
            <w:r>
              <w:rPr>
                <w:noProof/>
                <w:webHidden/>
              </w:rPr>
              <w:tab/>
            </w:r>
            <w:r>
              <w:rPr>
                <w:noProof/>
                <w:webHidden/>
              </w:rPr>
              <w:fldChar w:fldCharType="begin"/>
            </w:r>
            <w:r>
              <w:rPr>
                <w:noProof/>
                <w:webHidden/>
              </w:rPr>
              <w:instrText xml:space="preserve"> PAGEREF _Toc180507867 \h </w:instrText>
            </w:r>
            <w:r>
              <w:rPr>
                <w:noProof/>
                <w:webHidden/>
              </w:rPr>
            </w:r>
            <w:r>
              <w:rPr>
                <w:noProof/>
                <w:webHidden/>
              </w:rPr>
              <w:fldChar w:fldCharType="separate"/>
            </w:r>
            <w:r>
              <w:rPr>
                <w:noProof/>
                <w:webHidden/>
              </w:rPr>
              <w:t>38</w:t>
            </w:r>
            <w:r>
              <w:rPr>
                <w:noProof/>
                <w:webHidden/>
              </w:rPr>
              <w:fldChar w:fldCharType="end"/>
            </w:r>
          </w:hyperlink>
        </w:p>
        <w:p w14:paraId="05FBAB5C" w14:textId="330EACD3" w:rsidR="00F42ABA" w:rsidRDefault="00F42ABA">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7868" w:history="1">
            <w:r w:rsidRPr="00233EA4">
              <w:rPr>
                <w:rStyle w:val="Hyperlink"/>
                <w:noProof/>
              </w:rPr>
              <w:t>Παράρτημα 9 — Επισκόπηση ασφαλιστικής κάλυψης CAR</w:t>
            </w:r>
            <w:r>
              <w:rPr>
                <w:noProof/>
                <w:webHidden/>
              </w:rPr>
              <w:tab/>
            </w:r>
            <w:r>
              <w:rPr>
                <w:noProof/>
                <w:webHidden/>
              </w:rPr>
              <w:fldChar w:fldCharType="begin"/>
            </w:r>
            <w:r>
              <w:rPr>
                <w:noProof/>
                <w:webHidden/>
              </w:rPr>
              <w:instrText xml:space="preserve"> PAGEREF _Toc180507868 \h </w:instrText>
            </w:r>
            <w:r>
              <w:rPr>
                <w:noProof/>
                <w:webHidden/>
              </w:rPr>
            </w:r>
            <w:r>
              <w:rPr>
                <w:noProof/>
                <w:webHidden/>
              </w:rPr>
              <w:fldChar w:fldCharType="separate"/>
            </w:r>
            <w:r>
              <w:rPr>
                <w:noProof/>
                <w:webHidden/>
              </w:rPr>
              <w:t>39</w:t>
            </w:r>
            <w:r>
              <w:rPr>
                <w:noProof/>
                <w:webHidden/>
              </w:rPr>
              <w:fldChar w:fldCharType="end"/>
            </w:r>
          </w:hyperlink>
        </w:p>
        <w:p w14:paraId="22E99AA0" w14:textId="4C27DDAA" w:rsidR="00F42ABA" w:rsidRDefault="00F42ABA">
          <w:pPr>
            <w:pStyle w:val="TOC3"/>
            <w:tabs>
              <w:tab w:val="right" w:leader="dot" w:pos="9062"/>
            </w:tabs>
            <w:rPr>
              <w:noProof/>
              <w:lang w:val="en-IE" w:eastAsia="en-IE"/>
            </w:rPr>
          </w:pPr>
          <w:hyperlink w:anchor="_Toc180507869" w:history="1">
            <w:r w:rsidRPr="00233EA4">
              <w:rPr>
                <w:rStyle w:val="Hyperlink"/>
                <w:noProof/>
              </w:rPr>
              <w:t>Τμήμα I: Εργασίες</w:t>
            </w:r>
            <w:r>
              <w:rPr>
                <w:noProof/>
                <w:webHidden/>
              </w:rPr>
              <w:tab/>
            </w:r>
            <w:r>
              <w:rPr>
                <w:noProof/>
                <w:webHidden/>
              </w:rPr>
              <w:fldChar w:fldCharType="begin"/>
            </w:r>
            <w:r>
              <w:rPr>
                <w:noProof/>
                <w:webHidden/>
              </w:rPr>
              <w:instrText xml:space="preserve"> PAGEREF _Toc180507869 \h </w:instrText>
            </w:r>
            <w:r>
              <w:rPr>
                <w:noProof/>
                <w:webHidden/>
              </w:rPr>
            </w:r>
            <w:r>
              <w:rPr>
                <w:noProof/>
                <w:webHidden/>
              </w:rPr>
              <w:fldChar w:fldCharType="separate"/>
            </w:r>
            <w:r>
              <w:rPr>
                <w:noProof/>
                <w:webHidden/>
              </w:rPr>
              <w:t>39</w:t>
            </w:r>
            <w:r>
              <w:rPr>
                <w:noProof/>
                <w:webHidden/>
              </w:rPr>
              <w:fldChar w:fldCharType="end"/>
            </w:r>
          </w:hyperlink>
        </w:p>
        <w:p w14:paraId="34EF83B1" w14:textId="76DDBA6C" w:rsidR="00D7386F" w:rsidRDefault="00094DE4" w:rsidP="00094DE4">
          <w:pPr>
            <w:pStyle w:val="TOCHeading"/>
          </w:pPr>
          <w:r>
            <w:fldChar w:fldCharType="end"/>
          </w:r>
        </w:p>
      </w:sdtContent>
    </w:sdt>
    <w:p w14:paraId="2F7FDC0E" w14:textId="2B73A0F6" w:rsidR="00845A98" w:rsidRPr="00D7386F" w:rsidRDefault="00845A98" w:rsidP="00206127">
      <w:pPr>
        <w:rPr>
          <w:rFonts w:ascii="Arial" w:hAnsi="Arial" w:cs="Arial"/>
        </w:rPr>
      </w:pPr>
    </w:p>
    <w:p w14:paraId="1A6D9B65" w14:textId="2B054BDD" w:rsidR="004E584B" w:rsidRPr="004C0EBD" w:rsidRDefault="004E584B" w:rsidP="00A3595E">
      <w:pPr>
        <w:pStyle w:val="Heading1"/>
      </w:pPr>
      <w:r>
        <w:br w:type="page"/>
      </w:r>
    </w:p>
    <w:p w14:paraId="652A77CB" w14:textId="77777777" w:rsidR="00DE36D8" w:rsidRDefault="00DE36D8" w:rsidP="00094DE4">
      <w:pPr>
        <w:pStyle w:val="MH1"/>
      </w:pPr>
    </w:p>
    <w:p w14:paraId="078F822A" w14:textId="77777777" w:rsidR="00F42ABA" w:rsidRDefault="00F42ABA" w:rsidP="00F42ABA">
      <w:pPr>
        <w:pStyle w:val="MH1"/>
      </w:pPr>
      <w:bookmarkStart w:id="100" w:name="_Toc180507830"/>
      <w:proofErr w:type="spellStart"/>
      <w:r w:rsidRPr="004C0EBD">
        <w:t>Objective</w:t>
      </w:r>
      <w:proofErr w:type="spellEnd"/>
      <w:r w:rsidRPr="004C0EBD">
        <w:t xml:space="preserve"> of and </w:t>
      </w:r>
      <w:proofErr w:type="spellStart"/>
      <w:r w:rsidRPr="004C0EBD">
        <w:t>background</w:t>
      </w:r>
      <w:proofErr w:type="spellEnd"/>
      <w:r w:rsidRPr="004C0EBD">
        <w:t xml:space="preserve"> </w:t>
      </w:r>
      <w:r>
        <w:br/>
      </w:r>
      <w:proofErr w:type="spellStart"/>
      <w:r w:rsidRPr="004C0EBD">
        <w:t>to</w:t>
      </w:r>
      <w:proofErr w:type="spellEnd"/>
      <w:r w:rsidRPr="004C0EBD">
        <w:t xml:space="preserve"> </w:t>
      </w:r>
      <w:proofErr w:type="spellStart"/>
      <w:r w:rsidRPr="004C0EBD">
        <w:t>this</w:t>
      </w:r>
      <w:proofErr w:type="spellEnd"/>
      <w:r>
        <w:t xml:space="preserve"> </w:t>
      </w:r>
      <w:proofErr w:type="spellStart"/>
      <w:r w:rsidRPr="004C0EBD">
        <w:t>guide</w:t>
      </w:r>
      <w:bookmarkEnd w:id="100"/>
      <w:proofErr w:type="spellEnd"/>
    </w:p>
    <w:p w14:paraId="27814BB1" w14:textId="77777777" w:rsidR="00F42ABA" w:rsidRPr="004C0EBD" w:rsidRDefault="00F42ABA" w:rsidP="00F42ABA">
      <w:pPr>
        <w:pStyle w:val="MH1"/>
      </w:pPr>
    </w:p>
    <w:p w14:paraId="26419540" w14:textId="77777777" w:rsidR="00F42ABA" w:rsidRPr="00DE36D8" w:rsidRDefault="00F42ABA" w:rsidP="00F42ABA">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w:t>
      </w:r>
      <w:proofErr w:type="spellStart"/>
      <w:r w:rsidRPr="00DE36D8">
        <w:t>to</w:t>
      </w:r>
      <w:proofErr w:type="spellEnd"/>
      <w:r w:rsidRPr="00DE36D8">
        <w:t xml:space="preserve">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the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w:t>
      </w:r>
      <w:proofErr w:type="spellStart"/>
      <w:r w:rsidRPr="00DE36D8">
        <w:t>out</w:t>
      </w:r>
      <w:proofErr w:type="spellEnd"/>
      <w:r w:rsidRPr="00DE36D8">
        <w:t xml:space="preserve"> </w:t>
      </w:r>
      <w:proofErr w:type="spellStart"/>
      <w:r w:rsidRPr="00DE36D8">
        <w:t>steps</w:t>
      </w:r>
      <w:proofErr w:type="spellEnd"/>
      <w:r w:rsidRPr="00DE36D8">
        <w:t xml:space="preserve"> and </w:t>
      </w:r>
      <w:proofErr w:type="spellStart"/>
      <w:r w:rsidRPr="00DE36D8">
        <w:t>choices</w:t>
      </w:r>
      <w:proofErr w:type="spellEnd"/>
      <w:r w:rsidRPr="00DE36D8">
        <w:t xml:space="preserve">, and </w:t>
      </w:r>
      <w:proofErr w:type="spellStart"/>
      <w:r w:rsidRPr="00DE36D8">
        <w:t>providing</w:t>
      </w:r>
      <w:proofErr w:type="spellEnd"/>
      <w:r w:rsidRPr="00DE36D8">
        <w:t xml:space="preserve"> </w:t>
      </w:r>
      <w:proofErr w:type="spellStart"/>
      <w:r w:rsidRPr="00DE36D8">
        <w:t>lists</w:t>
      </w:r>
      <w:proofErr w:type="spellEnd"/>
      <w:r w:rsidRPr="00DE36D8">
        <w:t xml:space="preserve"> of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3D078AD2" w14:textId="77777777" w:rsidR="00F42ABA" w:rsidRPr="00DE36D8" w:rsidRDefault="00F42ABA" w:rsidP="00F42ABA">
      <w:pPr>
        <w:pStyle w:val="BodyText1"/>
      </w:pPr>
    </w:p>
    <w:p w14:paraId="65657A92" w14:textId="77777777" w:rsidR="00F42ABA" w:rsidRPr="00DE36D8" w:rsidRDefault="00F42ABA" w:rsidP="00F42ABA">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w:t>
      </w:r>
      <w:proofErr w:type="spellStart"/>
      <w:r w:rsidRPr="00DE36D8">
        <w:t>one</w:t>
      </w:r>
      <w:proofErr w:type="spellEnd"/>
      <w:r w:rsidRPr="00DE36D8">
        <w:t xml:space="preserve"> of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r w:rsidRPr="00DE36D8">
        <w:t>the</w:t>
      </w:r>
      <w:r>
        <w:t xml:space="preserve"> ‘</w:t>
      </w:r>
      <w:proofErr w:type="spellStart"/>
      <w:r w:rsidRPr="00F36F46">
        <w:rPr>
          <w:i/>
          <w:iCs/>
        </w:rPr>
        <w:t>Template</w:t>
      </w:r>
      <w:proofErr w:type="spellEnd"/>
      <w:r w:rsidRPr="00F36F46">
        <w:rPr>
          <w:i/>
          <w:iCs/>
        </w:rPr>
        <w:t xml:space="preserve"> for </w:t>
      </w:r>
      <w:proofErr w:type="spellStart"/>
      <w:r w:rsidRPr="00F36F46">
        <w:rPr>
          <w:i/>
          <w:iCs/>
        </w:rPr>
        <w:t>purchase</w:t>
      </w:r>
      <w:proofErr w:type="spellEnd"/>
      <w:r w:rsidRPr="00F36F46">
        <w:rPr>
          <w:i/>
          <w:iCs/>
        </w:rPr>
        <w:t xml:space="preserve"> </w:t>
      </w:r>
      <w:proofErr w:type="spellStart"/>
      <w:r w:rsidRPr="00F36F46">
        <w:rPr>
          <w:i/>
          <w:iCs/>
        </w:rPr>
        <w:t>requirements</w:t>
      </w:r>
      <w:proofErr w:type="spellEnd"/>
      <w:r w:rsidRPr="00F36F46">
        <w:rPr>
          <w:i/>
          <w:iCs/>
        </w:rPr>
        <w:t xml:space="preserve"> and </w:t>
      </w:r>
      <w:proofErr w:type="spellStart"/>
      <w:r w:rsidRPr="00F36F46">
        <w:rPr>
          <w:i/>
          <w:iCs/>
        </w:rPr>
        <w:t>award</w:t>
      </w:r>
      <w:proofErr w:type="spellEnd"/>
      <w:r w:rsidRPr="00F36F46">
        <w:rPr>
          <w:i/>
          <w:iCs/>
        </w:rPr>
        <w:t xml:space="preserve"> </w:t>
      </w:r>
      <w:proofErr w:type="spellStart"/>
      <w:r w:rsidRPr="00F36F46">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F42ABA" w:rsidRPr="00DE36D8" w14:paraId="2E7FAA62" w14:textId="77777777" w:rsidTr="00F36F46">
        <w:trPr>
          <w:trHeight w:val="32"/>
        </w:trPr>
        <w:tc>
          <w:tcPr>
            <w:tcW w:w="9448" w:type="dxa"/>
          </w:tcPr>
          <w:p w14:paraId="011C1C8B" w14:textId="77777777" w:rsidR="00F42ABA" w:rsidRPr="00DE36D8" w:rsidRDefault="00F42ABA" w:rsidP="00F36F46">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of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F42ABA" w:rsidRPr="00DE36D8" w14:paraId="2089C9E0" w14:textId="77777777" w:rsidTr="00F36F46">
        <w:trPr>
          <w:trHeight w:val="33"/>
        </w:trPr>
        <w:tc>
          <w:tcPr>
            <w:tcW w:w="9448" w:type="dxa"/>
          </w:tcPr>
          <w:p w14:paraId="72B839AE" w14:textId="77777777" w:rsidR="00F42ABA" w:rsidRPr="00DE36D8" w:rsidRDefault="00F42ABA" w:rsidP="00F36F46">
            <w:pPr>
              <w:pStyle w:val="BodyText1"/>
              <w:rPr>
                <w:sz w:val="24"/>
                <w:szCs w:val="24"/>
              </w:rPr>
            </w:pPr>
            <w:r w:rsidRPr="00DE36D8">
              <w:t xml:space="preserve">II. </w:t>
            </w:r>
            <w:proofErr w:type="spellStart"/>
            <w:r>
              <w:t>Preparing</w:t>
            </w:r>
            <w:proofErr w:type="spellEnd"/>
            <w:r>
              <w:t xml:space="preserve"> a </w:t>
            </w:r>
            <w:proofErr w:type="spellStart"/>
            <w:r w:rsidRPr="00DE36D8">
              <w:t>tender</w:t>
            </w:r>
            <w:proofErr w:type="spellEnd"/>
            <w:r w:rsidRPr="00DE36D8">
              <w:t xml:space="preserve"> for a PV </w:t>
            </w:r>
            <w:proofErr w:type="spellStart"/>
            <w:r w:rsidRPr="00DE36D8">
              <w:t>project</w:t>
            </w:r>
            <w:proofErr w:type="spellEnd"/>
            <w:r>
              <w:t>,</w:t>
            </w:r>
            <w:r w:rsidRPr="00DE36D8">
              <w:t xml:space="preserve"> and </w:t>
            </w:r>
            <w:proofErr w:type="spellStart"/>
            <w:r w:rsidRPr="00DE36D8">
              <w:t>explanation</w:t>
            </w:r>
            <w:proofErr w:type="spellEnd"/>
            <w:r w:rsidRPr="00DE36D8">
              <w:t xml:space="preserve"> of the </w:t>
            </w:r>
            <w:proofErr w:type="spellStart"/>
            <w:r>
              <w:t>T</w:t>
            </w:r>
            <w:r w:rsidRPr="00DE36D8">
              <w:t>emplate</w:t>
            </w:r>
            <w:proofErr w:type="spellEnd"/>
          </w:p>
        </w:tc>
      </w:tr>
      <w:tr w:rsidR="00F42ABA" w:rsidRPr="00DE36D8" w14:paraId="1A708AC7" w14:textId="77777777" w:rsidTr="0088732B">
        <w:trPr>
          <w:trHeight w:val="33"/>
        </w:trPr>
        <w:tc>
          <w:tcPr>
            <w:tcW w:w="9448" w:type="dxa"/>
          </w:tcPr>
          <w:p w14:paraId="611269C5" w14:textId="77777777" w:rsidR="00F42ABA" w:rsidRPr="00DE36D8" w:rsidRDefault="00F42ABA" w:rsidP="00F36F46">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and </w:t>
            </w:r>
            <w:proofErr w:type="spellStart"/>
            <w:r w:rsidRPr="00DE36D8">
              <w:t>market</w:t>
            </w:r>
            <w:proofErr w:type="spellEnd"/>
            <w:r w:rsidRPr="00DE36D8">
              <w:t xml:space="preserve"> </w:t>
            </w:r>
            <w:proofErr w:type="spellStart"/>
            <w:r w:rsidRPr="00DE36D8">
              <w:t>scan</w:t>
            </w:r>
            <w:proofErr w:type="spellEnd"/>
            <w:r w:rsidRPr="00DE36D8">
              <w:t xml:space="preserve"> of the </w:t>
            </w:r>
            <w:proofErr w:type="spellStart"/>
            <w:r w:rsidRPr="00DE36D8">
              <w:t>more</w:t>
            </w:r>
            <w:proofErr w:type="spellEnd"/>
            <w:r w:rsidRPr="00DE36D8">
              <w:t xml:space="preserve"> </w:t>
            </w:r>
            <w:proofErr w:type="spellStart"/>
            <w:r w:rsidRPr="00DE36D8">
              <w:t>sustainable</w:t>
            </w:r>
            <w:proofErr w:type="spellEnd"/>
            <w:r w:rsidRPr="00DE36D8">
              <w:t xml:space="preserve"> </w:t>
            </w:r>
            <w:proofErr w:type="spellStart"/>
            <w:r w:rsidRPr="00DE36D8">
              <w:t>solar</w:t>
            </w:r>
            <w:proofErr w:type="spellEnd"/>
            <w:r w:rsidRPr="00DE36D8">
              <w:t xml:space="preserve"> </w:t>
            </w:r>
            <w:proofErr w:type="spellStart"/>
            <w:r w:rsidRPr="00DE36D8">
              <w:t>panels</w:t>
            </w:r>
            <w:proofErr w:type="spellEnd"/>
          </w:p>
        </w:tc>
      </w:tr>
    </w:tbl>
    <w:p w14:paraId="6A88B075" w14:textId="77777777" w:rsidR="00F42ABA" w:rsidRPr="0088732B" w:rsidRDefault="00F42ABA" w:rsidP="00F42ABA">
      <w:pPr>
        <w:pStyle w:val="BodyText1"/>
        <w:rPr>
          <w:rStyle w:val="SubtleEmphasis"/>
          <w:b w:val="0"/>
          <w:bCs w:val="0"/>
          <w:color w:val="auto"/>
        </w:rPr>
      </w:pPr>
      <w:r>
        <w:rPr>
          <w:rStyle w:val="SubtleEmphasis"/>
          <w:b w:val="0"/>
          <w:bCs w:val="0"/>
          <w:color w:val="auto"/>
        </w:rPr>
        <w:t xml:space="preserve">A </w:t>
      </w:r>
      <w:proofErr w:type="spellStart"/>
      <w:r>
        <w:rPr>
          <w:rStyle w:val="SubtleEmphasis"/>
          <w:b w:val="0"/>
          <w:bCs w:val="0"/>
          <w:color w:val="auto"/>
        </w:rPr>
        <w:t>draft</w:t>
      </w:r>
      <w:proofErr w:type="spellEnd"/>
      <w:r>
        <w:rPr>
          <w:rStyle w:val="SubtleEmphasis"/>
          <w:b w:val="0"/>
          <w:bCs w:val="0"/>
          <w:color w:val="auto"/>
        </w:rPr>
        <w:t xml:space="preserve"> of t</w:t>
      </w:r>
      <w:r w:rsidRPr="00F36F46">
        <w:rPr>
          <w:rStyle w:val="SubtleEmphasis"/>
          <w:b w:val="0"/>
          <w:bCs w:val="0"/>
          <w:color w:val="auto"/>
        </w:rPr>
        <w:t xml:space="preserve">he </w:t>
      </w:r>
      <w:r>
        <w:rPr>
          <w:rStyle w:val="SubtleEmphasis"/>
          <w:b w:val="0"/>
          <w:bCs w:val="0"/>
          <w:color w:val="auto"/>
        </w:rPr>
        <w:t>‘</w:t>
      </w:r>
      <w:proofErr w:type="spellStart"/>
      <w:r w:rsidRPr="00417768">
        <w:rPr>
          <w:i/>
          <w:iCs/>
        </w:rPr>
        <w:t>Template</w:t>
      </w:r>
      <w:proofErr w:type="spellEnd"/>
      <w:r w:rsidRPr="00417768">
        <w:rPr>
          <w:i/>
          <w:iCs/>
        </w:rPr>
        <w:t xml:space="preserve"> for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w:t>
      </w:r>
      <w:proofErr w:type="spellStart"/>
      <w:r>
        <w:t>It</w:t>
      </w:r>
      <w:proofErr w:type="spellEnd"/>
      <w:r>
        <w:t xml:space="preserve"> </w:t>
      </w:r>
      <w:proofErr w:type="spellStart"/>
      <w:r>
        <w:t>is</w:t>
      </w:r>
      <w:proofErr w:type="spellEnd"/>
      <w:r>
        <w:t xml:space="preserve"> </w:t>
      </w:r>
      <w:proofErr w:type="spellStart"/>
      <w:r>
        <w:t>created</w:t>
      </w:r>
      <w:proofErr w:type="spellEnd"/>
      <w:r>
        <w:t xml:space="preserve"> </w:t>
      </w:r>
      <w:proofErr w:type="spellStart"/>
      <w:r>
        <w:t>as</w:t>
      </w:r>
      <w:proofErr w:type="spellEnd"/>
      <w:r>
        <w:t xml:space="preserve">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w:t>
      </w:r>
      <w:proofErr w:type="spellStart"/>
      <w:r>
        <w:t>as</w:t>
      </w:r>
      <w:proofErr w:type="spellEnd"/>
      <w:r>
        <w:t xml:space="preserve"> in </w:t>
      </w:r>
      <w:proofErr w:type="spellStart"/>
      <w:r>
        <w:t>tender</w:t>
      </w:r>
      <w:proofErr w:type="spellEnd"/>
      <w:r>
        <w:t xml:space="preserve">/RFQ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of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18E6733D" w14:textId="77777777" w:rsidR="00F42ABA" w:rsidRPr="00F36F46" w:rsidRDefault="00F42ABA" w:rsidP="00F42ABA">
      <w:pPr>
        <w:pStyle w:val="BodyText1"/>
        <w:rPr>
          <w:rStyle w:val="SubtleEmphasis"/>
          <w:b w:val="0"/>
          <w:bCs w:val="0"/>
          <w:color w:val="auto"/>
        </w:rPr>
      </w:pPr>
    </w:p>
    <w:p w14:paraId="5BDFB2DD" w14:textId="77777777" w:rsidR="00F42ABA" w:rsidRPr="00C42EE6" w:rsidRDefault="00F42ABA" w:rsidP="00F42ABA">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of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2FDDC1F8" w14:textId="77777777" w:rsidR="00F42ABA" w:rsidRPr="004C0EBD" w:rsidRDefault="00F42ABA" w:rsidP="00F42ABA">
      <w:pPr>
        <w:pStyle w:val="BodyText1"/>
      </w:pPr>
      <w:r w:rsidRPr="006B1209">
        <w:rPr>
          <w:color w:val="104D54"/>
          <w:sz w:val="36"/>
          <w:szCs w:val="36"/>
        </w:rPr>
        <w:t xml:space="preserve"> </w:t>
      </w:r>
      <w:r w:rsidRPr="004C0EBD">
        <w:br/>
        <w:t xml:space="preserve">The </w:t>
      </w:r>
      <w:proofErr w:type="spellStart"/>
      <w:r w:rsidRPr="004C0EBD">
        <w:t>objective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w:t>
      </w:r>
      <w:proofErr w:type="spellStart"/>
      <w:r w:rsidRPr="004C0EBD">
        <w:t>out</w:t>
      </w:r>
      <w:proofErr w:type="spellEnd"/>
      <w:r w:rsidRPr="004C0EBD">
        <w:t xml:space="preserve"> PV </w:t>
      </w:r>
      <w:proofErr w:type="spellStart"/>
      <w:r w:rsidRPr="004C0EBD">
        <w:t>projects</w:t>
      </w:r>
      <w:proofErr w:type="spellEnd"/>
      <w:r w:rsidRPr="004C0EBD">
        <w:t xml:space="preserve"> </w:t>
      </w:r>
      <w:proofErr w:type="spellStart"/>
      <w:r w:rsidRPr="004C0EBD">
        <w:t>offering</w:t>
      </w:r>
      <w:proofErr w:type="spellEnd"/>
      <w:r w:rsidRPr="004C0EBD">
        <w:t>:</w:t>
      </w:r>
    </w:p>
    <w:p w14:paraId="69672055" w14:textId="77777777" w:rsidR="00F42ABA" w:rsidRPr="004C0EBD" w:rsidRDefault="00F42ABA" w:rsidP="00F42ABA">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34504388" w14:textId="77777777" w:rsidR="00F42ABA" w:rsidRPr="004C0EBD" w:rsidRDefault="00F42ABA" w:rsidP="00F42ABA">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063B8C68" w14:textId="77777777" w:rsidR="00F42ABA" w:rsidRPr="006B1209" w:rsidRDefault="00F42ABA" w:rsidP="00F42ABA">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358616A6" w14:textId="77777777" w:rsidR="00F42ABA" w:rsidRPr="004C0EBD" w:rsidRDefault="00F42ABA" w:rsidP="00F42ABA">
      <w:pPr>
        <w:pStyle w:val="ListParagraph"/>
        <w:ind w:left="709"/>
        <w:rPr>
          <w:sz w:val="21"/>
          <w:szCs w:val="21"/>
        </w:rPr>
      </w:pPr>
    </w:p>
    <w:p w14:paraId="741F9FDD" w14:textId="77777777" w:rsidR="00F42ABA" w:rsidRPr="001079C7" w:rsidRDefault="00F42ABA" w:rsidP="00F42ABA">
      <w:pPr>
        <w:pStyle w:val="MH3"/>
        <w:rPr>
          <w:rStyle w:val="SubtleEmphasis"/>
          <w:b/>
          <w:bCs w:val="0"/>
          <w:color w:val="104D54"/>
        </w:rPr>
      </w:pPr>
      <w:bookmarkStart w:id="101" w:name="_Toc180507831"/>
      <w:proofErr w:type="spellStart"/>
      <w:r>
        <w:rPr>
          <w:rStyle w:val="SubtleEmphasis"/>
          <w:b/>
          <w:bCs w:val="0"/>
          <w:color w:val="104D54"/>
        </w:rPr>
        <w:t>Why</w:t>
      </w:r>
      <w:bookmarkEnd w:id="101"/>
      <w:proofErr w:type="spellEnd"/>
      <w:r w:rsidRPr="001079C7">
        <w:rPr>
          <w:rStyle w:val="SubtleEmphasis"/>
          <w:b/>
          <w:bCs w:val="0"/>
          <w:color w:val="104D54"/>
        </w:rPr>
        <w:t xml:space="preserve"> </w:t>
      </w:r>
    </w:p>
    <w:p w14:paraId="7C44DF03" w14:textId="77777777" w:rsidR="00F42ABA" w:rsidRPr="006B1209" w:rsidRDefault="00F42ABA" w:rsidP="00F42ABA">
      <w:pPr>
        <w:pStyle w:val="BodyText1"/>
      </w:pPr>
      <w:r w:rsidRPr="006B1209">
        <w:t xml:space="preserve">PV </w:t>
      </w:r>
      <w:proofErr w:type="spellStart"/>
      <w:r w:rsidRPr="006B1209">
        <w:t>projects</w:t>
      </w:r>
      <w:proofErr w:type="spellEnd"/>
      <w:r w:rsidRPr="006B1209">
        <w:t xml:space="preserve"> </w:t>
      </w:r>
      <w:proofErr w:type="spellStart"/>
      <w:r w:rsidRPr="006B1209">
        <w:t>are</w:t>
      </w:r>
      <w:proofErr w:type="spellEnd"/>
      <w:r w:rsidRPr="006B1209">
        <w:t xml:space="preserv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for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of </w:t>
      </w:r>
      <w:proofErr w:type="spellStart"/>
      <w:r w:rsidRPr="006B1209">
        <w:t>solar</w:t>
      </w:r>
      <w:proofErr w:type="spellEnd"/>
      <w:r w:rsidRPr="006B1209">
        <w:t xml:space="preserve"> </w:t>
      </w:r>
      <w:proofErr w:type="spellStart"/>
      <w:r w:rsidRPr="006B1209">
        <w:t>panels</w:t>
      </w:r>
      <w:proofErr w:type="spellEnd"/>
      <w:r w:rsidRPr="006B1209">
        <w:t xml:space="preserve"> </w:t>
      </w:r>
      <w:proofErr w:type="spellStart"/>
      <w:r w:rsidRPr="006B1209">
        <w:t>themselves</w:t>
      </w:r>
      <w:proofErr w:type="spellEnd"/>
      <w:r w:rsidRPr="006B1209">
        <w:t xml:space="preserve"> </w:t>
      </w:r>
      <w:proofErr w:type="spellStart"/>
      <w:r w:rsidRPr="006B1209">
        <w:t>are</w:t>
      </w:r>
      <w:proofErr w:type="spellEnd"/>
      <w:r w:rsidRPr="006B1209">
        <w:t xml:space="preserv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of the </w:t>
      </w:r>
      <w:proofErr w:type="spellStart"/>
      <w:r w:rsidRPr="006B1209">
        <w:t>use</w:t>
      </w:r>
      <w:proofErr w:type="spellEnd"/>
      <w:r w:rsidRPr="006B1209">
        <w:t xml:space="preserve"> of PFAS and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the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the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and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792C6E7F" w14:textId="77777777" w:rsidR="00F42ABA" w:rsidRPr="006B1209" w:rsidRDefault="00F42ABA" w:rsidP="00F42ABA">
      <w:pPr>
        <w:pStyle w:val="BodyText1"/>
      </w:pPr>
    </w:p>
    <w:p w14:paraId="3897FA72" w14:textId="77777777" w:rsidR="00F42ABA" w:rsidRPr="004C0EBD" w:rsidRDefault="00F42ABA" w:rsidP="00F42ABA"/>
    <w:p w14:paraId="396FA814" w14:textId="77777777" w:rsidR="00F42ABA" w:rsidRPr="001079C7" w:rsidRDefault="00F42ABA" w:rsidP="00F42ABA">
      <w:pPr>
        <w:pStyle w:val="MH3"/>
        <w:rPr>
          <w:rStyle w:val="SubtleEmphasis"/>
          <w:b/>
          <w:bCs w:val="0"/>
          <w:color w:val="104D54"/>
        </w:rPr>
      </w:pPr>
      <w:bookmarkStart w:id="102" w:name="_Toc180507832"/>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email </w:t>
      </w:r>
      <w:proofErr w:type="spellStart"/>
      <w:r w:rsidRPr="001079C7">
        <w:rPr>
          <w:rStyle w:val="SubtleEmphasis"/>
          <w:b/>
          <w:bCs w:val="0"/>
          <w:color w:val="104D54"/>
        </w:rPr>
        <w:t>to</w:t>
      </w:r>
      <w:proofErr w:type="spellEnd"/>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102"/>
      <w:r>
        <w:rPr>
          <w:rStyle w:val="SubtleEmphasis"/>
          <w:b/>
          <w:bCs w:val="0"/>
          <w:color w:val="104D54"/>
        </w:rPr>
        <w:t xml:space="preserve"> </w:t>
      </w:r>
    </w:p>
    <w:p w14:paraId="0B8FD7BE" w14:textId="77777777" w:rsidR="00F42ABA" w:rsidRPr="006B1209" w:rsidRDefault="00F42ABA" w:rsidP="00F42ABA">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w:t>
      </w:r>
      <w:proofErr w:type="spellStart"/>
      <w:r>
        <w:t>draft</w:t>
      </w:r>
      <w:proofErr w:type="spellEnd"/>
      <w:r>
        <w:t xml:space="preserve"> </w:t>
      </w:r>
      <w:proofErr w:type="spellStart"/>
      <w:r w:rsidRPr="006B1209">
        <w:t>version</w:t>
      </w:r>
      <w:proofErr w:type="spellEnd"/>
      <w:r>
        <w:t>/</w:t>
      </w:r>
      <w:r w:rsidRPr="006B1209">
        <w:t xml:space="preserve"> </w:t>
      </w:r>
      <w:r>
        <w:t xml:space="preserve">. </w:t>
      </w:r>
      <w:proofErr w:type="spellStart"/>
      <w:r>
        <w:t>It</w:t>
      </w:r>
      <w:proofErr w:type="spellEnd"/>
      <w:r>
        <w:t xml:space="preserve"> </w:t>
      </w:r>
      <w:proofErr w:type="spellStart"/>
      <w:r>
        <w:t>was</w:t>
      </w:r>
      <w:proofErr w:type="spellEnd"/>
      <w:r>
        <w:t xml:space="preserve"> </w:t>
      </w:r>
      <w:proofErr w:type="spellStart"/>
      <w:r>
        <w:t>created</w:t>
      </w:r>
      <w:proofErr w:type="spellEnd"/>
      <w:r>
        <w:t xml:space="preserve"> in the Netherlands and </w:t>
      </w:r>
      <w:proofErr w:type="spellStart"/>
      <w:r>
        <w:t>thereafter</w:t>
      </w:r>
      <w:proofErr w:type="spellEnd"/>
      <w:r>
        <w:t xml:space="preserve"> </w:t>
      </w:r>
      <w:proofErr w:type="spellStart"/>
      <w:r>
        <w:t>auto-translated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w:t>
      </w:r>
      <w:proofErr w:type="spellStart"/>
      <w:r>
        <w:t>country</w:t>
      </w:r>
      <w:proofErr w:type="spellEnd"/>
      <w:r>
        <w:t xml:space="preserve"> the </w:t>
      </w:r>
      <w:proofErr w:type="spellStart"/>
      <w:r>
        <w:t>regulations</w:t>
      </w:r>
      <w:proofErr w:type="spellEnd"/>
      <w:r>
        <w:t xml:space="preserve">, </w:t>
      </w:r>
      <w:proofErr w:type="spellStart"/>
      <w:r>
        <w:t>permits</w:t>
      </w:r>
      <w:proofErr w:type="spellEnd"/>
      <w:r>
        <w:t xml:space="preserve"> and </w:t>
      </w:r>
      <w:proofErr w:type="spellStart"/>
      <w:r>
        <w:t>subsidies</w:t>
      </w:r>
      <w:proofErr w:type="spellEnd"/>
      <w:r>
        <w:t xml:space="preserve">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the Netherlands, </w:t>
      </w:r>
      <w:proofErr w:type="spellStart"/>
      <w:r>
        <w:t>which</w:t>
      </w:r>
      <w:proofErr w:type="spellEnd"/>
      <w:r>
        <w:t xml:space="preserve"> </w:t>
      </w:r>
      <w:proofErr w:type="spellStart"/>
      <w:r>
        <w:t>were</w:t>
      </w:r>
      <w:proofErr w:type="spellEnd"/>
      <w:r>
        <w:t xml:space="preserve"> </w:t>
      </w:r>
      <w:proofErr w:type="spellStart"/>
      <w:r>
        <w:t>auto-translated</w:t>
      </w:r>
      <w:proofErr w:type="spellEnd"/>
      <w:r>
        <w:t xml:space="preserve">. </w:t>
      </w:r>
      <w:proofErr w:type="spellStart"/>
      <w:r>
        <w:t>So</w:t>
      </w:r>
      <w:proofErr w:type="spellEnd"/>
      <w:r>
        <w:t xml:space="preserve"> the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w:t>
      </w:r>
      <w:proofErr w:type="spellStart"/>
      <w:r>
        <w:t>to</w:t>
      </w:r>
      <w:proofErr w:type="spellEnd"/>
      <w:r>
        <w:t xml:space="preserve"> </w:t>
      </w:r>
      <w:proofErr w:type="spellStart"/>
      <w:r>
        <w:t>be</w:t>
      </w:r>
      <w:proofErr w:type="spellEnd"/>
      <w:r>
        <w:t xml:space="preserve"> </w:t>
      </w:r>
      <w:proofErr w:type="spellStart"/>
      <w:r>
        <w:t>improved</w:t>
      </w:r>
      <w:proofErr w:type="spellEnd"/>
      <w:r>
        <w:t xml:space="preserve">. In </w:t>
      </w:r>
      <w:proofErr w:type="spellStart"/>
      <w:r>
        <w:t>addition</w:t>
      </w:r>
      <w:proofErr w:type="spellEnd"/>
      <w:r>
        <w:t xml:space="preserve">, the </w:t>
      </w:r>
      <w:proofErr w:type="spellStart"/>
      <w:r>
        <w:t>lists</w:t>
      </w:r>
      <w:proofErr w:type="spellEnd"/>
      <w:r>
        <w:t xml:space="preserve"> in the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of </w:t>
      </w:r>
      <w:proofErr w:type="spellStart"/>
      <w:r>
        <w:t>consultants</w:t>
      </w:r>
      <w:proofErr w:type="spellEnd"/>
      <w:r>
        <w:t>/</w:t>
      </w:r>
      <w:proofErr w:type="spellStart"/>
      <w:r>
        <w:t>experts</w:t>
      </w:r>
      <w:proofErr w:type="spellEnd"/>
      <w:r>
        <w:t xml:space="preserve"> </w:t>
      </w:r>
      <w:proofErr w:type="spellStart"/>
      <w:r>
        <w:t>need</w:t>
      </w:r>
      <w:proofErr w:type="spellEnd"/>
      <w:r>
        <w:t xml:space="preserve"> </w:t>
      </w:r>
      <w:proofErr w:type="spellStart"/>
      <w:r>
        <w:t>to</w:t>
      </w:r>
      <w:proofErr w:type="spellEnd"/>
      <w:r>
        <w:t xml:space="preserve">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w:t>
      </w:r>
      <w:proofErr w:type="spellStart"/>
      <w:r>
        <w:t>as</w:t>
      </w:r>
      <w:proofErr w:type="spellEnd"/>
      <w:r>
        <w:t xml:space="preserve"> </w:t>
      </w:r>
      <w:proofErr w:type="spellStart"/>
      <w:r>
        <w:t>these</w:t>
      </w:r>
      <w:proofErr w:type="spellEnd"/>
      <w:r>
        <w:t xml:space="preserve"> </w:t>
      </w:r>
      <w:proofErr w:type="spellStart"/>
      <w:r>
        <w:t>are</w:t>
      </w:r>
      <w:proofErr w:type="spellEnd"/>
      <w:r>
        <w:t xml:space="preserv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w:t>
      </w:r>
      <w:proofErr w:type="spellStart"/>
      <w:r>
        <w:t>It</w:t>
      </w:r>
      <w:proofErr w:type="spellEnd"/>
      <w:r>
        <w:t xml:space="preserve">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w:t>
      </w:r>
      <w:proofErr w:type="spellStart"/>
      <w:r>
        <w:t>country</w:t>
      </w:r>
      <w:proofErr w:type="spellEnd"/>
      <w:r>
        <w:t xml:space="preserve">. The </w:t>
      </w:r>
      <w:proofErr w:type="spellStart"/>
      <w:r>
        <w:t>solar</w:t>
      </w:r>
      <w:proofErr w:type="spellEnd"/>
      <w:r>
        <w:t xml:space="preserve"> </w:t>
      </w:r>
      <w:proofErr w:type="spellStart"/>
      <w:r>
        <w:t>trade</w:t>
      </w:r>
      <w:proofErr w:type="spellEnd"/>
      <w:r>
        <w:t xml:space="preserve"> </w:t>
      </w:r>
      <w:proofErr w:type="spellStart"/>
      <w:r>
        <w:t>association</w:t>
      </w:r>
      <w:proofErr w:type="spellEnd"/>
      <w:r>
        <w:t xml:space="preserve"> in </w:t>
      </w:r>
      <w:proofErr w:type="spellStart"/>
      <w:r>
        <w:t>your</w:t>
      </w:r>
      <w:proofErr w:type="spellEnd"/>
      <w:r>
        <w:t xml:space="preserve"> </w:t>
      </w:r>
      <w:proofErr w:type="spellStart"/>
      <w:r>
        <w:t>country</w:t>
      </w:r>
      <w:proofErr w:type="spellEnd"/>
      <w:r>
        <w:t xml:space="preserve">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28544AA6" w14:textId="77777777" w:rsidR="00F42ABA" w:rsidRPr="004C0EBD" w:rsidRDefault="00F42ABA" w:rsidP="00F42ABA"/>
    <w:p w14:paraId="44C085BD" w14:textId="77777777" w:rsidR="00F42ABA" w:rsidRPr="001079C7" w:rsidRDefault="00F42ABA" w:rsidP="00F42ABA">
      <w:pPr>
        <w:pStyle w:val="MH3"/>
        <w:rPr>
          <w:rStyle w:val="SubtleEmphasis"/>
          <w:b/>
          <w:bCs w:val="0"/>
          <w:color w:val="104D54"/>
        </w:rPr>
      </w:pPr>
      <w:bookmarkStart w:id="103" w:name="_Toc180507833"/>
      <w:proofErr w:type="spellStart"/>
      <w:r w:rsidRPr="001079C7">
        <w:rPr>
          <w:rStyle w:val="SubtleEmphasis"/>
          <w:b/>
          <w:bCs w:val="0"/>
          <w:color w:val="104D54"/>
        </w:rPr>
        <w:t>Responsibility</w:t>
      </w:r>
      <w:bookmarkEnd w:id="103"/>
      <w:proofErr w:type="spellEnd"/>
    </w:p>
    <w:p w14:paraId="28D78FC9" w14:textId="77777777" w:rsidR="00F42ABA" w:rsidRPr="004C0EBD" w:rsidRDefault="00F42ABA" w:rsidP="00F42ABA">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on the </w:t>
      </w:r>
      <w:proofErr w:type="spellStart"/>
      <w:r w:rsidRPr="004C0EBD">
        <w:t>initiative</w:t>
      </w:r>
      <w:proofErr w:type="spellEnd"/>
      <w:r w:rsidRPr="004C0EBD">
        <w:t xml:space="preserve"> of the </w:t>
      </w:r>
      <w:proofErr w:type="spellStart"/>
      <w:r>
        <w:t>Dutch</w:t>
      </w:r>
      <w:proofErr w:type="spellEnd"/>
      <w:r>
        <w:t xml:space="preserve"> </w:t>
      </w:r>
      <w:proofErr w:type="spellStart"/>
      <w:r>
        <w:t>Public</w:t>
      </w:r>
      <w:proofErr w:type="spellEnd"/>
      <w:r>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for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consists</w:t>
      </w:r>
      <w:proofErr w:type="spellEnd"/>
      <w:r w:rsidRPr="004C0EBD">
        <w:t xml:space="preserve"> of the </w:t>
      </w:r>
      <w:proofErr w:type="spellStart"/>
      <w:r w:rsidRPr="004C0EBD">
        <w:t>Dutch</w:t>
      </w:r>
      <w:proofErr w:type="spellEnd"/>
      <w:r w:rsidRPr="004C0EBD">
        <w:t xml:space="preserve"> </w:t>
      </w:r>
      <w:proofErr w:type="spellStart"/>
      <w:r w:rsidRPr="004C0EBD">
        <w:t>Public</w:t>
      </w:r>
      <w:proofErr w:type="spellEnd"/>
      <w:r w:rsidRPr="004C0EBD">
        <w:t xml:space="preserve">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and </w:t>
      </w:r>
      <w:proofErr w:type="spellStart"/>
      <w:r w:rsidRPr="004C0EBD">
        <w:t>is</w:t>
      </w:r>
      <w:proofErr w:type="spellEnd"/>
      <w:r w:rsidRPr="004C0EBD">
        <w:t xml:space="preserve"> </w:t>
      </w:r>
      <w:proofErr w:type="spellStart"/>
      <w:r w:rsidRPr="004C0EBD">
        <w:t>made</w:t>
      </w:r>
      <w:proofErr w:type="spellEnd"/>
      <w:r w:rsidRPr="004C0EBD">
        <w:t xml:space="preserve"> </w:t>
      </w:r>
      <w:proofErr w:type="spellStart"/>
      <w:r w:rsidRPr="004C0EBD">
        <w:t>possible</w:t>
      </w:r>
      <w:proofErr w:type="spellEnd"/>
      <w:r w:rsidRPr="004C0EBD">
        <w:t xml:space="preserve"> </w:t>
      </w:r>
      <w:proofErr w:type="spellStart"/>
      <w:r w:rsidRPr="004C0EBD">
        <w:t>by</w:t>
      </w:r>
      <w:proofErr w:type="spellEnd"/>
      <w:r w:rsidRPr="004C0EBD">
        <w:t xml:space="preserve"> the </w:t>
      </w:r>
      <w:proofErr w:type="spellStart"/>
      <w:r w:rsidRPr="004C0EBD">
        <w:t>Ministry</w:t>
      </w:r>
      <w:proofErr w:type="spellEnd"/>
      <w:r w:rsidRPr="004C0EBD">
        <w:t xml:space="preserve"> of </w:t>
      </w:r>
      <w:proofErr w:type="spellStart"/>
      <w:r w:rsidRPr="004C0EBD">
        <w:t>Infrastructure</w:t>
      </w:r>
      <w:proofErr w:type="spellEnd"/>
      <w:r w:rsidRPr="004C0EBD">
        <w:t xml:space="preserve"> and </w:t>
      </w:r>
      <w:proofErr w:type="spellStart"/>
      <w:r w:rsidRPr="004C0EBD">
        <w:t>Water</w:t>
      </w:r>
      <w:proofErr w:type="spellEnd"/>
      <w:r w:rsidRPr="004C0EBD">
        <w:t xml:space="preserve"> </w:t>
      </w:r>
      <w:proofErr w:type="spellStart"/>
      <w:r w:rsidRPr="004C0EBD">
        <w:t>Management</w:t>
      </w:r>
      <w:proofErr w:type="spellEnd"/>
      <w:r w:rsidRPr="004C0EBD">
        <w:t xml:space="preserve">. . The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is</w:t>
      </w:r>
      <w:proofErr w:type="spellEnd"/>
      <w:r w:rsidRPr="004C0EBD">
        <w:t xml:space="preserve"> </w:t>
      </w:r>
      <w:proofErr w:type="spellStart"/>
      <w:r w:rsidRPr="004C0EBD">
        <w:t>headed</w:t>
      </w:r>
      <w:proofErr w:type="spellEnd"/>
      <w:r w:rsidRPr="004C0EBD">
        <w:t xml:space="preserve"> </w:t>
      </w:r>
      <w:proofErr w:type="spellStart"/>
      <w:r w:rsidRPr="004C0EBD">
        <w:t>by</w:t>
      </w:r>
      <w:proofErr w:type="spellEnd"/>
      <w:r w:rsidRPr="004C0EBD">
        <w:t xml:space="preserve"> </w:t>
      </w:r>
      <w:proofErr w:type="spellStart"/>
      <w:r w:rsidRPr="004C0EBD">
        <w:t>Bart-Jeroen</w:t>
      </w:r>
      <w:proofErr w:type="spellEnd"/>
      <w:r w:rsidRPr="004C0EBD">
        <w:t xml:space="preserve"> </w:t>
      </w:r>
      <w:proofErr w:type="spellStart"/>
      <w:r w:rsidRPr="004C0EBD">
        <w:t>Bierens</w:t>
      </w:r>
      <w:proofErr w:type="spellEnd"/>
      <w:r w:rsidRPr="004C0EBD">
        <w:t xml:space="preserve"> and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the Netherlands </w:t>
      </w:r>
      <w:proofErr w:type="spellStart"/>
      <w:r w:rsidRPr="004C0EBD">
        <w:t>Enterprise</w:t>
      </w:r>
      <w:proofErr w:type="spellEnd"/>
      <w:r w:rsidRPr="004C0EBD">
        <w:t xml:space="preserve"> Agency .</w:t>
      </w:r>
    </w:p>
    <w:p w14:paraId="70B3C99D" w14:textId="77777777" w:rsidR="00F42ABA" w:rsidRPr="004C0EBD" w:rsidRDefault="00F42ABA" w:rsidP="00F42ABA">
      <w:pPr>
        <w:rPr>
          <w:rFonts w:eastAsia="Calibri"/>
        </w:rPr>
      </w:pPr>
    </w:p>
    <w:p w14:paraId="3C4A83B2" w14:textId="77777777" w:rsidR="00F42ABA" w:rsidRPr="001079C7" w:rsidRDefault="00F42ABA" w:rsidP="00F42ABA">
      <w:pPr>
        <w:pStyle w:val="MH3"/>
        <w:rPr>
          <w:rStyle w:val="SubtleEmphasis"/>
          <w:b/>
          <w:bCs w:val="0"/>
          <w:color w:val="104D54"/>
        </w:rPr>
      </w:pPr>
      <w:bookmarkStart w:id="104" w:name="_Toc180507834"/>
      <w:proofErr w:type="spellStart"/>
      <w:r w:rsidRPr="001079C7">
        <w:rPr>
          <w:rStyle w:val="SubtleEmphasis"/>
          <w:b/>
          <w:bCs w:val="0"/>
          <w:color w:val="104D54"/>
        </w:rPr>
        <w:t>Disclaimer</w:t>
      </w:r>
      <w:bookmarkEnd w:id="104"/>
      <w:proofErr w:type="spellEnd"/>
      <w:r w:rsidRPr="001079C7">
        <w:rPr>
          <w:rStyle w:val="SubtleEmphasis"/>
          <w:b/>
          <w:bCs w:val="0"/>
          <w:color w:val="104D54"/>
        </w:rPr>
        <w:t xml:space="preserve"> </w:t>
      </w:r>
    </w:p>
    <w:p w14:paraId="11AB20A7" w14:textId="77777777" w:rsidR="00F42ABA" w:rsidRPr="004C0EBD" w:rsidRDefault="00F42ABA" w:rsidP="00F42ABA">
      <w:pPr>
        <w:pStyle w:val="BodyText1"/>
        <w:rPr>
          <w:rFonts w:eastAsia="Calibri"/>
          <w:szCs w:val="21"/>
        </w:rPr>
      </w:pPr>
      <w:r w:rsidRPr="004C0EBD">
        <w:t xml:space="preserve">The </w:t>
      </w:r>
      <w:proofErr w:type="spellStart"/>
      <w:r w:rsidRPr="004C0EBD">
        <w:t>purpose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w:t>
      </w:r>
      <w:proofErr w:type="spellStart"/>
      <w:r w:rsidRPr="004C0EBD">
        <w:t>to</w:t>
      </w:r>
      <w:proofErr w:type="spellEnd"/>
      <w:r w:rsidRPr="004C0EBD">
        <w:t xml:space="preserve"> </w:t>
      </w:r>
      <w:proofErr w:type="spellStart"/>
      <w:r w:rsidRPr="004C0EBD">
        <w:t>provide</w:t>
      </w:r>
      <w:proofErr w:type="spellEnd"/>
      <w:r w:rsidRPr="004C0EBD">
        <w:t xml:space="preserve"> </w:t>
      </w:r>
      <w:proofErr w:type="spellStart"/>
      <w:r w:rsidRPr="004C0EBD">
        <w:t>assistance</w:t>
      </w:r>
      <w:proofErr w:type="spellEnd"/>
      <w:r w:rsidRPr="004C0EBD">
        <w:t xml:space="preserve"> and </w:t>
      </w:r>
      <w:proofErr w:type="spellStart"/>
      <w:r w:rsidRPr="004C0EBD">
        <w:t>support</w:t>
      </w:r>
      <w:proofErr w:type="spellEnd"/>
      <w:r w:rsidRPr="004C0EBD">
        <w:t xml:space="preserve"> </w:t>
      </w:r>
      <w:proofErr w:type="spellStart"/>
      <w:r w:rsidRPr="004C0EBD">
        <w:t>to</w:t>
      </w:r>
      <w:proofErr w:type="spellEnd"/>
      <w:r w:rsidRPr="004C0EBD">
        <w:t xml:space="preserve"> </w:t>
      </w:r>
      <w:proofErr w:type="spellStart"/>
      <w:r>
        <w:t>private</w:t>
      </w:r>
      <w:proofErr w:type="spellEnd"/>
      <w:r>
        <w:t xml:space="preserve"> </w:t>
      </w:r>
      <w:proofErr w:type="spellStart"/>
      <w:r>
        <w:t>organisations</w:t>
      </w:r>
      <w:proofErr w:type="spellEnd"/>
      <w:r>
        <w:t xml:space="preserve">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for </w:t>
      </w:r>
      <w:proofErr w:type="spellStart"/>
      <w:r w:rsidRPr="004C0EBD">
        <w:t>tenders</w:t>
      </w:r>
      <w:proofErr w:type="spellEnd"/>
      <w:r w:rsidRPr="004C0EBD">
        <w:t xml:space="preserve"> for PV </w:t>
      </w:r>
      <w:proofErr w:type="spellStart"/>
      <w:r w:rsidRPr="004C0EBD">
        <w:t>projects</w:t>
      </w:r>
      <w:proofErr w:type="spellEnd"/>
      <w:r w:rsidRPr="004C0EBD">
        <w:t xml:space="preserve">. The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the </w:t>
      </w:r>
      <w:proofErr w:type="spellStart"/>
      <w:r w:rsidRPr="004C0EBD">
        <w:t>sector</w:t>
      </w:r>
      <w:proofErr w:type="spellEnd"/>
      <w:r w:rsidRPr="004C0EBD">
        <w:t xml:space="preserve">. </w:t>
      </w:r>
      <w:proofErr w:type="spellStart"/>
      <w:r w:rsidRPr="004C0EBD">
        <w:t>It</w:t>
      </w:r>
      <w:proofErr w:type="spellEnd"/>
      <w:r w:rsidRPr="004C0EBD">
        <w:t xml:space="preserve">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for </w:t>
      </w:r>
      <w:proofErr w:type="spellStart"/>
      <w:r w:rsidRPr="004C0EBD">
        <w:t>individual</w:t>
      </w:r>
      <w:proofErr w:type="spellEnd"/>
      <w:r w:rsidRPr="004C0EBD">
        <w:t xml:space="preserve"> </w:t>
      </w:r>
      <w:proofErr w:type="spellStart"/>
      <w:r w:rsidRPr="004C0EBD">
        <w:t>calls</w:t>
      </w:r>
      <w:proofErr w:type="spellEnd"/>
      <w:r w:rsidRPr="004C0EBD">
        <w:t xml:space="preserve"> for </w:t>
      </w:r>
      <w:proofErr w:type="spellStart"/>
      <w:r w:rsidRPr="004C0EBD">
        <w:t>tenders</w:t>
      </w:r>
      <w:proofErr w:type="spellEnd"/>
      <w:r w:rsidRPr="004C0EBD">
        <w:t xml:space="preserve"> </w:t>
      </w:r>
      <w:proofErr w:type="spellStart"/>
      <w:r w:rsidRPr="004C0EBD">
        <w:t>to</w:t>
      </w:r>
      <w:proofErr w:type="spellEnd"/>
      <w:r w:rsidRPr="004C0EBD">
        <w:t xml:space="preserve">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w:t>
      </w:r>
      <w:proofErr w:type="spellStart"/>
      <w:r w:rsidRPr="004C0EBD">
        <w:t>are</w:t>
      </w:r>
      <w:proofErr w:type="spellEnd"/>
      <w:r w:rsidRPr="004C0EBD">
        <w:t xml:space="preserve"> </w:t>
      </w:r>
      <w:proofErr w:type="spellStart"/>
      <w:r w:rsidRPr="004C0EBD">
        <w:t>not</w:t>
      </w:r>
      <w:proofErr w:type="spellEnd"/>
      <w:r w:rsidRPr="004C0EBD">
        <w:t xml:space="preserve"> in the </w:t>
      </w:r>
      <w:proofErr w:type="spellStart"/>
      <w:r w:rsidRPr="004C0EBD">
        <w:t>guide</w:t>
      </w:r>
      <w:proofErr w:type="spellEnd"/>
      <w:r w:rsidRPr="004C0EBD">
        <w:t xml:space="preserve"> </w:t>
      </w:r>
      <w:proofErr w:type="spellStart"/>
      <w:r w:rsidRPr="004C0EBD">
        <w:t>or</w:t>
      </w:r>
      <w:proofErr w:type="spellEnd"/>
      <w:r w:rsidRPr="004C0EBD">
        <w:t xml:space="preserve"> </w:t>
      </w:r>
      <w:proofErr w:type="spellStart"/>
      <w:r w:rsidRPr="004C0EBD">
        <w:t>to</w:t>
      </w:r>
      <w:proofErr w:type="spellEnd"/>
      <w:r w:rsidRPr="004C0EBD">
        <w:t xml:space="preserve"> </w:t>
      </w:r>
      <w:proofErr w:type="spellStart"/>
      <w:r w:rsidRPr="004C0EBD">
        <w:t>adjust</w:t>
      </w:r>
      <w:proofErr w:type="spellEnd"/>
      <w:r w:rsidRPr="004C0EBD">
        <w:t xml:space="preserve"> </w:t>
      </w:r>
      <w:proofErr w:type="spellStart"/>
      <w:r w:rsidRPr="004C0EBD">
        <w:t>criteria</w:t>
      </w:r>
      <w:proofErr w:type="spellEnd"/>
      <w:r w:rsidRPr="004C0EBD">
        <w:t xml:space="preserve">, for </w:t>
      </w:r>
      <w:proofErr w:type="spellStart"/>
      <w:r w:rsidRPr="004C0EBD">
        <w:t>example</w:t>
      </w:r>
      <w:proofErr w:type="spellEnd"/>
      <w:r w:rsidRPr="004C0EBD">
        <w:t xml:space="preserve"> </w:t>
      </w:r>
      <w:proofErr w:type="spellStart"/>
      <w:r w:rsidRPr="004C0EBD">
        <w:t>due</w:t>
      </w:r>
      <w:proofErr w:type="spellEnd"/>
      <w:r w:rsidRPr="004C0EBD">
        <w:t xml:space="preserve"> </w:t>
      </w:r>
      <w:proofErr w:type="spellStart"/>
      <w:r w:rsidRPr="004C0EBD">
        <w:t>to</w:t>
      </w:r>
      <w:proofErr w:type="spellEnd"/>
      <w:r w:rsidRPr="004C0EBD">
        <w:t xml:space="preserve">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w:t>
      </w:r>
      <w:proofErr w:type="spellStart"/>
      <w:r w:rsidRPr="004C0EBD">
        <w:t>Both</w:t>
      </w:r>
      <w:proofErr w:type="spellEnd"/>
      <w:r w:rsidRPr="004C0EBD">
        <w:t xml:space="preserve"> the </w:t>
      </w:r>
      <w:proofErr w:type="spellStart"/>
      <w:r w:rsidRPr="004C0EBD">
        <w:t>guide</w:t>
      </w:r>
      <w:proofErr w:type="spellEnd"/>
      <w:r w:rsidRPr="004C0EBD">
        <w:t xml:space="preserve"> and the </w:t>
      </w:r>
      <w:proofErr w:type="spellStart"/>
      <w:r w:rsidRPr="004C0EBD">
        <w:t>criteria</w:t>
      </w:r>
      <w:proofErr w:type="spellEnd"/>
      <w:r w:rsidRPr="004C0EBD">
        <w:t xml:space="preserve"> </w:t>
      </w:r>
      <w:proofErr w:type="spellStart"/>
      <w:r w:rsidRPr="004C0EBD">
        <w:t>are</w:t>
      </w:r>
      <w:proofErr w:type="spellEnd"/>
      <w:r w:rsidRPr="004C0EBD">
        <w:t xml:space="preserve"> </w:t>
      </w:r>
      <w:proofErr w:type="spellStart"/>
      <w:r w:rsidRPr="004C0EBD">
        <w:t>used</w:t>
      </w:r>
      <w:proofErr w:type="spellEnd"/>
      <w:r w:rsidRPr="004C0EBD">
        <w:t xml:space="preserve"> </w:t>
      </w:r>
      <w:proofErr w:type="spellStart"/>
      <w:r w:rsidRPr="004C0EBD">
        <w:t>under</w:t>
      </w:r>
      <w:proofErr w:type="spellEnd"/>
      <w:r w:rsidRPr="004C0EBD">
        <w:t xml:space="preserve"> the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on the </w:t>
      </w:r>
      <w:proofErr w:type="spellStart"/>
      <w:r w:rsidRPr="004C0EBD">
        <w:t>accuracy</w:t>
      </w:r>
      <w:proofErr w:type="spellEnd"/>
      <w:r w:rsidRPr="004C0EBD">
        <w:t xml:space="preserve"> and </w:t>
      </w:r>
      <w:proofErr w:type="spellStart"/>
      <w:r w:rsidRPr="004C0EBD">
        <w:t>completeness</w:t>
      </w:r>
      <w:proofErr w:type="spellEnd"/>
      <w:r w:rsidRPr="004C0EBD">
        <w:t xml:space="preserve"> of the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6D106A1A" w14:textId="77777777" w:rsidR="00F42ABA" w:rsidRPr="004C0EBD" w:rsidRDefault="00F42ABA" w:rsidP="00F42ABA"/>
    <w:p w14:paraId="29C35392" w14:textId="77777777" w:rsidR="00F42ABA" w:rsidRPr="004C0EBD" w:rsidRDefault="00F42ABA" w:rsidP="00F42ABA">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and </w:t>
      </w:r>
      <w:proofErr w:type="spellStart"/>
      <w:r w:rsidRPr="004C0EBD">
        <w:t>Marcello</w:t>
      </w:r>
      <w:proofErr w:type="spellEnd"/>
      <w:r w:rsidRPr="004C0EBD">
        <w:t xml:space="preserve"> </w:t>
      </w:r>
      <w:proofErr w:type="spellStart"/>
      <w:r w:rsidRPr="004C0EBD">
        <w:t>Passaro</w:t>
      </w:r>
      <w:proofErr w:type="spellEnd"/>
      <w:r w:rsidRPr="004C0EBD">
        <w:t xml:space="preserve"> </w:t>
      </w:r>
    </w:p>
    <w:p w14:paraId="4569BFB6" w14:textId="77777777" w:rsidR="00F42ABA" w:rsidRPr="00A031E5" w:rsidRDefault="00F42ABA" w:rsidP="00F42ABA">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2E5854FE" w14:textId="78A9CD59" w:rsidR="006B1209" w:rsidRPr="00094DE4" w:rsidRDefault="00A11B94" w:rsidP="00A3595E">
      <w:pPr>
        <w:rPr>
          <w:rFonts w:eastAsiaTheme="majorEastAsia"/>
          <w:color w:val="92D050"/>
          <w:sz w:val="40"/>
          <w:szCs w:val="40"/>
          <w:lang w:val="it-IT"/>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4A5B6C79" w14:textId="77777777" w:rsidR="006B1209" w:rsidRPr="00094DE4" w:rsidRDefault="006B1209" w:rsidP="00A3595E">
      <w:pPr>
        <w:rPr>
          <w:rFonts w:eastAsiaTheme="majorEastAsia"/>
          <w:color w:val="92D050"/>
          <w:sz w:val="40"/>
          <w:szCs w:val="40"/>
          <w:lang w:val="it-IT"/>
        </w:rPr>
      </w:pPr>
    </w:p>
    <w:p w14:paraId="51872B65" w14:textId="77777777" w:rsidR="006B1209" w:rsidRPr="00094DE4" w:rsidRDefault="006B1209" w:rsidP="00A3595E">
      <w:pPr>
        <w:rPr>
          <w:rFonts w:eastAsiaTheme="majorEastAsia"/>
          <w:color w:val="92D050"/>
          <w:sz w:val="40"/>
          <w:szCs w:val="40"/>
          <w:lang w:val="it-IT"/>
        </w:rPr>
      </w:pPr>
    </w:p>
    <w:p w14:paraId="016FB7C3" w14:textId="77777777" w:rsidR="006B1209" w:rsidRPr="00094DE4" w:rsidRDefault="006B1209" w:rsidP="00A3595E">
      <w:pPr>
        <w:rPr>
          <w:rFonts w:eastAsiaTheme="majorEastAsia"/>
          <w:color w:val="92D050"/>
          <w:sz w:val="40"/>
          <w:szCs w:val="40"/>
          <w:lang w:val="it-IT"/>
        </w:rPr>
      </w:pPr>
    </w:p>
    <w:p w14:paraId="36BA4AC8" w14:textId="77777777" w:rsidR="006B1209" w:rsidRPr="00094DE4" w:rsidRDefault="006B1209" w:rsidP="00A3595E">
      <w:pPr>
        <w:rPr>
          <w:rFonts w:eastAsiaTheme="majorEastAsia"/>
          <w:color w:val="92D050"/>
          <w:sz w:val="40"/>
          <w:szCs w:val="40"/>
          <w:lang w:val="it-IT"/>
        </w:rPr>
      </w:pPr>
    </w:p>
    <w:p w14:paraId="68CEC79D" w14:textId="77777777" w:rsidR="006B1209" w:rsidRPr="00094DE4" w:rsidRDefault="006B1209" w:rsidP="00A3595E">
      <w:pPr>
        <w:rPr>
          <w:rFonts w:eastAsiaTheme="majorEastAsia"/>
          <w:color w:val="92D050"/>
          <w:sz w:val="40"/>
          <w:szCs w:val="40"/>
          <w:lang w:val="it-IT"/>
        </w:rPr>
      </w:pPr>
    </w:p>
    <w:p w14:paraId="7125039A" w14:textId="77777777" w:rsidR="006B1209" w:rsidRPr="00094DE4" w:rsidRDefault="006B1209" w:rsidP="00A3595E">
      <w:pPr>
        <w:rPr>
          <w:rFonts w:eastAsiaTheme="majorEastAsia"/>
          <w:color w:val="92D050"/>
          <w:sz w:val="40"/>
          <w:szCs w:val="40"/>
          <w:lang w:val="it-IT"/>
        </w:rPr>
      </w:pPr>
    </w:p>
    <w:p w14:paraId="129FFBBE" w14:textId="77777777" w:rsidR="00C36793" w:rsidRPr="000B38A0" w:rsidRDefault="00C36793">
      <w:pPr>
        <w:spacing w:line="240" w:lineRule="auto"/>
        <w:rPr>
          <w:rFonts w:ascii="Arial" w:eastAsiaTheme="minorEastAsia" w:hAnsi="Arial" w:cs="Arial"/>
          <w:b/>
          <w:color w:val="3CC4C7"/>
          <w:sz w:val="48"/>
          <w:szCs w:val="48"/>
          <w:lang w:val="it-IT" w:eastAsia="en-GB"/>
        </w:rPr>
      </w:pPr>
      <w:r w:rsidRPr="000B38A0">
        <w:rPr>
          <w:lang w:val="it-IT"/>
        </w:rPr>
        <w:br w:type="page"/>
      </w:r>
    </w:p>
    <w:p w14:paraId="2842012E" w14:textId="2F0CA197" w:rsidR="0029348A" w:rsidRPr="004C0EBD" w:rsidRDefault="0049076B" w:rsidP="00094DE4">
      <w:pPr>
        <w:pStyle w:val="MH1"/>
      </w:pPr>
      <w:bookmarkStart w:id="105" w:name="_Toc176867403"/>
      <w:bookmarkStart w:id="106" w:name="_Toc176868910"/>
      <w:bookmarkStart w:id="107" w:name="_Toc180507835"/>
      <w:r>
        <w:lastRenderedPageBreak/>
        <w:t>Εισαγωγή</w:t>
      </w:r>
      <w:bookmarkEnd w:id="105"/>
      <w:bookmarkEnd w:id="106"/>
      <w:bookmarkEnd w:id="107"/>
      <w:r>
        <w:t xml:space="preserve"> </w:t>
      </w:r>
    </w:p>
    <w:p w14:paraId="78875F64" w14:textId="77777777" w:rsidR="003152D2" w:rsidRPr="004C0EBD" w:rsidRDefault="003152D2" w:rsidP="00A3595E"/>
    <w:p w14:paraId="7306996E" w14:textId="05D8ABE2" w:rsidR="0029348A" w:rsidRPr="004C0EBD" w:rsidRDefault="005A4096" w:rsidP="006F4930">
      <w:pPr>
        <w:pStyle w:val="BodyText1"/>
      </w:pPr>
      <w:r>
        <w:t xml:space="preserve">Τα έργα φωτοβολταϊκών συστημάτων συνήθως περιλαμβάνουν τα ακόλουθα στάδια: </w:t>
      </w:r>
    </w:p>
    <w:p w14:paraId="516DA30C" w14:textId="20DADCB3" w:rsidR="00720AC0" w:rsidRPr="004C0EBD" w:rsidRDefault="00C36793" w:rsidP="00A3595E">
      <w:r w:rsidRPr="0056294A">
        <w:rPr>
          <w:noProof/>
          <w:sz w:val="20"/>
        </w:rPr>
        <w:drawing>
          <wp:anchor distT="0" distB="0" distL="114300" distR="114300" simplePos="0" relativeHeight="251785216" behindDoc="0" locked="0" layoutInCell="1" allowOverlap="1" wp14:anchorId="07517A99" wp14:editId="5BD90291">
            <wp:simplePos x="0" y="0"/>
            <wp:positionH relativeFrom="column">
              <wp:posOffset>0</wp:posOffset>
            </wp:positionH>
            <wp:positionV relativeFrom="paragraph">
              <wp:posOffset>199390</wp:posOffset>
            </wp:positionV>
            <wp:extent cx="6362700" cy="962025"/>
            <wp:effectExtent l="19050" t="0" r="38100"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p>
    <w:p w14:paraId="0FF6524B" w14:textId="626ED852" w:rsidR="0049076B" w:rsidRPr="004C0EBD" w:rsidRDefault="0049076B" w:rsidP="006F4930">
      <w:pPr>
        <w:pStyle w:val="BodyText1"/>
        <w:rPr>
          <w:bCs/>
          <w:iCs/>
        </w:rPr>
      </w:pPr>
      <w:r>
        <w:t>Ο παρών οδηγός επικεντρώνεται στο στάδιο I: την προκαταρκτική μελέτη.</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Κατά τη διάρκεια της προκαταρκτικής μελέτης χρειάζεται να κάνετε βασικές επιλογές, μετά τις οποίες μπορεί να συνταχθεί αποτελεσματικά η πρόσκληση υποβολής προσφορών ή αίτηση προσδιορισμού τιμής (RFQ). Μπορείτε να προσαρμόσετε το υπόδειγμα απαιτήσεων και κριτηρίων ανάθεσης με βάση το δικό σας έργο και να το προσθέσετε ως παράρτημα στην πρόσκληση υποβολής προσφορών ή στην αίτηση προσδιορισμού τιμής.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Ο οδηγός εξετάζει τα ακόλουθα θέματα:</w:t>
      </w:r>
    </w:p>
    <w:p w14:paraId="4E53A1EA" w14:textId="39D4E044" w:rsidR="00917A73" w:rsidRPr="004C0EBD" w:rsidRDefault="00917A73" w:rsidP="0075115D">
      <w:pPr>
        <w:pStyle w:val="BodyText1"/>
        <w:numPr>
          <w:ilvl w:val="0"/>
          <w:numId w:val="11"/>
        </w:numPr>
      </w:pPr>
      <w:r>
        <w:t>Μελέτη σκοπιμότητας — μέγεθος έργου, φορτίο στη στέγη, συνδέσεις με το δίκτυο</w:t>
      </w:r>
    </w:p>
    <w:p w14:paraId="6329141A" w14:textId="61DF3732" w:rsidR="006E3E63" w:rsidRPr="004C0EBD" w:rsidRDefault="006E3E63" w:rsidP="0075115D">
      <w:pPr>
        <w:pStyle w:val="BodyText1"/>
        <w:numPr>
          <w:ilvl w:val="0"/>
          <w:numId w:val="11"/>
        </w:numPr>
      </w:pPr>
      <w:r>
        <w:t>Μέγεθος του έργου και όρια προσφορών (για δημόσιους φορείς)</w:t>
      </w:r>
    </w:p>
    <w:p w14:paraId="4C5A1B47" w14:textId="4B6026E9" w:rsidR="00E254BC" w:rsidRPr="004C0EBD" w:rsidRDefault="00E254BC" w:rsidP="0075115D">
      <w:pPr>
        <w:pStyle w:val="BodyText1"/>
        <w:numPr>
          <w:ilvl w:val="0"/>
          <w:numId w:val="11"/>
        </w:numPr>
      </w:pPr>
      <w:r>
        <w:t xml:space="preserve">Επιλογή ιδιοκτησίας ή ενοικίασης επιφάνειας;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Χρηματοδότηση</w:t>
      </w:r>
    </w:p>
    <w:p w14:paraId="5D5F0168" w14:textId="1CCC38F9" w:rsidR="006E3E63" w:rsidRPr="004C0EBD" w:rsidRDefault="006E3E63" w:rsidP="0075115D">
      <w:pPr>
        <w:pStyle w:val="BodyText1"/>
        <w:numPr>
          <w:ilvl w:val="0"/>
          <w:numId w:val="11"/>
        </w:numPr>
      </w:pPr>
      <w:r>
        <w:t xml:space="preserve">Επιλογές για το στάδιο λειτουργίας — συντήρηση και παρακολούθηση </w:t>
      </w:r>
    </w:p>
    <w:p w14:paraId="418350A1" w14:textId="3DB470CA" w:rsidR="00E254BC" w:rsidRPr="004C0EBD" w:rsidRDefault="00E254BC" w:rsidP="0075115D">
      <w:pPr>
        <w:pStyle w:val="BodyText1"/>
        <w:numPr>
          <w:ilvl w:val="0"/>
          <w:numId w:val="11"/>
        </w:numPr>
      </w:pPr>
      <w:r>
        <w:t xml:space="preserve">Διάρκεια του έργου και τέλος κύκλου ζωής </w:t>
      </w:r>
    </w:p>
    <w:p w14:paraId="077C28E4" w14:textId="5C429578" w:rsidR="00843185" w:rsidRPr="006F4930" w:rsidRDefault="00843185" w:rsidP="0075115D">
      <w:pPr>
        <w:pStyle w:val="BodyText1"/>
        <w:numPr>
          <w:ilvl w:val="0"/>
          <w:numId w:val="11"/>
        </w:numPr>
      </w:pPr>
      <w:r>
        <w:t>Έλεγχος ποιότητας</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Στην επόμενη έκδοση του οδηγού, ευελπιστούμε να συμπεριλάβουμε επίσης τα εξής:</w:t>
      </w:r>
    </w:p>
    <w:p w14:paraId="393D0B84" w14:textId="5892589F" w:rsidR="00BA688B" w:rsidRPr="004C0EBD" w:rsidRDefault="00843185" w:rsidP="0075115D">
      <w:pPr>
        <w:pStyle w:val="BodyText1"/>
        <w:numPr>
          <w:ilvl w:val="0"/>
          <w:numId w:val="11"/>
        </w:numPr>
      </w:pPr>
      <w:r>
        <w:t xml:space="preserve">Σύστημα ενεργειακής διαχείρισης </w:t>
      </w:r>
    </w:p>
    <w:p w14:paraId="796348A6" w14:textId="33BB1EB0" w:rsidR="00843185" w:rsidRPr="004C0EBD" w:rsidRDefault="00FE679B" w:rsidP="0075115D">
      <w:pPr>
        <w:pStyle w:val="BodyText1"/>
        <w:numPr>
          <w:ilvl w:val="0"/>
          <w:numId w:val="11"/>
        </w:numPr>
      </w:pPr>
      <w:r>
        <w:t>Αποθήκευση (μπαταρίες)</w:t>
      </w:r>
    </w:p>
    <w:p w14:paraId="0E6D1B86" w14:textId="7066331A" w:rsidR="00DA6DB7" w:rsidRPr="004C0EBD" w:rsidRDefault="00917A73" w:rsidP="0075115D">
      <w:pPr>
        <w:pStyle w:val="BodyText1"/>
        <w:numPr>
          <w:ilvl w:val="0"/>
          <w:numId w:val="11"/>
        </w:numPr>
      </w:pPr>
      <w:r>
        <w:t>Σημεία φόρτισης (εάν συνδυάζονται με έργο φωτοβολταϊκών)</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094DE4">
      <w:pPr>
        <w:pStyle w:val="MH1"/>
      </w:pPr>
      <w:bookmarkStart w:id="108" w:name="_Toc176867404"/>
      <w:bookmarkStart w:id="109" w:name="_Toc176868911"/>
      <w:bookmarkStart w:id="110" w:name="_Toc180507836"/>
      <w:r>
        <w:lastRenderedPageBreak/>
        <w:t>Προκαταρκτική μελέτη</w:t>
      </w:r>
      <w:bookmarkEnd w:id="108"/>
      <w:bookmarkEnd w:id="109"/>
      <w:bookmarkEnd w:id="110"/>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Σ’ αυτό το στάδιο, καθορίζετε το γενικό περίγραμμα του έργου, καθώς και τις ανάγκες και τις απαιτήσεις του.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Συμβουλή 1</w:t>
      </w:r>
      <w:r>
        <w:rPr>
          <w:rStyle w:val="IntenseEmphasis"/>
          <w:rFonts w:ascii="Arial" w:hAnsi="Arial"/>
          <w:b/>
          <w:color w:val="104D54"/>
        </w:rPr>
        <w:t>: Καλέστε τεχνικό σύμβουλο!</w:t>
      </w:r>
    </w:p>
    <w:p w14:paraId="72CA230B" w14:textId="5A0929F3" w:rsidR="00FE679B" w:rsidRPr="004C0EBD" w:rsidRDefault="00845E96" w:rsidP="006F4930">
      <w:pPr>
        <w:pStyle w:val="BodyText1"/>
      </w:pPr>
      <w:r>
        <w:t xml:space="preserve">Δείτε στο </w:t>
      </w:r>
      <w:r>
        <w:rPr>
          <w:b/>
          <w:color w:val="3DC3C6"/>
          <w:u w:val="single"/>
        </w:rPr>
        <w:t>παράρτημα 1</w:t>
      </w:r>
      <w:r>
        <w:t xml:space="preserve"> κατάλογο τεχνικών συμβούλων που μπορούν να σας βοηθήσουν κατά το προκαταρκτικό στάδιο. Φυσικά, αυτό δεν είναι αναγκαίο εάν εσείς ή ο οργανισμός σας διαθέτετε επαρκή πείρα και γνώσεις.</w:t>
      </w:r>
    </w:p>
    <w:p w14:paraId="40F6E162" w14:textId="223178C4" w:rsidR="00CC023A" w:rsidRPr="00C42EE6" w:rsidRDefault="002530C0" w:rsidP="006F4930">
      <w:pPr>
        <w:pStyle w:val="BodyText1"/>
      </w:pPr>
      <w:r>
        <w:rPr>
          <w:i/>
        </w:rPr>
        <w:t xml:space="preserve">Σημείωση: ο κατάλογος δεν είναι εξαντλητικός, υπάρχουν πολλοί σύμβουλοι που δεν έχουν ακόμη συμπεριληφθεί! </w:t>
      </w:r>
      <w:r>
        <w:t xml:space="preserve"> </w:t>
      </w:r>
    </w:p>
    <w:p w14:paraId="6F7A9714" w14:textId="39A6E79C" w:rsidR="00CC023A" w:rsidRPr="004C0EBD" w:rsidRDefault="001614A7" w:rsidP="006F4930">
      <w:pPr>
        <w:pStyle w:val="BodyText1"/>
      </w:pPr>
      <w:r>
        <w:t xml:space="preserve">Μπορείτε να αντιμετωπίσετε την προκαταρκτική μελέτη ως ένα σχέδιο υλοποιούμενο βήμα προς βήμα: </w:t>
      </w:r>
    </w:p>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Προκαταρκτική μελέτη</w:t>
      </w:r>
      <w:r>
        <w:rPr>
          <w:color w:val="FFFFFF" w:themeColor="background1"/>
          <w:sz w:val="24"/>
        </w:rPr>
        <w:t xml:space="preserve"> </w:t>
      </w:r>
    </w:p>
    <w:p w14:paraId="5EA8FA8C" w14:textId="368DD08F" w:rsidR="006F4930" w:rsidRPr="006F4930" w:rsidRDefault="006F4930" w:rsidP="00A3595E">
      <w:pPr>
        <w:rPr>
          <w:color w:val="FFFFFF" w:themeColor="background1"/>
          <w:sz w:val="24"/>
          <w:szCs w:val="24"/>
        </w:rPr>
      </w:pPr>
    </w:p>
    <w:p w14:paraId="7FE8F1C1" w14:textId="65159AFD" w:rsidR="00CC023A" w:rsidRPr="006F4930" w:rsidRDefault="000B38A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0C523129">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390899D9"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0B38A0" w14:paraId="6BC9996F" w14:textId="77777777" w:rsidTr="006F4930">
        <w:trPr>
          <w:trHeight w:val="1243"/>
        </w:trPr>
        <w:tc>
          <w:tcPr>
            <w:tcW w:w="3660" w:type="dxa"/>
          </w:tcPr>
          <w:p w14:paraId="0E21E48E" w14:textId="47BAD1F6" w:rsidR="00D113C8" w:rsidRPr="000B38A0" w:rsidRDefault="000B38A0" w:rsidP="00A3595E">
            <w:pPr>
              <w:rPr>
                <w:rFonts w:ascii="Arial" w:hAnsi="Arial" w:cs="Arial"/>
                <w:color w:val="FFFFFF" w:themeColor="background1"/>
                <w:sz w:val="20"/>
                <w:szCs w:val="20"/>
              </w:rPr>
            </w:pPr>
            <w:r w:rsidRPr="000B38A0">
              <w:rPr>
                <w:rFonts w:ascii="Arial" w:hAnsi="Arial"/>
                <w:noProof/>
                <w:sz w:val="20"/>
                <w:szCs w:val="20"/>
              </w:rPr>
              <mc:AlternateContent>
                <mc:Choice Requires="wps">
                  <w:drawing>
                    <wp:anchor distT="0" distB="0" distL="114300" distR="114300" simplePos="0" relativeHeight="251644928" behindDoc="1" locked="0" layoutInCell="1" allowOverlap="1" wp14:anchorId="7E7A8846" wp14:editId="4D3C42CB">
                      <wp:simplePos x="0" y="0"/>
                      <wp:positionH relativeFrom="column">
                        <wp:posOffset>302578</wp:posOffset>
                      </wp:positionH>
                      <wp:positionV relativeFrom="paragraph">
                        <wp:posOffset>-936942</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6986297B" id="Rechthoek 2" o:spid="_x0000_s1026" style="position:absolute;margin-left:23.85pt;margin-top:-73.75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" fillcolor="#104d54" stroked="f" strokeweight="1pt"/>
                  </w:pict>
                </mc:Fallback>
              </mc:AlternateContent>
            </w:r>
            <w:r w:rsidR="005A4096" w:rsidRPr="000B38A0">
              <w:rPr>
                <w:rFonts w:ascii="Arial" w:hAnsi="Arial"/>
                <w:color w:val="FFFFFF" w:themeColor="background1"/>
                <w:sz w:val="20"/>
                <w:szCs w:val="20"/>
              </w:rPr>
              <w:t xml:space="preserve">1.  Απογραφή </w:t>
            </w:r>
            <w:r w:rsidR="005A4096" w:rsidRPr="000B38A0">
              <w:rPr>
                <w:rFonts w:ascii="Arial" w:hAnsi="Arial"/>
                <w:sz w:val="20"/>
                <w:szCs w:val="20"/>
              </w:rPr>
              <w:t xml:space="preserve"> </w:t>
            </w:r>
            <w:r w:rsidR="005A4096" w:rsidRPr="000B38A0">
              <w:rPr>
                <w:rFonts w:ascii="Arial" w:hAnsi="Arial"/>
                <w:sz w:val="20"/>
                <w:szCs w:val="20"/>
              </w:rPr>
              <w:cr/>
            </w:r>
          </w:p>
          <w:p w14:paraId="1D8D1911" w14:textId="1A4C6168" w:rsidR="00B46EE4" w:rsidRPr="000B38A0" w:rsidRDefault="00B46EE4" w:rsidP="00A3595E">
            <w:pPr>
              <w:rPr>
                <w:rFonts w:ascii="Arial" w:hAnsi="Arial" w:cs="Arial"/>
                <w:color w:val="FFFFFF" w:themeColor="background1"/>
                <w:sz w:val="20"/>
                <w:szCs w:val="20"/>
              </w:rPr>
            </w:pPr>
          </w:p>
        </w:tc>
        <w:tc>
          <w:tcPr>
            <w:tcW w:w="5450" w:type="dxa"/>
          </w:tcPr>
          <w:p w14:paraId="2D7EF1D9" w14:textId="36267A28" w:rsidR="00D113C8" w:rsidRPr="000B38A0" w:rsidRDefault="002E4ADD" w:rsidP="0075115D">
            <w:pPr>
              <w:pStyle w:val="BodyText1"/>
              <w:numPr>
                <w:ilvl w:val="0"/>
                <w:numId w:val="12"/>
              </w:numPr>
              <w:ind w:left="492" w:hanging="492"/>
              <w:jc w:val="left"/>
              <w:rPr>
                <w:sz w:val="20"/>
                <w:szCs w:val="20"/>
              </w:rPr>
            </w:pPr>
            <w:r w:rsidRPr="000B38A0">
              <w:rPr>
                <w:sz w:val="20"/>
                <w:szCs w:val="20"/>
              </w:rPr>
              <w:t>Κατάλογος τοποθεσιών</w:t>
            </w:r>
          </w:p>
          <w:p w14:paraId="565DECB3" w14:textId="74F0992D" w:rsidR="002E4ADD" w:rsidRPr="000B38A0" w:rsidRDefault="002E4ADD" w:rsidP="0075115D">
            <w:pPr>
              <w:pStyle w:val="BodyText1"/>
              <w:numPr>
                <w:ilvl w:val="0"/>
                <w:numId w:val="12"/>
              </w:numPr>
              <w:ind w:left="492" w:hanging="492"/>
              <w:jc w:val="left"/>
              <w:rPr>
                <w:sz w:val="20"/>
                <w:szCs w:val="20"/>
              </w:rPr>
            </w:pPr>
            <w:r w:rsidRPr="000B38A0">
              <w:rPr>
                <w:sz w:val="20"/>
                <w:szCs w:val="20"/>
              </w:rPr>
              <w:t>Μετρήσεις ανά στέγη/τεμάχιο γης</w:t>
            </w:r>
          </w:p>
          <w:p w14:paraId="33154646" w14:textId="0EDDE547" w:rsidR="002E4ADD" w:rsidRPr="000B38A0" w:rsidRDefault="00D113C8" w:rsidP="0075115D">
            <w:pPr>
              <w:pStyle w:val="BodyText1"/>
              <w:numPr>
                <w:ilvl w:val="0"/>
                <w:numId w:val="12"/>
              </w:numPr>
              <w:ind w:left="492" w:hanging="492"/>
              <w:jc w:val="left"/>
              <w:rPr>
                <w:sz w:val="20"/>
                <w:szCs w:val="20"/>
              </w:rPr>
            </w:pPr>
            <w:r w:rsidRPr="000B38A0">
              <w:rPr>
                <w:sz w:val="20"/>
                <w:szCs w:val="20"/>
              </w:rPr>
              <w:t xml:space="preserve">Φωτογραφίες και χρονοδιάγραμμα συντήρησης </w:t>
            </w:r>
          </w:p>
          <w:p w14:paraId="3AABCC4E" w14:textId="2541FE59" w:rsidR="002E4ADD" w:rsidRPr="000B38A0" w:rsidRDefault="00502061" w:rsidP="0075115D">
            <w:pPr>
              <w:pStyle w:val="BodyText1"/>
              <w:numPr>
                <w:ilvl w:val="0"/>
                <w:numId w:val="12"/>
              </w:numPr>
              <w:ind w:left="492" w:hanging="492"/>
              <w:jc w:val="left"/>
              <w:rPr>
                <w:sz w:val="20"/>
                <w:szCs w:val="20"/>
              </w:rPr>
            </w:pPr>
            <w:r w:rsidRPr="000B38A0">
              <w:rPr>
                <w:sz w:val="20"/>
                <w:szCs w:val="20"/>
              </w:rPr>
              <w:t xml:space="preserve">Φορτίο στη στέγη, σύνδεση με το δίκτυο και χρήση </w:t>
            </w:r>
          </w:p>
        </w:tc>
      </w:tr>
      <w:tr w:rsidR="00D113C8" w:rsidRPr="000B38A0" w14:paraId="6F220FDB" w14:textId="77777777" w:rsidTr="006F4930">
        <w:trPr>
          <w:trHeight w:val="963"/>
        </w:trPr>
        <w:tc>
          <w:tcPr>
            <w:tcW w:w="3660" w:type="dxa"/>
          </w:tcPr>
          <w:p w14:paraId="30103402" w14:textId="28A1C429" w:rsidR="00D113C8" w:rsidRPr="000B38A0" w:rsidRDefault="006F4930" w:rsidP="00A3595E">
            <w:pPr>
              <w:rPr>
                <w:rFonts w:ascii="Arial" w:hAnsi="Arial" w:cs="Arial"/>
                <w:color w:val="FFFFFF" w:themeColor="background1"/>
                <w:sz w:val="20"/>
                <w:szCs w:val="20"/>
              </w:rPr>
            </w:pPr>
            <w:r w:rsidRPr="000B38A0">
              <w:rPr>
                <w:rFonts w:ascii="Arial" w:hAnsi="Arial"/>
                <w:noProof/>
                <w:color w:val="FFFFFF" w:themeColor="background1"/>
                <w:sz w:val="20"/>
                <w:szCs w:val="20"/>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sidRPr="000B38A0">
              <w:rPr>
                <w:rFonts w:ascii="Arial" w:hAnsi="Arial"/>
                <w:noProof/>
                <w:color w:val="FFFFFF" w:themeColor="background1"/>
                <w:sz w:val="20"/>
                <w:szCs w:val="20"/>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sidRPr="000B38A0">
              <w:rPr>
                <w:rFonts w:ascii="Arial" w:hAnsi="Arial"/>
                <w:color w:val="FFFFFF" w:themeColor="background1"/>
                <w:sz w:val="20"/>
                <w:szCs w:val="20"/>
              </w:rPr>
              <w:t xml:space="preserve">2.  Ενδεικτική τεχνική μελέτη  </w:t>
            </w:r>
            <w:r w:rsidRPr="000B38A0">
              <w:rPr>
                <w:rFonts w:ascii="Arial" w:hAnsi="Arial"/>
                <w:sz w:val="20"/>
                <w:szCs w:val="20"/>
              </w:rPr>
              <w:t xml:space="preserve"> </w:t>
            </w:r>
            <w:r w:rsidRPr="000B38A0">
              <w:rPr>
                <w:rFonts w:ascii="Arial" w:hAnsi="Arial"/>
                <w:sz w:val="20"/>
                <w:szCs w:val="20"/>
              </w:rPr>
              <w:cr/>
            </w:r>
            <w:r w:rsidRPr="000B38A0">
              <w:rPr>
                <w:rFonts w:ascii="Arial" w:hAnsi="Arial"/>
                <w:sz w:val="20"/>
                <w:szCs w:val="20"/>
              </w:rPr>
              <w:br/>
            </w:r>
          </w:p>
        </w:tc>
        <w:tc>
          <w:tcPr>
            <w:tcW w:w="5450" w:type="dxa"/>
          </w:tcPr>
          <w:p w14:paraId="2ADF59CE" w14:textId="77777777" w:rsidR="00BC1A03" w:rsidRPr="000B38A0" w:rsidRDefault="00BC1A03" w:rsidP="0075115D">
            <w:pPr>
              <w:pStyle w:val="BodyText1"/>
              <w:numPr>
                <w:ilvl w:val="0"/>
                <w:numId w:val="12"/>
              </w:numPr>
              <w:ind w:left="492" w:hanging="492"/>
              <w:jc w:val="left"/>
              <w:rPr>
                <w:sz w:val="20"/>
                <w:szCs w:val="20"/>
              </w:rPr>
            </w:pPr>
            <w:r w:rsidRPr="000B38A0">
              <w:rPr>
                <w:sz w:val="20"/>
                <w:szCs w:val="20"/>
              </w:rPr>
              <w:t>Αριθμός ηλιακών συλλεκτών και δυναμικότητα ανά εγκατάσταση</w:t>
            </w:r>
          </w:p>
          <w:p w14:paraId="25BF810F" w14:textId="659B8210" w:rsidR="00021D7E" w:rsidRPr="000B38A0" w:rsidRDefault="00502061" w:rsidP="0075115D">
            <w:pPr>
              <w:pStyle w:val="BodyText1"/>
              <w:numPr>
                <w:ilvl w:val="0"/>
                <w:numId w:val="12"/>
              </w:numPr>
              <w:ind w:left="492" w:hanging="492"/>
              <w:jc w:val="left"/>
              <w:rPr>
                <w:sz w:val="20"/>
                <w:szCs w:val="20"/>
              </w:rPr>
            </w:pPr>
            <w:r w:rsidRPr="000B38A0">
              <w:rPr>
                <w:sz w:val="20"/>
                <w:szCs w:val="20"/>
              </w:rPr>
              <w:t>Σχέδιο επιχειρηματικής πρότασης</w:t>
            </w:r>
          </w:p>
          <w:p w14:paraId="5D5A6002" w14:textId="72863708" w:rsidR="00502061" w:rsidRPr="000B38A0" w:rsidRDefault="00502061" w:rsidP="0075115D">
            <w:pPr>
              <w:pStyle w:val="BodyText1"/>
              <w:numPr>
                <w:ilvl w:val="0"/>
                <w:numId w:val="12"/>
              </w:numPr>
              <w:ind w:left="492" w:hanging="492"/>
              <w:jc w:val="left"/>
              <w:rPr>
                <w:sz w:val="20"/>
                <w:szCs w:val="20"/>
              </w:rPr>
            </w:pPr>
            <w:r w:rsidRPr="000B38A0">
              <w:rPr>
                <w:sz w:val="20"/>
                <w:szCs w:val="20"/>
              </w:rPr>
              <w:t>Ενδεικτικές προδιαγραφές</w:t>
            </w:r>
          </w:p>
        </w:tc>
      </w:tr>
      <w:tr w:rsidR="00D113C8" w:rsidRPr="000B38A0" w14:paraId="50D5279D" w14:textId="77777777" w:rsidTr="006F4930">
        <w:trPr>
          <w:trHeight w:val="1234"/>
        </w:trPr>
        <w:tc>
          <w:tcPr>
            <w:tcW w:w="3660" w:type="dxa"/>
          </w:tcPr>
          <w:p w14:paraId="08C72A51" w14:textId="70DC8EE7" w:rsidR="00D113C8" w:rsidRPr="000B38A0" w:rsidRDefault="00D01A67" w:rsidP="00FB7DCE">
            <w:pPr>
              <w:ind w:left="319" w:hanging="319"/>
              <w:rPr>
                <w:rFonts w:ascii="Arial" w:hAnsi="Arial" w:cs="Arial"/>
                <w:color w:val="FFFFFF" w:themeColor="background1"/>
                <w:sz w:val="20"/>
                <w:szCs w:val="20"/>
              </w:rPr>
            </w:pPr>
            <w:r w:rsidRPr="000B38A0">
              <w:rPr>
                <w:rFonts w:ascii="Arial" w:hAnsi="Arial"/>
                <w:noProof/>
                <w:color w:val="FFFFFF" w:themeColor="background1"/>
                <w:sz w:val="20"/>
                <w:szCs w:val="20"/>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sidRPr="000B38A0">
              <w:rPr>
                <w:rFonts w:ascii="Arial" w:hAnsi="Arial"/>
                <w:color w:val="FFFFFF" w:themeColor="background1"/>
                <w:sz w:val="20"/>
                <w:szCs w:val="20"/>
              </w:rPr>
              <w:t xml:space="preserve">3.  Κυριότητα καιδιαδικασία επιλογής </w:t>
            </w:r>
            <w:r w:rsidRPr="000B38A0">
              <w:rPr>
                <w:rFonts w:ascii="Arial" w:hAnsi="Arial"/>
                <w:sz w:val="20"/>
                <w:szCs w:val="20"/>
              </w:rPr>
              <w:t xml:space="preserve"> </w:t>
            </w:r>
            <w:r w:rsidRPr="000B38A0">
              <w:rPr>
                <w:rFonts w:ascii="Arial" w:hAnsi="Arial"/>
                <w:sz w:val="20"/>
                <w:szCs w:val="20"/>
              </w:rPr>
              <w:cr/>
            </w:r>
            <w:r w:rsidRPr="000B38A0">
              <w:rPr>
                <w:rFonts w:ascii="Arial" w:hAnsi="Arial"/>
                <w:sz w:val="20"/>
                <w:szCs w:val="20"/>
              </w:rPr>
              <w:br/>
            </w:r>
            <w:r w:rsidRPr="000B38A0">
              <w:rPr>
                <w:rFonts w:ascii="Arial" w:hAnsi="Arial"/>
                <w:color w:val="FFFFFF" w:themeColor="background1"/>
                <w:sz w:val="20"/>
                <w:szCs w:val="20"/>
              </w:rPr>
              <w:t xml:space="preserve"> </w:t>
            </w:r>
            <w:r w:rsidRPr="000B38A0">
              <w:rPr>
                <w:rFonts w:ascii="Arial" w:hAnsi="Arial"/>
                <w:sz w:val="20"/>
                <w:szCs w:val="20"/>
              </w:rPr>
              <w:t xml:space="preserve"> </w:t>
            </w:r>
            <w:r w:rsidRPr="000B38A0">
              <w:rPr>
                <w:rFonts w:ascii="Arial" w:hAnsi="Arial"/>
                <w:sz w:val="20"/>
                <w:szCs w:val="20"/>
              </w:rPr>
              <w:cr/>
            </w:r>
            <w:r w:rsidRPr="000B38A0">
              <w:rPr>
                <w:rFonts w:ascii="Arial" w:hAnsi="Arial"/>
                <w:sz w:val="20"/>
                <w:szCs w:val="20"/>
              </w:rPr>
              <w:br/>
            </w:r>
            <w:r w:rsidRPr="000B38A0">
              <w:rPr>
                <w:rFonts w:ascii="Arial" w:hAnsi="Arial"/>
                <w:i/>
                <w:color w:val="FFFFFF" w:themeColor="background1"/>
                <w:sz w:val="20"/>
                <w:szCs w:val="20"/>
              </w:rPr>
              <w:t xml:space="preserve"> </w:t>
            </w:r>
          </w:p>
        </w:tc>
        <w:tc>
          <w:tcPr>
            <w:tcW w:w="5450" w:type="dxa"/>
          </w:tcPr>
          <w:p w14:paraId="57601827" w14:textId="1C8B87C2" w:rsidR="00950CF7" w:rsidRPr="000B38A0" w:rsidRDefault="00950CF7" w:rsidP="0075115D">
            <w:pPr>
              <w:pStyle w:val="BodyText1"/>
              <w:numPr>
                <w:ilvl w:val="0"/>
                <w:numId w:val="12"/>
              </w:numPr>
              <w:ind w:left="492" w:hanging="492"/>
              <w:jc w:val="left"/>
              <w:rPr>
                <w:sz w:val="20"/>
                <w:szCs w:val="20"/>
              </w:rPr>
            </w:pPr>
            <w:r w:rsidRPr="000B38A0">
              <w:rPr>
                <w:sz w:val="20"/>
                <w:szCs w:val="20"/>
              </w:rPr>
              <w:t xml:space="preserve">Παραχώρηση / χρηματοδοτική μίσθωση;  </w:t>
            </w:r>
          </w:p>
          <w:p w14:paraId="4DC14438" w14:textId="4DABEAEB" w:rsidR="00BC1A03" w:rsidRPr="000B38A0" w:rsidRDefault="00BC1A03" w:rsidP="0075115D">
            <w:pPr>
              <w:pStyle w:val="BodyText1"/>
              <w:numPr>
                <w:ilvl w:val="0"/>
                <w:numId w:val="12"/>
              </w:numPr>
              <w:ind w:left="492" w:hanging="492"/>
              <w:jc w:val="left"/>
              <w:rPr>
                <w:sz w:val="20"/>
                <w:szCs w:val="20"/>
              </w:rPr>
            </w:pPr>
            <w:r w:rsidRPr="000B38A0">
              <w:rPr>
                <w:sz w:val="20"/>
                <w:szCs w:val="20"/>
              </w:rPr>
              <w:t xml:space="preserve">Απευθείας ανάθεση; </w:t>
            </w:r>
          </w:p>
          <w:p w14:paraId="65783D51" w14:textId="7165A80B" w:rsidR="00D113C8" w:rsidRPr="000B38A0" w:rsidRDefault="00BC1A03" w:rsidP="0075115D">
            <w:pPr>
              <w:pStyle w:val="BodyText1"/>
              <w:numPr>
                <w:ilvl w:val="0"/>
                <w:numId w:val="12"/>
              </w:numPr>
              <w:ind w:left="492" w:hanging="492"/>
              <w:jc w:val="left"/>
              <w:rPr>
                <w:sz w:val="20"/>
                <w:szCs w:val="20"/>
              </w:rPr>
            </w:pPr>
            <w:r w:rsidRPr="000B38A0">
              <w:rPr>
                <w:sz w:val="20"/>
                <w:szCs w:val="20"/>
              </w:rPr>
              <w:t>Εθνική ή ευρωπαϊκή πρόσκληση υποβολής προσφορών;</w:t>
            </w:r>
          </w:p>
        </w:tc>
      </w:tr>
      <w:tr w:rsidR="00CC46CB" w:rsidRPr="000B38A0" w14:paraId="48ED35FA" w14:textId="77777777" w:rsidTr="006F4930">
        <w:trPr>
          <w:trHeight w:val="1243"/>
        </w:trPr>
        <w:tc>
          <w:tcPr>
            <w:tcW w:w="3660" w:type="dxa"/>
          </w:tcPr>
          <w:p w14:paraId="02863A1B" w14:textId="0B2D6CB6" w:rsidR="00CC46CB" w:rsidRPr="000B38A0" w:rsidRDefault="00D01A67" w:rsidP="00FB7DCE">
            <w:pPr>
              <w:ind w:left="319" w:hanging="319"/>
              <w:rPr>
                <w:rFonts w:ascii="Arial" w:hAnsi="Arial" w:cs="Arial"/>
                <w:color w:val="FFFFFF" w:themeColor="background1"/>
                <w:sz w:val="20"/>
                <w:szCs w:val="20"/>
              </w:rPr>
            </w:pPr>
            <w:r w:rsidRPr="000B38A0">
              <w:rPr>
                <w:rFonts w:ascii="Arial" w:hAnsi="Arial"/>
                <w:noProof/>
                <w:color w:val="FFFFFF" w:themeColor="background1"/>
                <w:sz w:val="20"/>
                <w:szCs w:val="20"/>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sidRPr="000B38A0">
              <w:rPr>
                <w:rFonts w:ascii="Arial" w:hAnsi="Arial"/>
                <w:color w:val="FFFFFF" w:themeColor="background1"/>
                <w:sz w:val="20"/>
                <w:szCs w:val="20"/>
              </w:rPr>
              <w:t xml:space="preserve">4.  Άδειες καισύνδεση </w:t>
            </w:r>
            <w:r w:rsidR="000B38A0" w:rsidRPr="00175EA5">
              <w:rPr>
                <w:rFonts w:ascii="Arial" w:hAnsi="Arial"/>
                <w:color w:val="FFFFFF" w:themeColor="background1"/>
                <w:sz w:val="20"/>
                <w:szCs w:val="20"/>
              </w:rPr>
              <w:br/>
            </w:r>
            <w:r w:rsidRPr="000B38A0">
              <w:rPr>
                <w:rFonts w:ascii="Arial" w:hAnsi="Arial"/>
                <w:color w:val="FFFFFF" w:themeColor="background1"/>
                <w:sz w:val="20"/>
                <w:szCs w:val="20"/>
              </w:rPr>
              <w:t xml:space="preserve">με το δίκτυο </w:t>
            </w:r>
          </w:p>
        </w:tc>
        <w:tc>
          <w:tcPr>
            <w:tcW w:w="5450" w:type="dxa"/>
          </w:tcPr>
          <w:p w14:paraId="5174ABFD" w14:textId="685451D2" w:rsidR="000A54DB" w:rsidRPr="000B38A0" w:rsidRDefault="000A54DB" w:rsidP="0075115D">
            <w:pPr>
              <w:pStyle w:val="BodyText1"/>
              <w:numPr>
                <w:ilvl w:val="0"/>
                <w:numId w:val="12"/>
              </w:numPr>
              <w:ind w:left="492" w:hanging="492"/>
              <w:jc w:val="left"/>
              <w:rPr>
                <w:sz w:val="20"/>
                <w:szCs w:val="20"/>
              </w:rPr>
            </w:pPr>
            <w:r w:rsidRPr="000B38A0">
              <w:rPr>
                <w:sz w:val="20"/>
                <w:szCs w:val="20"/>
              </w:rPr>
              <w:t xml:space="preserve">Απαιτούνται περιβαλλοντικές άδειες; </w:t>
            </w:r>
          </w:p>
          <w:p w14:paraId="275DFA18" w14:textId="6574EB53" w:rsidR="00144E8B" w:rsidRPr="000B38A0" w:rsidRDefault="00144E8B" w:rsidP="0075115D">
            <w:pPr>
              <w:pStyle w:val="BodyText1"/>
              <w:numPr>
                <w:ilvl w:val="0"/>
                <w:numId w:val="12"/>
              </w:numPr>
              <w:ind w:left="492" w:hanging="492"/>
              <w:jc w:val="left"/>
              <w:rPr>
                <w:sz w:val="20"/>
                <w:szCs w:val="20"/>
              </w:rPr>
            </w:pPr>
            <w:r w:rsidRPr="000B38A0">
              <w:rPr>
                <w:sz w:val="20"/>
                <w:szCs w:val="20"/>
              </w:rPr>
              <w:t xml:space="preserve">Αύξηση της σύνδεσης με το δίκτυο; </w:t>
            </w:r>
          </w:p>
          <w:p w14:paraId="726FDFE5" w14:textId="7A2773DA" w:rsidR="00681E9B" w:rsidRPr="000B38A0" w:rsidRDefault="00BC1A03" w:rsidP="0075115D">
            <w:pPr>
              <w:pStyle w:val="BodyText1"/>
              <w:numPr>
                <w:ilvl w:val="0"/>
                <w:numId w:val="12"/>
              </w:numPr>
              <w:ind w:left="492" w:hanging="492"/>
              <w:jc w:val="left"/>
              <w:rPr>
                <w:sz w:val="20"/>
                <w:szCs w:val="20"/>
              </w:rPr>
            </w:pPr>
            <w:r w:rsidRPr="000B38A0">
              <w:rPr>
                <w:sz w:val="20"/>
                <w:szCs w:val="20"/>
              </w:rPr>
              <w:t>Σημεία φόρτισης; Σύστημα ενεργειακής διαχείρισης (ΣΕΔ) ή μπαταρίες;</w:t>
            </w:r>
          </w:p>
        </w:tc>
      </w:tr>
      <w:tr w:rsidR="00CC46CB" w:rsidRPr="000B38A0" w14:paraId="228D0CDC" w14:textId="77777777" w:rsidTr="006F4930">
        <w:trPr>
          <w:trHeight w:val="963"/>
        </w:trPr>
        <w:tc>
          <w:tcPr>
            <w:tcW w:w="3660" w:type="dxa"/>
          </w:tcPr>
          <w:p w14:paraId="1C5D8E0D" w14:textId="4D4F3F82" w:rsidR="00CC46CB" w:rsidRPr="000B38A0" w:rsidRDefault="00D01A67" w:rsidP="00FB7DCE">
            <w:pPr>
              <w:ind w:left="319" w:hanging="319"/>
              <w:rPr>
                <w:rFonts w:ascii="Arial" w:hAnsi="Arial" w:cs="Arial"/>
                <w:color w:val="FFFFFF" w:themeColor="background1"/>
                <w:sz w:val="20"/>
                <w:szCs w:val="20"/>
              </w:rPr>
            </w:pPr>
            <w:r w:rsidRPr="000B38A0">
              <w:rPr>
                <w:rFonts w:ascii="Arial" w:hAnsi="Arial"/>
                <w:noProof/>
                <w:color w:val="FFFFFF" w:themeColor="background1"/>
                <w:sz w:val="20"/>
                <w:szCs w:val="20"/>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sidRPr="000B38A0">
              <w:rPr>
                <w:rFonts w:ascii="Arial" w:hAnsi="Arial"/>
                <w:color w:val="FFFFFF" w:themeColor="background1"/>
                <w:sz w:val="20"/>
                <w:szCs w:val="20"/>
              </w:rPr>
              <w:t>5. Κύκλος εργασιών, επιδοτήσεις, χρηματοδότηση και ασφάλιση</w:t>
            </w:r>
          </w:p>
        </w:tc>
        <w:tc>
          <w:tcPr>
            <w:tcW w:w="5450" w:type="dxa"/>
          </w:tcPr>
          <w:p w14:paraId="7E016335" w14:textId="251AE1C0" w:rsidR="00CE1B39" w:rsidRPr="000B38A0" w:rsidRDefault="00F16ACA" w:rsidP="0075115D">
            <w:pPr>
              <w:pStyle w:val="BodyText1"/>
              <w:numPr>
                <w:ilvl w:val="0"/>
                <w:numId w:val="12"/>
              </w:numPr>
              <w:ind w:left="492" w:hanging="492"/>
              <w:jc w:val="left"/>
              <w:rPr>
                <w:sz w:val="20"/>
                <w:szCs w:val="20"/>
              </w:rPr>
            </w:pPr>
            <w:r w:rsidRPr="000B38A0">
              <w:rPr>
                <w:sz w:val="20"/>
                <w:szCs w:val="20"/>
              </w:rPr>
              <w:t xml:space="preserve">Πώληση ηλεκτρικής ενέργειας· SDE++ (Καθεστώς παροχής κινήτρων για βιώσιμη παραγωγή ενέργειας και την κλιματική μετάβαση) ή άλλες επιδοτήσεις; </w:t>
            </w:r>
          </w:p>
          <w:p w14:paraId="1C6D623F" w14:textId="77777777" w:rsidR="005A6695" w:rsidRPr="000B38A0" w:rsidRDefault="005A6695" w:rsidP="0075115D">
            <w:pPr>
              <w:pStyle w:val="BodyText1"/>
              <w:numPr>
                <w:ilvl w:val="0"/>
                <w:numId w:val="12"/>
              </w:numPr>
              <w:ind w:left="492" w:hanging="492"/>
              <w:jc w:val="left"/>
              <w:rPr>
                <w:sz w:val="20"/>
                <w:szCs w:val="20"/>
              </w:rPr>
            </w:pPr>
            <w:r w:rsidRPr="000B38A0">
              <w:rPr>
                <w:sz w:val="20"/>
                <w:szCs w:val="20"/>
              </w:rPr>
              <w:t xml:space="preserve">Χρηματοδότηση (εσωτερική + εξωτερική); </w:t>
            </w:r>
          </w:p>
          <w:p w14:paraId="65A5BE93" w14:textId="6C515738" w:rsidR="005A6695" w:rsidRPr="000B38A0" w:rsidRDefault="005A6695" w:rsidP="0075115D">
            <w:pPr>
              <w:pStyle w:val="BodyText1"/>
              <w:numPr>
                <w:ilvl w:val="0"/>
                <w:numId w:val="12"/>
              </w:numPr>
              <w:ind w:left="492" w:hanging="492"/>
              <w:jc w:val="left"/>
              <w:rPr>
                <w:sz w:val="20"/>
                <w:szCs w:val="20"/>
              </w:rPr>
            </w:pPr>
            <w:r w:rsidRPr="000B38A0">
              <w:rPr>
                <w:sz w:val="20"/>
                <w:szCs w:val="20"/>
              </w:rPr>
              <w:t>Ασφάλιση</w:t>
            </w:r>
          </w:p>
        </w:tc>
      </w:tr>
      <w:tr w:rsidR="00E87C9F" w:rsidRPr="000B38A0" w14:paraId="1514DD95" w14:textId="77777777" w:rsidTr="006F4930">
        <w:trPr>
          <w:trHeight w:val="953"/>
        </w:trPr>
        <w:tc>
          <w:tcPr>
            <w:tcW w:w="3660" w:type="dxa"/>
          </w:tcPr>
          <w:p w14:paraId="48DADDE2" w14:textId="4BC23098" w:rsidR="00E87C9F" w:rsidRPr="000B38A0" w:rsidRDefault="00D01A67" w:rsidP="00A3595E">
            <w:pPr>
              <w:rPr>
                <w:rFonts w:ascii="Arial" w:hAnsi="Arial" w:cs="Arial"/>
                <w:color w:val="FFFFFF" w:themeColor="background1"/>
                <w:sz w:val="20"/>
                <w:szCs w:val="20"/>
              </w:rPr>
            </w:pPr>
            <w:r w:rsidRPr="000B38A0">
              <w:rPr>
                <w:rFonts w:ascii="Arial" w:hAnsi="Arial"/>
                <w:color w:val="FFFFFF" w:themeColor="background1"/>
                <w:sz w:val="20"/>
                <w:szCs w:val="20"/>
              </w:rPr>
              <w:t xml:space="preserve">6. Ζητήματα βιωσιμότητας </w:t>
            </w:r>
          </w:p>
        </w:tc>
        <w:tc>
          <w:tcPr>
            <w:tcW w:w="5450" w:type="dxa"/>
          </w:tcPr>
          <w:p w14:paraId="2AFC672C" w14:textId="5561B16E" w:rsidR="00B63BBC" w:rsidRPr="000B38A0" w:rsidRDefault="00FA5774" w:rsidP="0075115D">
            <w:pPr>
              <w:pStyle w:val="BodyText1"/>
              <w:numPr>
                <w:ilvl w:val="0"/>
                <w:numId w:val="12"/>
              </w:numPr>
              <w:ind w:left="492" w:hanging="492"/>
              <w:jc w:val="left"/>
              <w:rPr>
                <w:sz w:val="20"/>
                <w:szCs w:val="20"/>
              </w:rPr>
            </w:pPr>
            <w:r w:rsidRPr="000B38A0">
              <w:rPr>
                <w:sz w:val="20"/>
                <w:szCs w:val="20"/>
              </w:rPr>
              <w:t>Ζητήματα βιωσιμότητας των ηλιακών συλλεκτών</w:t>
            </w:r>
          </w:p>
          <w:p w14:paraId="52D6FAC6" w14:textId="77777777" w:rsidR="00F7042B" w:rsidRPr="000B38A0" w:rsidRDefault="00FA5774" w:rsidP="0075115D">
            <w:pPr>
              <w:pStyle w:val="BodyText1"/>
              <w:numPr>
                <w:ilvl w:val="0"/>
                <w:numId w:val="12"/>
              </w:numPr>
              <w:ind w:left="492" w:hanging="492"/>
              <w:jc w:val="left"/>
              <w:rPr>
                <w:sz w:val="20"/>
                <w:szCs w:val="20"/>
              </w:rPr>
            </w:pPr>
            <w:r w:rsidRPr="000B38A0">
              <w:rPr>
                <w:sz w:val="20"/>
                <w:szCs w:val="20"/>
              </w:rPr>
              <w:t xml:space="preserve">Περιβαλλοντικά ζητήματα </w:t>
            </w:r>
          </w:p>
          <w:p w14:paraId="0F7EF8A0" w14:textId="58E18293" w:rsidR="00C677D9" w:rsidRPr="000B38A0" w:rsidRDefault="00F7042B" w:rsidP="0075115D">
            <w:pPr>
              <w:pStyle w:val="BodyText1"/>
              <w:numPr>
                <w:ilvl w:val="0"/>
                <w:numId w:val="12"/>
              </w:numPr>
              <w:ind w:left="492" w:hanging="492"/>
              <w:jc w:val="left"/>
              <w:rPr>
                <w:sz w:val="20"/>
                <w:szCs w:val="20"/>
              </w:rPr>
            </w:pPr>
            <w:r w:rsidRPr="000B38A0">
              <w:rPr>
                <w:sz w:val="20"/>
                <w:szCs w:val="20"/>
              </w:rPr>
              <w:t xml:space="preserve">Συνθήκες εργασίας </w:t>
            </w:r>
          </w:p>
        </w:tc>
      </w:tr>
      <w:tr w:rsidR="00CC46CB" w:rsidRPr="000B38A0" w14:paraId="14ADF7A9" w14:textId="77777777" w:rsidTr="006F4930">
        <w:trPr>
          <w:trHeight w:val="967"/>
        </w:trPr>
        <w:tc>
          <w:tcPr>
            <w:tcW w:w="3660" w:type="dxa"/>
          </w:tcPr>
          <w:p w14:paraId="787572FE" w14:textId="46904F1D" w:rsidR="001D2C89" w:rsidRPr="000B38A0" w:rsidRDefault="00C677D9" w:rsidP="00A3595E">
            <w:pPr>
              <w:rPr>
                <w:rFonts w:ascii="Arial" w:hAnsi="Arial" w:cs="Arial"/>
                <w:color w:val="FFFFFF" w:themeColor="background1"/>
                <w:sz w:val="20"/>
                <w:szCs w:val="20"/>
              </w:rPr>
            </w:pPr>
            <w:r w:rsidRPr="000B38A0">
              <w:rPr>
                <w:rFonts w:ascii="Arial" w:hAnsi="Arial"/>
                <w:color w:val="FFFFFF" w:themeColor="background1"/>
                <w:sz w:val="20"/>
                <w:szCs w:val="20"/>
              </w:rPr>
              <w:t>7.  Εκτέλεση και παράδοση</w:t>
            </w:r>
          </w:p>
        </w:tc>
        <w:tc>
          <w:tcPr>
            <w:tcW w:w="5450" w:type="dxa"/>
          </w:tcPr>
          <w:p w14:paraId="5C46CEAB" w14:textId="77777777" w:rsidR="00CC46CB" w:rsidRPr="000B38A0" w:rsidRDefault="004E647C" w:rsidP="0075115D">
            <w:pPr>
              <w:pStyle w:val="BodyText1"/>
              <w:numPr>
                <w:ilvl w:val="0"/>
                <w:numId w:val="12"/>
              </w:numPr>
              <w:ind w:left="492" w:hanging="492"/>
              <w:jc w:val="left"/>
              <w:rPr>
                <w:sz w:val="20"/>
                <w:szCs w:val="20"/>
              </w:rPr>
            </w:pPr>
            <w:r w:rsidRPr="000B38A0">
              <w:rPr>
                <w:sz w:val="20"/>
                <w:szCs w:val="20"/>
              </w:rPr>
              <w:t xml:space="preserve">Επιθεώρηση βάσει της Ενότητας 12 του SCIOS </w:t>
            </w:r>
          </w:p>
          <w:p w14:paraId="68836B08" w14:textId="61E71DA6" w:rsidR="004E647C" w:rsidRPr="000B38A0" w:rsidRDefault="004E647C" w:rsidP="0075115D">
            <w:pPr>
              <w:pStyle w:val="BodyText1"/>
              <w:numPr>
                <w:ilvl w:val="0"/>
                <w:numId w:val="12"/>
              </w:numPr>
              <w:ind w:left="492" w:hanging="492"/>
              <w:jc w:val="left"/>
              <w:rPr>
                <w:sz w:val="20"/>
                <w:szCs w:val="20"/>
              </w:rPr>
            </w:pPr>
            <w:r w:rsidRPr="000B38A0">
              <w:rPr>
                <w:sz w:val="20"/>
                <w:szCs w:val="20"/>
              </w:rPr>
              <w:t>Άλλες δοκιμές και επιθεωρήσεις</w:t>
            </w:r>
          </w:p>
        </w:tc>
      </w:tr>
      <w:tr w:rsidR="00E44898" w:rsidRPr="000B38A0" w14:paraId="208FFAB7" w14:textId="77777777" w:rsidTr="006F4930">
        <w:trPr>
          <w:trHeight w:val="107"/>
        </w:trPr>
        <w:tc>
          <w:tcPr>
            <w:tcW w:w="3660" w:type="dxa"/>
          </w:tcPr>
          <w:p w14:paraId="25B909AC" w14:textId="73CF0F08" w:rsidR="00E44898" w:rsidRPr="000B38A0" w:rsidRDefault="005A4096" w:rsidP="00A3595E">
            <w:pPr>
              <w:rPr>
                <w:rFonts w:ascii="Arial" w:hAnsi="Arial" w:cs="Arial"/>
                <w:color w:val="FFFFFF" w:themeColor="background1"/>
                <w:sz w:val="20"/>
                <w:szCs w:val="20"/>
              </w:rPr>
            </w:pPr>
            <w:r w:rsidRPr="000B38A0">
              <w:rPr>
                <w:rFonts w:ascii="Arial" w:hAnsi="Arial"/>
                <w:noProof/>
                <w:color w:val="FFFFFF" w:themeColor="background1"/>
                <w:sz w:val="20"/>
                <w:szCs w:val="20"/>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sidRPr="000B38A0">
              <w:rPr>
                <w:rFonts w:ascii="Arial" w:hAnsi="Arial"/>
                <w:color w:val="FFFFFF" w:themeColor="background1"/>
                <w:sz w:val="20"/>
                <w:szCs w:val="20"/>
              </w:rPr>
              <w:t>8. Συντήρηση και παρακολούθηση</w:t>
            </w:r>
          </w:p>
        </w:tc>
        <w:tc>
          <w:tcPr>
            <w:tcW w:w="5450" w:type="dxa"/>
          </w:tcPr>
          <w:p w14:paraId="46556BA3" w14:textId="77777777" w:rsidR="00E44898" w:rsidRPr="000B38A0" w:rsidRDefault="00D01A67" w:rsidP="0075115D">
            <w:pPr>
              <w:pStyle w:val="BodyText1"/>
              <w:numPr>
                <w:ilvl w:val="0"/>
                <w:numId w:val="12"/>
              </w:numPr>
              <w:ind w:left="492" w:hanging="492"/>
              <w:jc w:val="left"/>
              <w:rPr>
                <w:sz w:val="20"/>
                <w:szCs w:val="20"/>
              </w:rPr>
            </w:pPr>
            <w:r w:rsidRPr="000B38A0">
              <w:rPr>
                <w:sz w:val="20"/>
                <w:szCs w:val="20"/>
              </w:rPr>
              <w:t>Συντήρηση</w:t>
            </w:r>
          </w:p>
          <w:p w14:paraId="46B4C901" w14:textId="4E85AC8A" w:rsidR="00D01A67" w:rsidRPr="000B38A0" w:rsidRDefault="00D01A67" w:rsidP="0075115D">
            <w:pPr>
              <w:pStyle w:val="BodyText1"/>
              <w:numPr>
                <w:ilvl w:val="0"/>
                <w:numId w:val="12"/>
              </w:numPr>
              <w:ind w:left="492" w:hanging="492"/>
              <w:jc w:val="left"/>
              <w:rPr>
                <w:sz w:val="20"/>
                <w:szCs w:val="20"/>
              </w:rPr>
            </w:pPr>
            <w:r w:rsidRPr="000B38A0">
              <w:rPr>
                <w:sz w:val="20"/>
                <w:szCs w:val="20"/>
              </w:rPr>
              <w:t>Παρακολούθηση</w:t>
            </w:r>
          </w:p>
        </w:tc>
      </w:tr>
    </w:tbl>
    <w:p w14:paraId="25927F44" w14:textId="77777777" w:rsidR="008D2EA0" w:rsidRPr="004C0EBD" w:rsidRDefault="008D2EA0" w:rsidP="00A3595E">
      <w:pPr>
        <w:pStyle w:val="Heading2"/>
      </w:pPr>
    </w:p>
    <w:p w14:paraId="164855BD" w14:textId="69363AF0" w:rsidR="00CC46CB" w:rsidRPr="007C0E44" w:rsidRDefault="00BC1A03" w:rsidP="007C0E44">
      <w:pPr>
        <w:pStyle w:val="Heading2"/>
        <w:rPr>
          <w:rFonts w:ascii="Arial" w:hAnsi="Arial" w:cs="Arial"/>
          <w:color w:val="104D54"/>
        </w:rPr>
      </w:pPr>
      <w:bookmarkStart w:id="111" w:name="_Toc176868912"/>
      <w:r w:rsidRPr="007C0E44">
        <w:rPr>
          <w:rFonts w:ascii="Arial" w:hAnsi="Arial" w:cs="Arial"/>
          <w:color w:val="104D54"/>
        </w:rPr>
        <w:t>Βήμα 1 Απογραφή</w:t>
      </w:r>
      <w:bookmarkEnd w:id="111"/>
    </w:p>
    <w:p w14:paraId="1B214EE4" w14:textId="77777777" w:rsidR="00411443" w:rsidRPr="004C0EBD" w:rsidRDefault="00411443" w:rsidP="00A3595E"/>
    <w:p w14:paraId="420861F0" w14:textId="3B0B2D94" w:rsidR="00681E9B" w:rsidRPr="004C0EBD" w:rsidRDefault="00E7122D" w:rsidP="001079C7">
      <w:pPr>
        <w:pStyle w:val="BodyText1"/>
      </w:pPr>
      <w:r>
        <w:t xml:space="preserve">Το πρώτο βήμα για το έργο είναι να γίνει απογραφή των διαθέσιμων στεγών ή τεμαχίων γης που θα περιληφθούν στο έργο. Μπορείτε να το κάνετε (εν μέρει) μόνοι σας ή με τη βοήθεια τεχνικού συμβούλου (βλ. συμβουλή 1). Σε περίπτωση ύπαρξης πολλών τοποθεσιών, παρουσιάζεται συχνά επισκόπηση σε πίνακα, μαζί με φωτογραφίες και χάρτες για κάθε τοποθεσία. </w:t>
      </w:r>
    </w:p>
    <w:p w14:paraId="76D4D889" w14:textId="77777777" w:rsidR="00681E9B" w:rsidRPr="004C0EBD" w:rsidRDefault="00681E9B" w:rsidP="00A3595E"/>
    <w:p w14:paraId="5D2BA25A" w14:textId="5C92DB7E" w:rsidR="00114C41" w:rsidRPr="004C0EBD" w:rsidRDefault="00444DFF" w:rsidP="00094DE4">
      <w:pPr>
        <w:pStyle w:val="MH3"/>
      </w:pPr>
      <w:bookmarkStart w:id="112" w:name="_Toc180507837"/>
      <w:r>
        <w:t xml:space="preserve">1.1 </w:t>
      </w:r>
      <w:r w:rsidRPr="007C0E44">
        <w:t>Γενικά</w:t>
      </w:r>
      <w:r>
        <w:t xml:space="preserve"> στοιχεία</w:t>
      </w:r>
      <w:bookmarkEnd w:id="112"/>
      <w:r>
        <w:t xml:space="preserve"> </w:t>
      </w:r>
    </w:p>
    <w:p w14:paraId="5B6D9F83" w14:textId="77777777" w:rsidR="00114C41" w:rsidRPr="004C0EBD" w:rsidRDefault="00114C41" w:rsidP="0075115D">
      <w:pPr>
        <w:pStyle w:val="BodyText1"/>
        <w:numPr>
          <w:ilvl w:val="0"/>
          <w:numId w:val="13"/>
        </w:numPr>
      </w:pPr>
      <w:r>
        <w:t xml:space="preserve">Διεύθυνση της τοποθεσίας </w:t>
      </w:r>
    </w:p>
    <w:p w14:paraId="5DB92B22" w14:textId="7931C678" w:rsidR="00114C41" w:rsidRPr="004C0EBD" w:rsidRDefault="00114C41" w:rsidP="0075115D">
      <w:pPr>
        <w:pStyle w:val="BodyText1"/>
        <w:numPr>
          <w:ilvl w:val="0"/>
          <w:numId w:val="13"/>
        </w:numPr>
      </w:pPr>
      <w:r>
        <w:t>Σύντομη περιγραφή της τοποθεσίας</w:t>
      </w:r>
    </w:p>
    <w:p w14:paraId="0A07B288" w14:textId="2F3857E4" w:rsidR="00114C41" w:rsidRPr="004C0EBD" w:rsidRDefault="00114C41" w:rsidP="00D11E72">
      <w:pPr>
        <w:pStyle w:val="BodyText1"/>
        <w:numPr>
          <w:ilvl w:val="0"/>
          <w:numId w:val="13"/>
        </w:numPr>
        <w:ind w:left="0" w:firstLine="0"/>
      </w:pPr>
      <w:r>
        <w:t xml:space="preserve">Κατά προσέγγιση μετρήσεις της επιφάνειας τοποθέτησης φωτοβολταϊκών (μήκος x πλάτος) </w:t>
      </w:r>
    </w:p>
    <w:p w14:paraId="72BD0897" w14:textId="5E125031" w:rsidR="00114C41" w:rsidRPr="001079C7" w:rsidRDefault="00114C41" w:rsidP="0075115D">
      <w:pPr>
        <w:pStyle w:val="BodyText1"/>
        <w:numPr>
          <w:ilvl w:val="0"/>
          <w:numId w:val="13"/>
        </w:numPr>
      </w:pPr>
      <w:r>
        <w:t xml:space="preserve">Πιθανή ημερομηνία έναρξης της εγκατάστασης και ημερομηνία λήξης, κατά περίπτωση </w:t>
      </w:r>
    </w:p>
    <w:p w14:paraId="3806F316" w14:textId="77777777" w:rsidR="001079C7" w:rsidRPr="004C0EBD" w:rsidRDefault="001079C7" w:rsidP="001079C7">
      <w:pPr>
        <w:pStyle w:val="BodyText1"/>
      </w:pPr>
    </w:p>
    <w:p w14:paraId="7F334611" w14:textId="5E538399" w:rsidR="00E7122D" w:rsidRPr="004C0EBD" w:rsidRDefault="00444DFF" w:rsidP="00094DE4">
      <w:pPr>
        <w:pStyle w:val="MH3"/>
      </w:pPr>
      <w:bookmarkStart w:id="113" w:name="_Toc180507838"/>
      <w:r>
        <w:t>1.2 Ηλεκτρολογικές παράμετροι</w:t>
      </w:r>
      <w:bookmarkEnd w:id="113"/>
    </w:p>
    <w:p w14:paraId="0E76CFDD" w14:textId="5681F8E5" w:rsidR="003C1054" w:rsidRPr="004C0EBD" w:rsidRDefault="003C1054" w:rsidP="001079C7">
      <w:pPr>
        <w:pStyle w:val="BodyText1"/>
      </w:pPr>
      <w:r>
        <w:t xml:space="preserve">Πραγματοποιήστε απογραφή με τον διαχειριστή της τοποθεσίας / του κτιρίου: </w:t>
      </w:r>
    </w:p>
    <w:p w14:paraId="52AB198E" w14:textId="7D194B9A" w:rsidR="007C4E71" w:rsidRPr="004C0EBD" w:rsidRDefault="007C4E71" w:rsidP="0075115D">
      <w:pPr>
        <w:pStyle w:val="BodyText1"/>
        <w:numPr>
          <w:ilvl w:val="0"/>
          <w:numId w:val="14"/>
        </w:numPr>
      </w:pPr>
      <w:r>
        <w:t>Υπάρχει ιδιοκατανάλωση; Υπάρχει σύνδεση με το δίκτυο στην τοποθεσία αυτή;</w:t>
      </w:r>
    </w:p>
    <w:p w14:paraId="26D1DF1B" w14:textId="5B0621F7" w:rsidR="00411443" w:rsidRPr="004C0EBD" w:rsidRDefault="00114C41" w:rsidP="0075115D">
      <w:pPr>
        <w:pStyle w:val="BodyText1"/>
        <w:numPr>
          <w:ilvl w:val="0"/>
          <w:numId w:val="14"/>
        </w:numPr>
      </w:pPr>
      <w:r>
        <w:t>Μέγεθος της σύνδεσης με το δίκτυο σ’ αυτήν την τοποθεσία (π.χ. 3 x 80 A)</w:t>
      </w:r>
    </w:p>
    <w:p w14:paraId="2F3D523B" w14:textId="441412C2" w:rsidR="00E7122D" w:rsidRPr="004C0EBD" w:rsidRDefault="003C1054" w:rsidP="0075115D">
      <w:pPr>
        <w:pStyle w:val="BodyText1"/>
        <w:numPr>
          <w:ilvl w:val="0"/>
          <w:numId w:val="14"/>
        </w:numPr>
      </w:pPr>
      <w:r>
        <w:t xml:space="preserve">Ιδιοκατανάλωση ηλεκτρικής ενέργειας επιτόπου </w:t>
      </w:r>
    </w:p>
    <w:p w14:paraId="3DEE601E" w14:textId="59CB8CD6" w:rsidR="00496B5F" w:rsidRPr="004C0EBD" w:rsidRDefault="007C4E71" w:rsidP="0075115D">
      <w:pPr>
        <w:pStyle w:val="BodyText1"/>
        <w:numPr>
          <w:ilvl w:val="0"/>
          <w:numId w:val="14"/>
        </w:numPr>
      </w:pPr>
      <w:r>
        <w:t>Αναμενόμενες μεταβολές στην κατανάλωση ηλεκτρικής ενέργειας</w:t>
      </w:r>
    </w:p>
    <w:p w14:paraId="774CA499" w14:textId="647800FF" w:rsidR="00BC1A03" w:rsidRPr="001079C7" w:rsidRDefault="00BC1A03" w:rsidP="0075115D">
      <w:pPr>
        <w:pStyle w:val="BodyText1"/>
        <w:numPr>
          <w:ilvl w:val="0"/>
          <w:numId w:val="14"/>
        </w:numPr>
      </w:pPr>
      <w:r>
        <w:t>Ενδεχομένως: ανάγκη για σημεία φόρτισης</w:t>
      </w:r>
    </w:p>
    <w:p w14:paraId="55F12E43" w14:textId="77777777" w:rsidR="001079C7" w:rsidRPr="004C0EBD" w:rsidRDefault="001079C7" w:rsidP="001079C7">
      <w:pPr>
        <w:pStyle w:val="BodyText1"/>
      </w:pPr>
    </w:p>
    <w:p w14:paraId="379FE481" w14:textId="418BDC35" w:rsidR="007C4E71" w:rsidRPr="004C0EBD" w:rsidRDefault="00444DFF" w:rsidP="00094DE4">
      <w:pPr>
        <w:pStyle w:val="MH3"/>
      </w:pPr>
      <w:bookmarkStart w:id="114" w:name="_Toc180507839"/>
      <w:r>
        <w:t>1.3 Φωτογραφίες και χάρτες</w:t>
      </w:r>
      <w:bookmarkEnd w:id="114"/>
    </w:p>
    <w:p w14:paraId="652FBA37" w14:textId="77777777" w:rsidR="001079C7" w:rsidRPr="00C42EE6" w:rsidRDefault="003C1054" w:rsidP="001079C7">
      <w:pPr>
        <w:pStyle w:val="BodyText1"/>
      </w:pPr>
      <w:r>
        <w:t xml:space="preserve">Προετοιμάστε ψηφιακό αρχείο που να περιέχει χάρτες της τοποθεσίας, δορυφορικές εικόνες και εικόνες κοντινής λήψης, συμπεριλαμβανομένων </w:t>
      </w:r>
    </w:p>
    <w:p w14:paraId="513C6494" w14:textId="066ED6B6" w:rsidR="00114C41" w:rsidRPr="004C0EBD" w:rsidRDefault="003C1054" w:rsidP="001079C7">
      <w:pPr>
        <w:pStyle w:val="BodyText1"/>
      </w:pPr>
      <w:r>
        <w:t xml:space="preserve">τυχόν εμποδίων. </w:t>
      </w:r>
    </w:p>
    <w:p w14:paraId="54052296" w14:textId="77777777" w:rsidR="00444DFF" w:rsidRPr="004C0EBD" w:rsidRDefault="00444DFF" w:rsidP="00A3595E"/>
    <w:p w14:paraId="1C7C8400" w14:textId="1B33421D" w:rsidR="00411443" w:rsidRPr="004C0EBD" w:rsidRDefault="00444DFF" w:rsidP="00094DE4">
      <w:pPr>
        <w:pStyle w:val="MH3"/>
      </w:pPr>
      <w:bookmarkStart w:id="115" w:name="_Toc180507840"/>
      <w:r>
        <w:t>1.4 Σχεδιασμός</w:t>
      </w:r>
      <w:bookmarkEnd w:id="115"/>
      <w:r>
        <w:t xml:space="preserve"> </w:t>
      </w:r>
    </w:p>
    <w:p w14:paraId="4F82EC2B" w14:textId="7ADC4DEC" w:rsidR="003C1054" w:rsidRPr="004C0EBD" w:rsidRDefault="003C1054" w:rsidP="00A70E7F">
      <w:pPr>
        <w:pStyle w:val="BodyText1"/>
      </w:pPr>
      <w:r>
        <w:t xml:space="preserve">Πραγματοποιήστε απογραφή με τον διαχειριστή της τοποθεσίας / του κτιρίου: </w:t>
      </w:r>
    </w:p>
    <w:p w14:paraId="407FE870" w14:textId="0BB90B32" w:rsidR="00411443" w:rsidRPr="004C0EBD" w:rsidRDefault="003C1054" w:rsidP="0075115D">
      <w:pPr>
        <w:pStyle w:val="BodyText1"/>
        <w:numPr>
          <w:ilvl w:val="0"/>
          <w:numId w:val="15"/>
        </w:numPr>
      </w:pPr>
      <w:r>
        <w:t xml:space="preserve">Συντήρηση μεγάλης κλίμακας —για παράδειγμα αντικατάσταση της στέγης </w:t>
      </w:r>
    </w:p>
    <w:p w14:paraId="5A17C2AA" w14:textId="54EF4339" w:rsidR="007C4E71" w:rsidRPr="00A70E7F" w:rsidRDefault="00411443" w:rsidP="00D11E72">
      <w:pPr>
        <w:pStyle w:val="BodyText1"/>
        <w:numPr>
          <w:ilvl w:val="0"/>
          <w:numId w:val="15"/>
        </w:numPr>
        <w:ind w:left="0" w:firstLine="0"/>
      </w:pPr>
      <w:r>
        <w:t xml:space="preserve">Σχέδια που αφορούν τα τεμάχια γης / τις στέγες — προβλέπεται κάποια κατασκευή/ανάπτυξη στο μέλλον; </w:t>
      </w:r>
    </w:p>
    <w:p w14:paraId="0BBD0BB9" w14:textId="77777777" w:rsidR="00A70E7F" w:rsidRPr="004C0EBD" w:rsidRDefault="00A70E7F" w:rsidP="00A70E7F">
      <w:pPr>
        <w:pStyle w:val="BodyText1"/>
      </w:pPr>
    </w:p>
    <w:p w14:paraId="26C0B24E" w14:textId="201CBAB8" w:rsidR="003C1054" w:rsidRPr="004C0EBD" w:rsidRDefault="00444DFF" w:rsidP="00094DE4">
      <w:pPr>
        <w:pStyle w:val="MH3"/>
      </w:pPr>
      <w:bookmarkStart w:id="116" w:name="_Toc180507841"/>
      <w:r>
        <w:t>1.5 Φορτίο στέγης</w:t>
      </w:r>
      <w:bookmarkEnd w:id="116"/>
    </w:p>
    <w:p w14:paraId="6EBC3381" w14:textId="488B3521" w:rsidR="00444DFF" w:rsidRPr="004C0EBD" w:rsidRDefault="00444DFF" w:rsidP="00A70E7F">
      <w:pPr>
        <w:pStyle w:val="BodyText1"/>
      </w:pPr>
      <w:r>
        <w:t xml:space="preserve">Το επιτρεπόμενο φορτίο στέγης αποτελεί σημαντική παράμετρο για τα έργα φωτοβολταϊκών σε στέγες (Zon-op-Dak/Sun-on-Roof). Στις Κάτω Χώρες, περίπου οι μισές στέγες </w:t>
      </w:r>
      <w:r>
        <w:rPr>
          <w:i/>
        </w:rPr>
        <w:t>δεν</w:t>
      </w:r>
      <w:r>
        <w:t xml:space="preserve"> είναι κατάλληλες για τα τυποποιημένα φωτοβολταϊκά συστήματα, καθώς το έρμα που εμποδίζει τους ηλιακούς συλλέκτες να παρασυρθούν από τον άνεμο είναι υπερβολικά βαρύ. </w:t>
      </w:r>
      <w:r w:rsidR="00D347ED">
        <w:t xml:space="preserve"> </w:t>
      </w:r>
      <w:r w:rsidR="00D347ED">
        <w:cr/>
      </w:r>
      <w:r w:rsidR="00D347ED">
        <w:br/>
        <w:t>Υπάρχουν διάφορες λύσεις, εάν η στέγη είναι υπερβολικά ασταθής, όπως, μεταξύ άλλων, οι εξής:</w:t>
      </w:r>
    </w:p>
    <w:p w14:paraId="6C09C343" w14:textId="69AD8252" w:rsidR="00444DFF" w:rsidRPr="004C0EBD" w:rsidRDefault="00377C7A" w:rsidP="0075115D">
      <w:pPr>
        <w:pStyle w:val="BodyText1"/>
        <w:numPr>
          <w:ilvl w:val="0"/>
          <w:numId w:val="16"/>
        </w:numPr>
      </w:pPr>
      <w:r>
        <w:lastRenderedPageBreak/>
        <w:t>φωτοβολταϊκό σύστημα που δεν χρησιμοποιεί έρμα, αλλά αγκιστρώνεται στην οροφή</w:t>
      </w:r>
    </w:p>
    <w:p w14:paraId="5FD78EB2" w14:textId="41AD75BC" w:rsidR="00444DFF" w:rsidRPr="004C0EBD" w:rsidRDefault="00D347ED" w:rsidP="0075115D">
      <w:pPr>
        <w:pStyle w:val="BodyText1"/>
        <w:numPr>
          <w:ilvl w:val="0"/>
          <w:numId w:val="16"/>
        </w:numPr>
      </w:pPr>
      <w:r>
        <w:t xml:space="preserve">εύκαμπτοι ηλιακοί συλλέκτες που κολλώνται στη στέγη </w:t>
      </w:r>
    </w:p>
    <w:p w14:paraId="72237B61" w14:textId="398B99EF" w:rsidR="00BC1A03" w:rsidRPr="004C0EBD" w:rsidRDefault="00D347ED" w:rsidP="0075115D">
      <w:pPr>
        <w:pStyle w:val="BodyText1"/>
        <w:numPr>
          <w:ilvl w:val="0"/>
          <w:numId w:val="16"/>
        </w:numPr>
      </w:pPr>
      <w:r>
        <w:t>ειδικοί ελαφριοί ηλιακοί συλλέκτες (π.χ. Solarge) ή ειδικά συστήματα στερέωσης</w:t>
      </w:r>
    </w:p>
    <w:p w14:paraId="6FF6B0D8" w14:textId="10CF4FAB" w:rsidR="00D347ED" w:rsidRPr="004C0EBD" w:rsidRDefault="00D347ED" w:rsidP="0075115D">
      <w:pPr>
        <w:pStyle w:val="BodyText1"/>
        <w:numPr>
          <w:ilvl w:val="0"/>
          <w:numId w:val="16"/>
        </w:numPr>
      </w:pPr>
      <w:r>
        <w:t>ενίσχυση της κατασκευής της στέγης</w:t>
      </w:r>
    </w:p>
    <w:p w14:paraId="2E50202C" w14:textId="05AFEF77" w:rsidR="00D347ED" w:rsidRPr="004C0EBD" w:rsidRDefault="003C1054" w:rsidP="00A70E7F">
      <w:pPr>
        <w:pStyle w:val="BodyText1"/>
      </w:pPr>
      <w:r>
        <w:t>Ο ανάδοχος ή ο αρχιτέκτονας του κτιρίου ή της στέγης μπορεί να εξηγήσει ή να υπολογίσει το επιτρεπόμενο φορτίο στέγης· διαφορετικά, το εν λόγω φορτίο μπορεί να προσδιοριστεί από ανεξάρτητο σύμβουλο δομικής φυσικής ή από μηχανικό δομικών έργων.</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Συμβουλή 2</w:t>
      </w:r>
      <w:r>
        <w:rPr>
          <w:rFonts w:ascii="Arial" w:hAnsi="Arial"/>
          <w:b/>
          <w:color w:val="104D54"/>
        </w:rPr>
        <w:t xml:space="preserve">: Δείτε στο </w:t>
      </w:r>
      <w:r>
        <w:rPr>
          <w:rFonts w:ascii="Arial" w:hAnsi="Arial"/>
          <w:b/>
          <w:color w:val="104D54"/>
          <w:u w:val="single"/>
        </w:rPr>
        <w:t>παράρτημα 2</w:t>
      </w:r>
      <w:r>
        <w:rPr>
          <w:rFonts w:ascii="Arial" w:hAnsi="Arial"/>
          <w:b/>
          <w:color w:val="104D54"/>
        </w:rPr>
        <w:t xml:space="preserve"> κατάλογο ανεξάρτητων εμπειρογνωμόνων που μπορούν να σας βοηθήσουν σχετικά.</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7C0E44" w:rsidRDefault="00151032" w:rsidP="007C0E44">
      <w:pPr>
        <w:pStyle w:val="Heading2"/>
        <w:rPr>
          <w:rFonts w:ascii="Arial" w:hAnsi="Arial" w:cs="Arial"/>
          <w:color w:val="104D54"/>
        </w:rPr>
      </w:pPr>
      <w:bookmarkStart w:id="117" w:name="_Toc176868913"/>
      <w:r w:rsidRPr="007C0E44">
        <w:rPr>
          <w:rFonts w:ascii="Arial" w:hAnsi="Arial" w:cs="Arial"/>
          <w:color w:val="104D54"/>
        </w:rPr>
        <w:t>Βήμα 2. Ενδεικτική τεχνική μελέτη</w:t>
      </w:r>
      <w:bookmarkEnd w:id="117"/>
    </w:p>
    <w:p w14:paraId="08ADCCFC" w14:textId="77777777" w:rsidR="00EF504B" w:rsidRPr="004C0EBD" w:rsidRDefault="00EF504B" w:rsidP="00A3595E"/>
    <w:p w14:paraId="746B00D5" w14:textId="77777777" w:rsidR="00A70E7F" w:rsidRPr="00C42EE6" w:rsidRDefault="00151032" w:rsidP="00A70E7F">
      <w:pPr>
        <w:pStyle w:val="BodyText1"/>
      </w:pPr>
      <w:r>
        <w:t>Εάν ο οργανισμός σας διαθέτει μεγάλη πείρα σε έργα φωτοβολταϊκών και κατάλληλο λογισμικό, μπορείτε να την εκπονήσετε μόνοι σας· ειδάλλως θα πρέπει να καλέσετε τεχνικό σύμβουλο.</w:t>
      </w:r>
    </w:p>
    <w:p w14:paraId="43DBAA02" w14:textId="480BF3D3" w:rsidR="004C453E" w:rsidRPr="00C36793" w:rsidRDefault="004C453E" w:rsidP="00A70E7F">
      <w:pPr>
        <w:pStyle w:val="BodyText1"/>
      </w:pPr>
    </w:p>
    <w:p w14:paraId="31ED8F63" w14:textId="7202D20A" w:rsidR="004C453E" w:rsidRPr="004C0EBD" w:rsidRDefault="00151032" w:rsidP="00A70E7F">
      <w:pPr>
        <w:pStyle w:val="BodyText1"/>
      </w:pPr>
      <w:r>
        <w:t xml:space="preserve">Σ’ αυτό το σημείο καθορίζετε τις ενδεικτικές προδιαγραφές της φωτοβολταϊκής εγκατάστασης· αυτό είναι σημαντικό για να διασφαλιστεί μεγαλύτερη σαφήνεια όσον αφορά το έργο, η οποία, με τη σειρά της, δίνει στα συμβαλλόμενα μέρη τη δυνατότητα να υποβάλουν ακριβέστερη προσφορά σε μικρότερο χρονικό διάστημα.  </w:t>
      </w:r>
    </w:p>
    <w:p w14:paraId="46EE7F19" w14:textId="77777777" w:rsidR="004C453E" w:rsidRPr="004C0EBD" w:rsidRDefault="004C453E" w:rsidP="00A3595E"/>
    <w:p w14:paraId="189EACD7" w14:textId="3FAE0B9D" w:rsidR="004C453E" w:rsidRPr="00C42EE6" w:rsidRDefault="00444DFF" w:rsidP="00094DE4">
      <w:pPr>
        <w:pStyle w:val="MH3"/>
      </w:pPr>
      <w:bookmarkStart w:id="118" w:name="_Toc180507842"/>
      <w:r>
        <w:t>2.1 Καθορισμός του μέγιστου αριθμού ηλιακών συλλεκτών και της μέγιστης παραγωγής ενέργειας</w:t>
      </w:r>
      <w:bookmarkEnd w:id="118"/>
      <w:r>
        <w:t xml:space="preserve"> </w:t>
      </w:r>
    </w:p>
    <w:p w14:paraId="17543A43" w14:textId="6E42AB6E" w:rsidR="00DC2765" w:rsidRPr="004C0EBD" w:rsidRDefault="00DC2765" w:rsidP="0075115D">
      <w:pPr>
        <w:pStyle w:val="BodyText1"/>
        <w:numPr>
          <w:ilvl w:val="0"/>
          <w:numId w:val="18"/>
        </w:numPr>
      </w:pPr>
      <w:r>
        <w:t xml:space="preserve">Προσδιορίστε τον προσανατολισμό, ανατολικό-δυτικό, νότιο ή άλλο προσανατολισμό, των ηλιακών συλλεκτών </w:t>
      </w:r>
    </w:p>
    <w:p w14:paraId="7E349BD3" w14:textId="51DF5FBE" w:rsidR="00FC7CC6" w:rsidRPr="004C0EBD" w:rsidRDefault="00BC3C5E" w:rsidP="0075115D">
      <w:pPr>
        <w:pStyle w:val="BodyText1"/>
        <w:numPr>
          <w:ilvl w:val="0"/>
          <w:numId w:val="17"/>
        </w:numPr>
      </w:pPr>
      <w:r>
        <w:t>Ενδεικτική πρόβλεψη ηλιακών συλλεκτών ανά τοποθεσία</w:t>
      </w:r>
    </w:p>
    <w:p w14:paraId="5F53603B" w14:textId="0E9D80BC" w:rsidR="00A613D4" w:rsidRPr="004C0EBD" w:rsidRDefault="00FC7CC6" w:rsidP="0075115D">
      <w:pPr>
        <w:pStyle w:val="BodyText1"/>
        <w:numPr>
          <w:ilvl w:val="0"/>
          <w:numId w:val="17"/>
        </w:numPr>
      </w:pPr>
      <w:r>
        <w:t xml:space="preserve">Προσδιορίστε τον μέγιστο αριθμό συλλεκτών  </w:t>
      </w:r>
    </w:p>
    <w:p w14:paraId="49135BFD" w14:textId="177FC8D9" w:rsidR="00FC7CC6" w:rsidRPr="004C0EBD" w:rsidRDefault="00FC7CC6" w:rsidP="0075115D">
      <w:pPr>
        <w:pStyle w:val="BodyText1"/>
        <w:numPr>
          <w:ilvl w:val="0"/>
          <w:numId w:val="17"/>
        </w:numPr>
      </w:pPr>
      <w:r>
        <w:t xml:space="preserve">Προσδιορίστε τη μέγιστη ισχύ ανά τοποθεσία </w:t>
      </w:r>
    </w:p>
    <w:p w14:paraId="6FAE0A43" w14:textId="6E47CF5D" w:rsidR="00FC7CC6" w:rsidRPr="004C0EBD" w:rsidRDefault="00FC7CC6" w:rsidP="0075115D">
      <w:pPr>
        <w:pStyle w:val="BodyText1"/>
        <w:numPr>
          <w:ilvl w:val="0"/>
          <w:numId w:val="17"/>
        </w:numPr>
      </w:pPr>
      <w:r>
        <w:t xml:space="preserve">Προσδιορίστε τη μέγιστη ετήσια παραγωγή ηλεκτρικής ενέργειας </w:t>
      </w:r>
    </w:p>
    <w:p w14:paraId="7B06B5CA" w14:textId="16B76D1E" w:rsidR="00DC2765" w:rsidRPr="00A70E7F" w:rsidRDefault="00DC2765" w:rsidP="00150A97">
      <w:pPr>
        <w:pStyle w:val="BodyText1"/>
        <w:numPr>
          <w:ilvl w:val="0"/>
          <w:numId w:val="17"/>
        </w:numPr>
        <w:ind w:left="0" w:firstLine="0"/>
      </w:pPr>
      <w:r>
        <w:t>Ελέγξτε αν η μέγιστη παραγωγή ηλεκτρικής ενέργειας είναι προσαρμοσμένη στην υπάρχουσα σύνδεση</w:t>
      </w:r>
    </w:p>
    <w:p w14:paraId="057FE66C" w14:textId="77777777" w:rsidR="00A70E7F" w:rsidRPr="004C0EBD" w:rsidRDefault="00A70E7F" w:rsidP="00A70E7F">
      <w:pPr>
        <w:pStyle w:val="BodyText1"/>
      </w:pPr>
    </w:p>
    <w:p w14:paraId="3604A7E9" w14:textId="7246DAD6" w:rsidR="00A613D4" w:rsidRPr="004C0EBD" w:rsidRDefault="00444DFF" w:rsidP="00094DE4">
      <w:pPr>
        <w:pStyle w:val="MH3"/>
      </w:pPr>
      <w:bookmarkStart w:id="119" w:name="_Toc180507843"/>
      <w:r>
        <w:t>2.2 Προσδιορίστε τις γενικές γραμμές της επιχειρηματικής πρότασης</w:t>
      </w:r>
      <w:bookmarkEnd w:id="119"/>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Ενδεικτική επένδυση για την εγκατάσταση του φωτοβολταϊκού συστήματος: ανά Wp και συνολικό ποσό σε χιλιάδες ευρώ.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Σύνδεση με το δίκτυο: προσαρμογή ή όχι;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Σε περίπτωση προσαρμογής: ενδεικτικό χρονοδιάγραμμα από τον διαχειριστή του δικτύου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Απόδοση: Καθεστώς SDE++ ή άλλη επιδότηση; </w:t>
      </w:r>
    </w:p>
    <w:p w14:paraId="618E254A" w14:textId="1F82093C" w:rsidR="00DC2765" w:rsidRPr="00A70E7F" w:rsidRDefault="00DC2765" w:rsidP="0075115D">
      <w:pPr>
        <w:pStyle w:val="ListParagraph"/>
        <w:numPr>
          <w:ilvl w:val="1"/>
          <w:numId w:val="19"/>
        </w:numPr>
        <w:rPr>
          <w:rFonts w:ascii="Arial" w:hAnsi="Arial" w:cs="Arial"/>
        </w:rPr>
      </w:pPr>
      <w:r>
        <w:rPr>
          <w:rFonts w:ascii="Arial" w:hAnsi="Arial"/>
        </w:rPr>
        <w:t xml:space="preserve">Στην περίπτωση καθεστώτος SDE++: ελέγξτε πόση δυναμικότητα εναλλασσόμενου ρεύματος (ΕΡ) μπορείτε να συνδέσετε·  </w:t>
      </w:r>
      <w:r>
        <w:rPr>
          <w:rFonts w:ascii="Arial" w:hAnsi="Arial"/>
        </w:rPr>
        <w:cr/>
      </w:r>
      <w:r>
        <w:rPr>
          <w:rFonts w:ascii="Arial" w:hAnsi="Arial"/>
        </w:rPr>
        <w:lastRenderedPageBreak/>
        <w:t xml:space="preserve">αυτή είναι συνήθως 50 % κατά μέγιστο, ενίοτε 70 %, της δυναμικότητας συνεχούς ρεύματος (ΣΡ)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Απόδοση: Προβλέψτε τη μείωση της ποσότητας ηλεκτρικής ενέργειας προς αγορά και την εξοικονόμηση κόστους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Απόδοση: Πρόβλεψη εσόδων από την πώληση ηλιακής ενέργειας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Ενδεχομένως: Τρόπος αντιμετώπισης αρνητικών τιμών — σύστημα ενεργειακής διαχείρισης; </w:t>
      </w:r>
    </w:p>
    <w:p w14:paraId="2D83F8BB" w14:textId="77777777" w:rsidR="005C5B6D" w:rsidRDefault="005C5B6D" w:rsidP="00094DE4">
      <w:pPr>
        <w:pStyle w:val="MH3"/>
      </w:pPr>
    </w:p>
    <w:p w14:paraId="60BF0DC9" w14:textId="4E8E3E31" w:rsidR="00A430E2" w:rsidRPr="004C0EBD" w:rsidRDefault="00444DFF" w:rsidP="00094DE4">
      <w:pPr>
        <w:pStyle w:val="MH3"/>
      </w:pPr>
      <w:bookmarkStart w:id="120" w:name="_Toc180507844"/>
      <w:r>
        <w:t>2.3 Προσδιορισμός ενδεικτικής παραγωγής ηλεκτρικής ενέργειας, κόστους έργου και αριθμού ηλιακών συλλεκτών</w:t>
      </w:r>
      <w:bookmarkEnd w:id="120"/>
      <w:r>
        <w:t xml:space="preserve"> </w:t>
      </w:r>
    </w:p>
    <w:p w14:paraId="61AB905F" w14:textId="419CBC21" w:rsidR="006A4807" w:rsidRPr="004C0EBD" w:rsidRDefault="006A4807" w:rsidP="00FF7CCF">
      <w:pPr>
        <w:pStyle w:val="BodyText1"/>
      </w:pPr>
      <w:r>
        <w:t xml:space="preserve">Συχνά, θα χρειαστούν διάφορες προσεγγίσεις προτού να καθοριστούν οι ενδεικτικές προδιαγραφές, εν μέρει διότι αυτές εξαρτώνται από διάφορους στόχους και περιορισμούς. Οι ενδεικτικές προδιαγραφές είναι οι εξής: </w:t>
      </w:r>
    </w:p>
    <w:p w14:paraId="1D5721C3" w14:textId="5E89B471" w:rsidR="006A4807" w:rsidRPr="004C0EBD" w:rsidRDefault="006A4807" w:rsidP="0075115D">
      <w:pPr>
        <w:pStyle w:val="BodyText1"/>
        <w:numPr>
          <w:ilvl w:val="0"/>
          <w:numId w:val="21"/>
        </w:numPr>
      </w:pPr>
      <w:r>
        <w:t xml:space="preserve">η συνολική δυναμικότητα των ηλιακών συλλεκτών (δυναμικότητα ΣΡ) </w:t>
      </w:r>
    </w:p>
    <w:p w14:paraId="4D0A6C41" w14:textId="63DC4491" w:rsidR="006A4807" w:rsidRPr="004C0EBD" w:rsidRDefault="006A4807" w:rsidP="0075115D">
      <w:pPr>
        <w:pStyle w:val="BodyText1"/>
        <w:numPr>
          <w:ilvl w:val="0"/>
          <w:numId w:val="21"/>
        </w:numPr>
      </w:pPr>
      <w:r>
        <w:t xml:space="preserve">η δυναμικότητα ΕΡ των μετατροπέων </w:t>
      </w:r>
    </w:p>
    <w:p w14:paraId="1F6D6089" w14:textId="143F4FA3" w:rsidR="006A4807" w:rsidRPr="004C0EBD" w:rsidRDefault="006A4807" w:rsidP="0075115D">
      <w:pPr>
        <w:pStyle w:val="BodyText1"/>
        <w:numPr>
          <w:ilvl w:val="0"/>
          <w:numId w:val="21"/>
        </w:numPr>
      </w:pPr>
      <w:r>
        <w:t xml:space="preserve">η ετήσια παραγωγή ηλεκτρικής ενέργειας </w:t>
      </w:r>
    </w:p>
    <w:p w14:paraId="59A0CAC4" w14:textId="0718C367" w:rsidR="00950CF7" w:rsidRPr="004C0EBD" w:rsidRDefault="006A4807" w:rsidP="0075115D">
      <w:pPr>
        <w:pStyle w:val="BodyText1"/>
        <w:numPr>
          <w:ilvl w:val="0"/>
          <w:numId w:val="21"/>
        </w:numPr>
      </w:pPr>
      <w:r>
        <w:t>το ενδεικτικό κόστος του έργου (δυναμικότητα ΣΡ σε Wp x 1 EUR ανά Watt)</w:t>
      </w:r>
    </w:p>
    <w:p w14:paraId="10CFC559" w14:textId="77777777" w:rsidR="00FF7CCF" w:rsidRDefault="00FF7CCF" w:rsidP="00E24CEC"/>
    <w:p w14:paraId="075D5CEF" w14:textId="710D464A" w:rsidR="00A613D4" w:rsidRPr="004C0EBD" w:rsidRDefault="00444DFF" w:rsidP="00094DE4">
      <w:pPr>
        <w:pStyle w:val="MH3"/>
      </w:pPr>
      <w:bookmarkStart w:id="121" w:name="_Toc180507845"/>
      <w:r>
        <w:t>2.4 Προαιρετικά στοιχεία</w:t>
      </w:r>
      <w:bookmarkEnd w:id="121"/>
    </w:p>
    <w:p w14:paraId="46F06188" w14:textId="557DB0C6" w:rsidR="00FC7CC6" w:rsidRPr="004C0EBD" w:rsidRDefault="00A430E2" w:rsidP="0075115D">
      <w:pPr>
        <w:pStyle w:val="BodyText1"/>
        <w:numPr>
          <w:ilvl w:val="0"/>
          <w:numId w:val="20"/>
        </w:numPr>
      </w:pPr>
      <w:r>
        <w:t xml:space="preserve">Σταδιακή υλοποίηση των τοποθεσιών </w:t>
      </w:r>
    </w:p>
    <w:p w14:paraId="61BF59F1" w14:textId="51F37E63" w:rsidR="00BC3C5E" w:rsidRPr="004C0EBD" w:rsidRDefault="00BC3C5E" w:rsidP="0075115D">
      <w:pPr>
        <w:pStyle w:val="BodyText1"/>
        <w:numPr>
          <w:ilvl w:val="0"/>
          <w:numId w:val="20"/>
        </w:numPr>
      </w:pPr>
      <w:r>
        <w:t xml:space="preserve">Ενδεχομένως: επιλογή ηλιακών συλλεκτών μονής/διπλής όψης </w:t>
      </w:r>
    </w:p>
    <w:p w14:paraId="3A9DF611" w14:textId="56AE3FC5" w:rsidR="00B33249" w:rsidRPr="004C0EBD" w:rsidRDefault="00BC3C5E" w:rsidP="0075115D">
      <w:pPr>
        <w:pStyle w:val="BodyText1"/>
        <w:numPr>
          <w:ilvl w:val="0"/>
          <w:numId w:val="20"/>
        </w:numPr>
      </w:pPr>
      <w:r>
        <w:t>Ενδεχομένως: για φωτοβολταϊκά στο έδαφος / φωτοβολταϊκά στο νερό: σύστημα παρακολούθησης του ήλιου;</w:t>
      </w:r>
    </w:p>
    <w:p w14:paraId="2C56632E" w14:textId="77777777" w:rsidR="00FF7CCF" w:rsidRDefault="00FF7CCF" w:rsidP="00FF7CCF"/>
    <w:p w14:paraId="53ABF10C" w14:textId="77777777" w:rsidR="00FF7CCF" w:rsidRDefault="00FF7CCF" w:rsidP="00FF7CCF"/>
    <w:p w14:paraId="7DBDB130" w14:textId="77777777" w:rsidR="00FF7CCF" w:rsidRDefault="00FF7CCF" w:rsidP="00094DE4">
      <w:pPr>
        <w:pStyle w:val="MH2"/>
      </w:pPr>
    </w:p>
    <w:p w14:paraId="44C8B20D" w14:textId="77777777" w:rsidR="00FF7CCF" w:rsidRDefault="00FF7CCF" w:rsidP="00094DE4">
      <w:pPr>
        <w:pStyle w:val="MH2"/>
      </w:pPr>
    </w:p>
    <w:p w14:paraId="5FE7E779" w14:textId="1F614894" w:rsidR="00151032" w:rsidRPr="007C0E44" w:rsidRDefault="00151032" w:rsidP="007C0E44">
      <w:pPr>
        <w:pStyle w:val="Heading2"/>
        <w:rPr>
          <w:rFonts w:ascii="Arial" w:hAnsi="Arial" w:cs="Arial"/>
          <w:color w:val="104D54"/>
        </w:rPr>
      </w:pPr>
      <w:bookmarkStart w:id="122" w:name="_Toc176868914"/>
      <w:r w:rsidRPr="007C0E44">
        <w:rPr>
          <w:rFonts w:ascii="Arial" w:hAnsi="Arial" w:cs="Arial"/>
          <w:color w:val="104D54"/>
        </w:rPr>
        <w:t>Βήμα 3 Κυριότητα και έκδοση πρόσκλησης υποβολής προσφορών / σύναψη δημόσιων συμβάσεων</w:t>
      </w:r>
      <w:bookmarkEnd w:id="122"/>
      <w:r w:rsidRPr="007C0E44">
        <w:rPr>
          <w:rFonts w:ascii="Arial" w:hAnsi="Arial" w:cs="Arial"/>
          <w:color w:val="104D54"/>
        </w:rP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Κατά τα δύο προηγούμενα στάδια καθορίζονται, κατά κανόνα, το μέγεθος του έργου και η διάρθρωσή του. Τώρα είναι σημαντικό να εξετάσετε αν επιθυμείτε να είστε ο ίδιος ιδιοκτήτης της φωτοβολταϊκής εγκατάστασης ή αν θα εκμισθώσετε την επιφάνεια της στέγης ή το τεμάχιο γης βάσει σύμβασης παραχώρησης. Στη συνέχεια, το ερώτημα είναι πώς θα επιλέξετε προμηθευτή ή συμβαλλόμενο μέρος.  </w:t>
      </w:r>
    </w:p>
    <w:p w14:paraId="68B0E7A7" w14:textId="77777777" w:rsidR="00FC1525" w:rsidRPr="004C0EBD" w:rsidRDefault="00FC1525" w:rsidP="00A3595E"/>
    <w:p w14:paraId="5AFF0A5E" w14:textId="573FB55B" w:rsidR="00502061" w:rsidRPr="004C0EBD" w:rsidRDefault="00444DFF" w:rsidP="00094DE4">
      <w:pPr>
        <w:pStyle w:val="MH3"/>
      </w:pPr>
      <w:bookmarkStart w:id="123" w:name="_Toc180507846"/>
      <w:r>
        <w:t>3.1 Ιδιοκτήτης ή μισθωτής;</w:t>
      </w:r>
      <w:bookmarkEnd w:id="123"/>
    </w:p>
    <w:p w14:paraId="08A261E9" w14:textId="5C0D08E1" w:rsidR="009A0DA0" w:rsidRPr="004C0EBD" w:rsidRDefault="00FC1525" w:rsidP="00FF7CCF">
      <w:pPr>
        <w:pStyle w:val="BodyText1"/>
      </w:pPr>
      <w:r>
        <w:t xml:space="preserve">Σε περίπτωση εκμίσθωσης, θα εισπράττετε ορισμένη τιμή ανά τετραγωνικό μέτρο ετησίως. Πλεονέκτημα: εξοικονομείτε πολύ χρόνο.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lastRenderedPageBreak/>
        <w:t xml:space="preserve">Πιθανά μειονεκτήματα είναι ότι δεν απολαμβάνετε τόσο τα οικονομικά οφέλη μιας φωτοβολταϊκής εγκατάστασης, ότι έχετε ελάχιστο δικαίωμα λόγου για την εγκατάσταση και καμία ευελιξία. Επομένως, αν αργότερα θέλετε να κάνετε κάτι άλλο με τη στέγη ή το τεμάχιο γης, μπορεί να σας δεσμεύει η σύμβαση που έχετε συνάψει με τον ενοικιαστή/μισθωτή. </w:t>
      </w:r>
    </w:p>
    <w:p w14:paraId="7B394F21" w14:textId="77777777" w:rsidR="009A0DA0" w:rsidRPr="004C0EBD" w:rsidRDefault="009A0DA0" w:rsidP="00A3595E"/>
    <w:p w14:paraId="4FFBBA84" w14:textId="3AD18753" w:rsidR="00151032" w:rsidRPr="004C0EBD" w:rsidRDefault="00444DFF" w:rsidP="00094DE4">
      <w:pPr>
        <w:pStyle w:val="MH3"/>
      </w:pPr>
      <w:bookmarkStart w:id="124" w:name="_Toc180507847"/>
      <w:r>
        <w:t>3.2 Για δημόσιους οργανισμούς: διαδικασία σύναψης δημόσιας σύμβασης ή απευθείας ανάθεση;</w:t>
      </w:r>
      <w:bookmarkEnd w:id="124"/>
    </w:p>
    <w:p w14:paraId="04BE1967" w14:textId="3ADC95DE" w:rsidR="004C4869" w:rsidRPr="004C0EBD" w:rsidRDefault="00770820" w:rsidP="00A3595E">
      <w:r>
        <w:t xml:space="preserve"> Αυτό το σημείο δεν αφορά εταιρείες ή άλλους ιδιωτικούς οργανισμούς. Οι ιδιωτικοί οργανισμοί μπορούν απλώς να ζητήσουν προσφορές από ορισμένα δυνητικά συμβαλλόμενα μέρη.  </w:t>
      </w:r>
      <w:r>
        <w:cr/>
      </w:r>
    </w:p>
    <w:p w14:paraId="3D90C556" w14:textId="3B6E4A5A" w:rsidR="009A0DA0" w:rsidRPr="005C5B6D" w:rsidRDefault="00150A97"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5BDEA1D9">
                <wp:simplePos x="0" y="0"/>
                <wp:positionH relativeFrom="column">
                  <wp:posOffset>-9525</wp:posOffset>
                </wp:positionH>
                <wp:positionV relativeFrom="paragraph">
                  <wp:posOffset>-4445</wp:posOffset>
                </wp:positionV>
                <wp:extent cx="300990" cy="362585"/>
                <wp:effectExtent l="0" t="0" r="3810" b="0"/>
                <wp:wrapThrough wrapText="bothSides">
                  <wp:wrapPolygon edited="0">
                    <wp:start x="0" y="0"/>
                    <wp:lineTo x="0" y="20427"/>
                    <wp:lineTo x="20506" y="20427"/>
                    <wp:lineTo x="20506"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36258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75pt;margin-top:-.35pt;width:23.7pt;height:28.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sidR="005C5B6D">
        <w:rPr>
          <w:rFonts w:ascii="Arial" w:hAnsi="Arial"/>
        </w:rPr>
        <w:t xml:space="preserve">Σε κάθε περίπτωση, πρόγραμμα απαιτήσεων είναι επίσης απαραίτητο στην περίπτωση που ζητούνται τυποποιημένες προσφορές. Το </w:t>
      </w:r>
      <w:r w:rsidR="005C5B6D">
        <w:rPr>
          <w:rFonts w:ascii="Arial" w:hAnsi="Arial"/>
          <w:b/>
          <w:color w:val="FFFFFF" w:themeColor="background1"/>
          <w:highlight w:val="darkCyan"/>
        </w:rPr>
        <w:t>«Υπόδειγμα απαιτήσεων αγοράς»</w:t>
      </w:r>
      <w:r w:rsidR="005C5B6D">
        <w:rPr>
          <w:rFonts w:ascii="Arial" w:hAnsi="Arial"/>
        </w:rPr>
        <w:t xml:space="preserve"> είναι επίσης απολύτως κατάλληλο για τον συγκεκριμένο σκοπό. </w:t>
      </w:r>
    </w:p>
    <w:p w14:paraId="4F157CB7" w14:textId="77777777" w:rsidR="009E09C2" w:rsidRPr="004C0EBD" w:rsidRDefault="009E09C2" w:rsidP="00A3595E"/>
    <w:p w14:paraId="019FF291" w14:textId="0356618C" w:rsidR="00624300" w:rsidRPr="004C0EBD" w:rsidRDefault="009E09C2" w:rsidP="00FF7CCF">
      <w:pPr>
        <w:pStyle w:val="BodyText1"/>
        <w:rPr>
          <w:color w:val="343434"/>
        </w:rPr>
      </w:pPr>
      <w:r>
        <w:t xml:space="preserve">Ο νόμος για τις δημόσιες συμβάσεις του 2012 </w:t>
      </w:r>
      <w:r>
        <w:rPr>
          <w:color w:val="3DC3C6"/>
        </w:rPr>
        <w:t>(</w:t>
      </w:r>
      <w:hyperlink r:id="rId15" w:tooltip="Εξωτερικός σύνδεσμος: Νόμος για τις δημόσιες συμβάσεις (στα ολλανδικά) στον ιστότοπο overheid.nl" w:history="1">
        <w:r>
          <w:rPr>
            <w:color w:val="3DC3C6"/>
            <w:u w:val="single"/>
          </w:rPr>
          <w:t>Aanbestedingswet 2012</w:t>
        </w:r>
      </w:hyperlink>
      <w:r>
        <w:rPr>
          <w:color w:val="3DC3C6"/>
        </w:rPr>
        <w:t xml:space="preserve">) </w:t>
      </w:r>
      <w:r>
        <w:t>εφαρμόζεται στις δημόσιες συμβάσεις που συνάπτουν (ημι-)δημόσιοι οργανισμοί στις Κάτω Χώρες.</w:t>
      </w:r>
      <w:r>
        <w:rPr>
          <w:color w:val="343434"/>
        </w:rPr>
        <w:t xml:space="preserve"> Όσο μεγαλύτερο είναι το έργο, τόσο λιγότερες επιλογές πιθανών διαδικασιών υπάρχουν. Ορισμένες διαδικασίες (όπως η απευθείας ανάθεση) δεν επιτρέπονται πάνω από ένα ορισμένο όριο.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Τα όρια εξαρτώνται από τον τύπο του έργου: «εκτέλεση έργου» ή «προμήθεια/παροχή υπηρεσιών».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Ο τύπος εξαρτάται από το επίκεντρο του έργου: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Προμήθεια </w:t>
      </w:r>
    </w:p>
    <w:p w14:paraId="3FF0867A" w14:textId="1DB2602C" w:rsidR="00624300" w:rsidRPr="004C0EBD" w:rsidRDefault="00624300" w:rsidP="0075115D">
      <w:pPr>
        <w:pStyle w:val="BodyText1"/>
        <w:numPr>
          <w:ilvl w:val="0"/>
          <w:numId w:val="22"/>
        </w:numPr>
        <w:ind w:left="1418" w:hanging="425"/>
        <w:rPr>
          <w:i/>
          <w:iCs/>
        </w:rPr>
      </w:pPr>
      <w:r>
        <w:t xml:space="preserve">Μόνο προμήθεια ηλιακών συλλεκτών  </w:t>
      </w:r>
    </w:p>
    <w:p w14:paraId="22703909" w14:textId="62056830" w:rsidR="00624300" w:rsidRPr="004C0EBD" w:rsidRDefault="00624300" w:rsidP="0075115D">
      <w:pPr>
        <w:pStyle w:val="BodyText1"/>
        <w:numPr>
          <w:ilvl w:val="0"/>
          <w:numId w:val="22"/>
        </w:numPr>
        <w:ind w:left="1418" w:hanging="425"/>
        <w:rPr>
          <w:i/>
          <w:iCs/>
        </w:rPr>
      </w:pPr>
      <w:r>
        <w:t>Μόνο εγκατάσταση του ηλεκτρικού συστήματος και των κατασκευαστικών στοιχείων στην πλευρά ΣΡ</w:t>
      </w:r>
    </w:p>
    <w:p w14:paraId="064AD047" w14:textId="5301B210" w:rsidR="00624300" w:rsidRPr="004C0EBD" w:rsidRDefault="00624300" w:rsidP="0075115D">
      <w:pPr>
        <w:pStyle w:val="BodyText1"/>
        <w:numPr>
          <w:ilvl w:val="0"/>
          <w:numId w:val="22"/>
        </w:numPr>
        <w:ind w:left="1418" w:hanging="425"/>
        <w:rPr>
          <w:i/>
          <w:iCs/>
        </w:rPr>
      </w:pPr>
      <w:r>
        <w:t xml:space="preserve">Μόνο εγκατάσταση του ηλεκτρικού συστήματος και των κατασκευαστικών στοιχείων στην πλευρά ΕΡ </w:t>
      </w:r>
      <w:r>
        <w:c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Εκτέλεση έργου</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Το συμβαλλόμενο μέρος είναι πλήρως υπεύθυνο για την υλοποίηση του έργου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Συνδυασμός μελέτης, προμήθειας και εκτέλεσης έργου -&gt; εκτέλεση έργου</w:t>
      </w:r>
    </w:p>
    <w:p w14:paraId="2754C0BF" w14:textId="77777777" w:rsidR="00770820" w:rsidRPr="004C0EBD" w:rsidRDefault="00624300" w:rsidP="00FF7CCF">
      <w:pPr>
        <w:pStyle w:val="BodyText1"/>
      </w:pPr>
      <w:r>
        <w:t xml:space="preserve">Επίσης, για ορισμένους οργανισμούς ισχύουν και άλλα ειδικά όρια. </w:t>
      </w:r>
    </w:p>
    <w:p w14:paraId="056740D2" w14:textId="77777777" w:rsidR="00FF7CCF" w:rsidRDefault="00624300" w:rsidP="00FF7CCF">
      <w:pPr>
        <w:pStyle w:val="BodyText1"/>
      </w:pPr>
      <w:r>
        <w:t xml:space="preserve">Ως εκ τούτου, η παρακάτω παράγραφος θα πρέπει να ληφθεί υπόψη μόνο </w:t>
      </w:r>
      <w:r>
        <w:rPr>
          <w:i/>
        </w:rPr>
        <w:t>ενδεικτικά</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Σημείωση: Τα ποσά αυτά ισχύουν για το 2023. Το 2024 τα ποσά θα είναι πιθανότατα </w:t>
      </w:r>
    </w:p>
    <w:p w14:paraId="59BA22B8" w14:textId="2C1F9501" w:rsidR="00624300" w:rsidRDefault="00E24CEC" w:rsidP="005C5B6D">
      <w:pPr>
        <w:pStyle w:val="BodyText1"/>
      </w:pPr>
      <w:r>
        <w:t xml:space="preserve">λίγο υψηλότερα.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Απλή απευθείας ανάθεση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για </w:t>
      </w:r>
      <w:r>
        <w:rPr>
          <w:rFonts w:ascii="Arial" w:hAnsi="Arial"/>
          <w:i/>
        </w:rPr>
        <w:t>προμήθειες</w:t>
      </w:r>
      <w:r>
        <w:rPr>
          <w:rFonts w:ascii="Arial" w:hAnsi="Arial"/>
        </w:rPr>
        <w:t xml:space="preserve">: </w:t>
      </w:r>
      <w:r>
        <w:rPr>
          <w:rFonts w:ascii="Arial" w:hAnsi="Arial"/>
        </w:rPr>
        <w:tab/>
        <w:t>&lt; 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για </w:t>
      </w:r>
      <w:r>
        <w:rPr>
          <w:rFonts w:ascii="Arial" w:hAnsi="Arial"/>
          <w:i/>
        </w:rPr>
        <w:t>εκτέλεση έργου</w:t>
      </w:r>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lastRenderedPageBreak/>
        <w:t xml:space="preserve">Έργα μικρής κλίμακας μπορούν να ανατεθούν απευθείας σ’ ένα μεμονωμένο μέρος, για παράδειγμα στη συνήθη εταιρεία εγκατάστασης με την οποία συνεργάζεστε ή σε οποιονδήποτε άλλο τοπικό προμηθευτή. </w:t>
      </w:r>
    </w:p>
    <w:p w14:paraId="25AC0C47" w14:textId="373E9907" w:rsidR="00624300" w:rsidRPr="004C0EBD" w:rsidRDefault="009E09C2" w:rsidP="00FF7CCF">
      <w:pPr>
        <w:pStyle w:val="BodyText1"/>
        <w:ind w:left="426"/>
      </w:pPr>
      <w:r>
        <w:rPr>
          <w:i/>
        </w:rPr>
        <w:t>Πλεονεκτήματα</w:t>
      </w:r>
      <w:r>
        <w:t>: Μικρή διάρκεια συντήρησης, χαμηλό διαδικαστικό κόστος, δυνατότητα διαπραγμάτευσης, ευελιξία</w:t>
      </w:r>
      <w:r>
        <w:rPr>
          <w:i/>
        </w:rPr>
        <w:t>Μειονεκτήματα</w:t>
      </w:r>
      <w:r>
        <w:t>:</w:t>
      </w:r>
      <w:r>
        <w:tab/>
        <w:t xml:space="preserve"> Ενδεχομένως μη βέλτιστη σχέση τιμής/ποιότητας, κίνδυνος σύγκρουσης συμφερόντων.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Διαδικασία πολλαπλών απευθείας αναθέσεων</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Για συμβάσεις </w:t>
      </w:r>
      <w:r>
        <w:rPr>
          <w:rFonts w:ascii="Arial" w:hAnsi="Arial"/>
          <w:i/>
        </w:rPr>
        <w:t>προμήθειας</w:t>
      </w:r>
      <w:r>
        <w:rPr>
          <w:rFonts w:ascii="Arial" w:hAnsi="Arial"/>
        </w:rPr>
        <w:t xml:space="preserve"> σε αποκεντρωμένους (ημι-)δημόσιους οργανισμούς: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Για συμβάσεις </w:t>
      </w:r>
      <w:r>
        <w:rPr>
          <w:rFonts w:ascii="Arial" w:hAnsi="Arial"/>
          <w:i/>
        </w:rPr>
        <w:t>προμήθειας</w:t>
      </w:r>
      <w:r>
        <w:rPr>
          <w:rFonts w:ascii="Arial" w:hAnsi="Arial"/>
        </w:rPr>
        <w:t xml:space="preserve"> σε οργανισμούς στους τομείς, μεταξύ άλλων, του ύδατος, της ενέργειας ή των μεταφορών: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για </w:t>
      </w:r>
      <w:r>
        <w:rPr>
          <w:rFonts w:ascii="Arial" w:hAnsi="Arial"/>
          <w:i/>
        </w:rPr>
        <w:t>εκτέλεση έργου</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Ζητήστε προσφορά από πολλούς προμηθευτές. Αναθέστε στην εταιρεία με την «πλέον συμφέρουσα από οικονομική άποψη προσφορά». </w:t>
      </w:r>
    </w:p>
    <w:p w14:paraId="722B33D7" w14:textId="3BE24D5E" w:rsidR="00560408" w:rsidRPr="00FF7CCF" w:rsidRDefault="00033DC3" w:rsidP="00FF7CCF">
      <w:pPr>
        <w:ind w:left="426"/>
        <w:rPr>
          <w:rFonts w:ascii="Arial" w:hAnsi="Arial" w:cs="Arial"/>
        </w:rPr>
      </w:pPr>
      <w:r>
        <w:rPr>
          <w:rFonts w:ascii="Arial" w:hAnsi="Arial"/>
          <w:i/>
        </w:rPr>
        <w:t>Πλεονεκτήματα</w:t>
      </w:r>
      <w:r>
        <w:rPr>
          <w:rFonts w:ascii="Arial" w:hAnsi="Arial"/>
        </w:rPr>
        <w:t xml:space="preserve">: Μικρή διάρκεια συντήρησης, χαμηλό διαδικαστικό κόστος, δυνατότητα διαπραγμάτευσης, ευελιξία   </w:t>
      </w:r>
    </w:p>
    <w:p w14:paraId="13255528" w14:textId="0554B7E5" w:rsidR="00FF7CCF" w:rsidRPr="005C5B6D" w:rsidRDefault="00033DC3" w:rsidP="005C5B6D">
      <w:pPr>
        <w:ind w:left="426"/>
        <w:rPr>
          <w:rFonts w:ascii="Arial" w:hAnsi="Arial" w:cs="Arial"/>
        </w:rPr>
      </w:pPr>
      <w:r>
        <w:rPr>
          <w:rFonts w:ascii="Arial" w:hAnsi="Arial"/>
          <w:i/>
        </w:rPr>
        <w:t>Μειονεκτήματα</w:t>
      </w:r>
      <w:r>
        <w:rPr>
          <w:rFonts w:ascii="Arial" w:hAnsi="Arial"/>
        </w:rPr>
        <w:t xml:space="preserve">: Πολλοί προσφέροντες δεν βλέπουν την πρόσκληση· δεν υπάρχει δυνατότητα διαπραγμάτευσης.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Εθνική διαδικασία</w:t>
      </w:r>
      <w:r>
        <w:rPr>
          <w:rFonts w:ascii="Arial" w:hAnsi="Arial"/>
          <w:color w:val="3DC3C6"/>
        </w:rPr>
        <w:t xml:space="preserve"> </w:t>
      </w:r>
      <w:r>
        <w:rPr>
          <w:rFonts w:ascii="Arial" w:hAnsi="Arial"/>
        </w:rPr>
        <w:t>με ή χωρίς γύρο επιλογής</w:t>
      </w:r>
    </w:p>
    <w:p w14:paraId="4B7F6BC3" w14:textId="2F9CEEB4" w:rsidR="00560408" w:rsidRPr="004C0EBD" w:rsidRDefault="00560408" w:rsidP="0075115D">
      <w:pPr>
        <w:pStyle w:val="BodyText1"/>
        <w:numPr>
          <w:ilvl w:val="0"/>
          <w:numId w:val="26"/>
        </w:numPr>
        <w:ind w:left="1134" w:firstLine="0"/>
      </w:pPr>
      <w:r>
        <w:t xml:space="preserve">Για συμβάσεις </w:t>
      </w:r>
      <w:r>
        <w:rPr>
          <w:i/>
        </w:rPr>
        <w:t>προμήθειας</w:t>
      </w:r>
      <w:r>
        <w:t xml:space="preserve"> σε αποκεντρωμένες (ημι-)δημόσιες αρχές: &lt; 215 000 EUR</w:t>
      </w:r>
    </w:p>
    <w:p w14:paraId="1E677ECC" w14:textId="327E482F" w:rsidR="00560408" w:rsidRPr="004C0EBD" w:rsidRDefault="00560408" w:rsidP="0075115D">
      <w:pPr>
        <w:pStyle w:val="BodyText1"/>
        <w:numPr>
          <w:ilvl w:val="0"/>
          <w:numId w:val="26"/>
        </w:numPr>
        <w:ind w:left="1418" w:hanging="284"/>
      </w:pPr>
      <w:r>
        <w:t xml:space="preserve">Για συμβάσεις </w:t>
      </w:r>
      <w:r>
        <w:rPr>
          <w:i/>
        </w:rPr>
        <w:t>προμήθειας</w:t>
      </w:r>
      <w:r>
        <w:t xml:space="preserve"> σε οργανισμούς στους τομείς, μεταξύ άλλων, του ύδατος, της ενέργειας ή των μεταφορών: &lt; 431 000 EUR</w:t>
      </w:r>
    </w:p>
    <w:p w14:paraId="309D7CF0" w14:textId="31A3EFEB" w:rsidR="00560408" w:rsidRPr="004C0EBD" w:rsidRDefault="00560408" w:rsidP="0075115D">
      <w:pPr>
        <w:pStyle w:val="BodyText1"/>
        <w:numPr>
          <w:ilvl w:val="0"/>
          <w:numId w:val="26"/>
        </w:numPr>
        <w:ind w:left="1134" w:firstLine="0"/>
      </w:pPr>
      <w:r>
        <w:t xml:space="preserve">για </w:t>
      </w:r>
      <w:r>
        <w:rPr>
          <w:i/>
        </w:rPr>
        <w:t>εκτέλεση έργου</w:t>
      </w:r>
      <w:r>
        <w:t>: &lt; 5 382 000 EUR</w:t>
      </w:r>
    </w:p>
    <w:p w14:paraId="78D6BC75" w14:textId="4AE6A461" w:rsidR="009E09C2" w:rsidRPr="004C0EBD" w:rsidRDefault="00033DC3" w:rsidP="00FF7CCF">
      <w:pPr>
        <w:pStyle w:val="BodyText1"/>
        <w:ind w:left="426"/>
      </w:pPr>
      <w:r>
        <w:t xml:space="preserve">Προκήρυξη διαγωνισμού στο </w:t>
      </w:r>
      <w:hyperlink r:id="rId16" w:tooltip="Εξωτερικός σύνδεσμος: tenderned.nl" w:history="1">
        <w:proofErr w:type="spellStart"/>
        <w:r>
          <w:rPr>
            <w:color w:val="D52B1E"/>
            <w:u w:val="single"/>
          </w:rPr>
          <w:t>TenderNed</w:t>
        </w:r>
        <w:proofErr w:type="spellEnd"/>
      </w:hyperlink>
      <w:r>
        <w:t xml:space="preserve"> και, ενδεχομένως, σε εμπορικά περιοδικά ή εφημερίδες. Όταν χρησιμοποιείται γύρος επιλογής, συχνά πέντε προμηθευτές καλούνται να υποβάλουν προσφορά.  </w:t>
      </w:r>
      <w:r>
        <w:cr/>
      </w:r>
      <w:r>
        <w:rPr>
          <w:i/>
        </w:rPr>
        <w:t>Πλεονεκτήματα</w:t>
      </w:r>
      <w:r>
        <w:t>: Μεγάλος ανταγωνισμός, σχέση τιμής/ποιότητας σύμφωνα με την αγορά· αντικειμενικότητα· διαφάνεια</w:t>
      </w:r>
      <w:r>
        <w:rPr>
          <w:i/>
        </w:rPr>
        <w:t>Μειονεκτήματα</w:t>
      </w:r>
      <w:r>
        <w:t xml:space="preserve">: Μεγάλη διάρκεια συντήρησης, σημαντικό διαδικαστικό κόστος, περιορισμένη ευελιξία.    </w:t>
      </w:r>
      <w:r>
        <w:c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Ευρωπαϊκή πρόσκληση υποβολής προσφορών</w:t>
      </w:r>
      <w:r>
        <w:rPr>
          <w:rFonts w:ascii="Arial" w:hAnsi="Arial"/>
          <w:color w:val="3DC3C6"/>
        </w:rPr>
        <w:t xml:space="preserve"> </w:t>
      </w:r>
      <w:r>
        <w:rPr>
          <w:rFonts w:ascii="Arial" w:hAnsi="Arial"/>
        </w:rPr>
        <w:t xml:space="preserve">με ή χωρίς γύρο επιλογής.  </w:t>
      </w:r>
    </w:p>
    <w:p w14:paraId="757143C4" w14:textId="77777777" w:rsidR="005C5B6D" w:rsidRDefault="00033DC3" w:rsidP="005C5B6D">
      <w:pPr>
        <w:pStyle w:val="BodyText1"/>
        <w:ind w:left="426"/>
      </w:pPr>
      <w:r>
        <w:t xml:space="preserve">Προκήρυξη στο TenderNed. Όταν χρησιμοποιείται γύρος επιλογής, συχνά πέντε προμηθευτές καλούνται να υποβάλουν προσφορά. </w:t>
      </w:r>
    </w:p>
    <w:p w14:paraId="4143539F" w14:textId="4E9EFE66" w:rsidR="00033DC3" w:rsidRPr="004C0EBD" w:rsidRDefault="00033DC3" w:rsidP="005C5B6D">
      <w:pPr>
        <w:pStyle w:val="BodyText1"/>
        <w:ind w:left="426"/>
      </w:pPr>
      <w:r>
        <w:t xml:space="preserve"> </w:t>
      </w:r>
      <w:r>
        <w:rPr>
          <w:i/>
        </w:rPr>
        <w:t>Πλεονεκτήματα</w:t>
      </w:r>
      <w:r>
        <w:t xml:space="preserve">: Το σύνολο της αγοράς μπορεί να υποβάλει προσφορά· υψηλή ανταγωνιστική πίεση· αντικειμενικότητα· διαφάνεια </w:t>
      </w:r>
    </w:p>
    <w:p w14:paraId="09E05DD5" w14:textId="57DCC175" w:rsidR="009E09C2" w:rsidRDefault="00033DC3" w:rsidP="005C5B6D">
      <w:pPr>
        <w:pStyle w:val="BodyText1"/>
        <w:ind w:left="426"/>
      </w:pPr>
      <w:r>
        <w:rPr>
          <w:i/>
        </w:rPr>
        <w:t>Μειονεκτήματα:</w:t>
      </w:r>
      <w:r>
        <w:t xml:space="preserve"> Χρονοβόρα διαδικασία· υψηλό διαδικαστικό κόστος σε περίπτωση υποβολής (υπερβολικά) πολλών προσφορών· δεν υπάρχει δυνατότητα διαπραγμάτευσης, ελάχιστη ευελιξία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Για περισσότερες πληροφορίες σχετικά με τα εθνικά ελάχιστα ποσά: </w:t>
      </w:r>
      <w:hyperlink r:id="rId17" w:history="1">
        <w:r>
          <w:rPr>
            <w:rStyle w:val="Hyperlink"/>
            <w:color w:val="3DC3C6"/>
          </w:rPr>
          <w:t>https://www.pianoo.nl/nl/inkoopproces/aanbestedingsprocedures/nationale-procedures/circulaire-grensbedragen-rijksoverheid</w:t>
        </w:r>
      </w:hyperlink>
    </w:p>
    <w:p w14:paraId="1FB54116" w14:textId="70356167" w:rsidR="009E09C2" w:rsidRPr="004C0EBD" w:rsidRDefault="00560408" w:rsidP="005C5B6D">
      <w:pPr>
        <w:pStyle w:val="BodyText1"/>
        <w:jc w:val="left"/>
        <w:rPr>
          <w:sz w:val="18"/>
          <w:szCs w:val="18"/>
        </w:rPr>
      </w:pPr>
      <w:r>
        <w:lastRenderedPageBreak/>
        <w:t xml:space="preserve">Για περισσότερες πληροφορίες σχετικά με τα ευρωπαϊκά ελάχιστα ποσά:  </w:t>
      </w:r>
      <w:r>
        <w:cr/>
      </w:r>
      <w:hyperlink r:id="rId18"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Συμβουλή 3</w:t>
      </w:r>
      <w:r>
        <w:rPr>
          <w:rFonts w:ascii="Arial" w:hAnsi="Arial"/>
          <w:color w:val="70AD47" w:themeColor="accent6"/>
        </w:rPr>
        <w:t xml:space="preserve"> </w:t>
      </w:r>
      <w:r>
        <w:rPr>
          <w:rFonts w:ascii="Arial" w:hAnsi="Arial"/>
        </w:rPr>
        <w:t xml:space="preserve">Για μεγαλύτερα έργα, άνω των 2 MWp, στο </w:t>
      </w:r>
      <w:r>
        <w:rPr>
          <w:rFonts w:ascii="Arial" w:hAnsi="Arial"/>
          <w:b/>
          <w:color w:val="104D54"/>
        </w:rPr>
        <w:t>παράρτημα 3</w:t>
      </w:r>
      <w:r>
        <w:rPr>
          <w:rFonts w:ascii="Arial" w:hAnsi="Arial"/>
        </w:rPr>
        <w:t xml:space="preserve"> παρατίθεται κατάλογος</w:t>
      </w:r>
      <w:r w:rsidRPr="005C5B6D">
        <w:rPr>
          <w:rStyle w:val="FootnoteReference"/>
          <w:rFonts w:ascii="Arial" w:hAnsi="Arial" w:cs="Arial"/>
        </w:rPr>
        <w:footnoteReference w:id="1"/>
      </w:r>
      <w:r>
        <w:rPr>
          <w:rFonts w:ascii="Arial" w:hAnsi="Arial"/>
        </w:rPr>
        <w:t xml:space="preserve"> εταιρειών εγκατάστασης, φορέων υλοποίησης έργων και εταιρειών εκτέλεσης συμβάσεων ενεργειακής απόδοσης (ΣΕΑ) [Energieprestatiecontracten] με πείρα σε μεγαλύτερα έργα στις Κάτω Χώρες.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0D3D06AA" w:rsidR="00E0736F" w:rsidRDefault="00E0736F">
      <w:pPr>
        <w:spacing w:line="240" w:lineRule="auto"/>
        <w:rPr>
          <w:rFonts w:ascii="Arial" w:eastAsiaTheme="majorEastAsia" w:hAnsi="Arial" w:cs="Arial"/>
          <w:color w:val="92D050"/>
          <w:sz w:val="32"/>
          <w:szCs w:val="32"/>
        </w:rPr>
      </w:pPr>
      <w:r>
        <w:rPr>
          <w:rFonts w:ascii="Arial" w:eastAsiaTheme="majorEastAsia" w:hAnsi="Arial" w:cs="Arial"/>
          <w:color w:val="92D050"/>
          <w:sz w:val="32"/>
          <w:szCs w:val="32"/>
        </w:rPr>
        <w:br w:type="page"/>
      </w:r>
    </w:p>
    <w:p w14:paraId="0F9139DA" w14:textId="55EA2FB1" w:rsidR="00FA7BE8" w:rsidRPr="007C0E44" w:rsidRDefault="00C71DF9" w:rsidP="007C0E44">
      <w:pPr>
        <w:pStyle w:val="Heading2"/>
        <w:rPr>
          <w:rFonts w:ascii="Arial" w:hAnsi="Arial" w:cs="Arial"/>
          <w:color w:val="104D54"/>
        </w:rPr>
      </w:pPr>
      <w:bookmarkStart w:id="125" w:name="_Toc176868915"/>
      <w:r w:rsidRPr="007C0E44">
        <w:rPr>
          <w:rFonts w:ascii="Arial" w:hAnsi="Arial" w:cs="Arial"/>
          <w:color w:val="104D54"/>
        </w:rPr>
        <w:lastRenderedPageBreak/>
        <w:t>Βήμα 4 Άδειες και σύνδεση με το δίκτυο</w:t>
      </w:r>
      <w:bookmarkEnd w:id="125"/>
      <w:r w:rsidRPr="007C0E44">
        <w:rPr>
          <w:rFonts w:ascii="Arial" w:hAnsi="Arial" w:cs="Arial"/>
          <w:color w:val="104D54"/>
        </w:rP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Στο στάδιο αυτό έμφαση δίνεται στις περιβαλλοντικές και οικοδομικές άδειες και εξετάζονται επίσης ορισμένες επιλογές σχετικά με τη σύνδεση με το δίκτυο.</w:t>
      </w:r>
    </w:p>
    <w:p w14:paraId="51CE28AD" w14:textId="77777777" w:rsidR="00BA688B" w:rsidRPr="004C0EBD" w:rsidRDefault="00BA688B" w:rsidP="00A3595E"/>
    <w:p w14:paraId="3536D660" w14:textId="690EBEDC" w:rsidR="00B54C59" w:rsidRPr="004C0EBD" w:rsidRDefault="00444DFF" w:rsidP="00094DE4">
      <w:pPr>
        <w:pStyle w:val="MH3"/>
      </w:pPr>
      <w:bookmarkStart w:id="126" w:name="_Toc180507848"/>
      <w:r>
        <w:t>4.1 Άδειες</w:t>
      </w:r>
      <w:bookmarkEnd w:id="126"/>
    </w:p>
    <w:p w14:paraId="3795DE65" w14:textId="7CE2D93D" w:rsidR="006171C0" w:rsidRPr="004C0EBD" w:rsidRDefault="00E97EDE" w:rsidP="005C5B6D">
      <w:pPr>
        <w:pStyle w:val="BodyText1"/>
      </w:pPr>
      <w:r>
        <w:t xml:space="preserve">Πολλά έργα καθυστερούν διότι δεν υποβάλλονται (εγκαίρως) αιτήσεις για περιβαλλοντικές άδειες.  </w:t>
      </w:r>
      <w:r>
        <w:br/>
        <w:t xml:space="preserve">Γι’ αυτόν τον λόγο είναι προτιμότερο να υποβάλλεται αίτηση για τη χορήγηση των αναγκαίων αδειών όσο το δυνατόν νωρίτερα κατά τη διάρκεια της διαδικασίας.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Η εν λόγω υποβολή ενδέχεται να επιφέρει πρόσθετες απαιτήσεις: </w:t>
      </w:r>
    </w:p>
    <w:p w14:paraId="038A1C40" w14:textId="123E58D7" w:rsidR="005C5B6D" w:rsidRDefault="00B54C59" w:rsidP="0075115D">
      <w:pPr>
        <w:pStyle w:val="BodyText1"/>
        <w:numPr>
          <w:ilvl w:val="0"/>
          <w:numId w:val="28"/>
        </w:numPr>
      </w:pPr>
      <w:r>
        <w:t xml:space="preserve">Για έργα </w:t>
      </w:r>
      <w:r>
        <w:rPr>
          <w:b/>
          <w:i/>
          <w:color w:val="3DC3C6"/>
        </w:rPr>
        <w:t>φωτοβολταϊκών στη στέγη</w:t>
      </w:r>
      <w:r>
        <w:t xml:space="preserve">, </w:t>
      </w:r>
      <w:r>
        <w:rPr>
          <w:i/>
        </w:rPr>
        <w:t>συνήθως δεν</w:t>
      </w:r>
      <w:r>
        <w:t xml:space="preserve"> απαιτούνται περιβαλλοντικές άδειες.  </w:t>
      </w:r>
      <w:r>
        <w:br/>
        <w:t>Ωστόσο, απαιτείται άδεια στην περίπτωση διατηρητέων κτιρίων.</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Για έργα </w:t>
      </w:r>
      <w:r>
        <w:rPr>
          <w:rFonts w:ascii="Arial" w:hAnsi="Arial"/>
          <w:b/>
          <w:i/>
          <w:color w:val="3DC3C6"/>
        </w:rPr>
        <w:t>φωτοβολταϊκών στο έδαφος</w:t>
      </w:r>
      <w:r>
        <w:rPr>
          <w:rFonts w:ascii="Arial" w:hAnsi="Arial"/>
        </w:rPr>
        <w:t>, ενδέχεται να απαιτούνται οι ακόλουθες άδειες και μελέτες:</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σχέδιο χρήσης γης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οικοδομική άδεια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περιβαλλοντική άδεια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μελέτη για περιβαλλοντικά ζητήματα / σπάνια ζωικά είδη</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αρχαιολογική μελέτη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t>μελέτη για εγκαταλελειμμένα εκρηκτικά</w:t>
      </w:r>
      <w:r>
        <w:t xml:space="preserve">  </w:t>
      </w:r>
      <w:r>
        <w:cr/>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Για έργα </w:t>
      </w:r>
      <w:r>
        <w:rPr>
          <w:rFonts w:ascii="Arial" w:hAnsi="Arial"/>
          <w:b/>
          <w:i/>
          <w:color w:val="3DC3C6"/>
        </w:rPr>
        <w:t>φωτοβολταϊκών στο νερό</w:t>
      </w:r>
      <w:r>
        <w:rPr>
          <w:rFonts w:ascii="Arial" w:hAnsi="Arial"/>
        </w:rPr>
        <w:t xml:space="preserve">, απαιτούνται διάφορες άδειες: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περιβαλλοντική άδεια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σχέδιο χρήσης γης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οικοδομική άδεια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Έχετε υπόψη ότι, για τα έργα φωτοβολταϊκών στο νερό: δεν επιτρέπονται έργα φωτοβολταϊκών σε ορισμένους τύπους υδάτινων περιοχών, λόγω ευπαθών ή σπάνιων ειδών. Οι περιοχές αυτές περιλαμβάνουν λιμνούλες, βάλτους, πηγές και νερόλακκους σε άγονες εκτάσεις.  </w:t>
      </w:r>
    </w:p>
    <w:p w14:paraId="7F426014" w14:textId="268BB29D" w:rsidR="00E611E7" w:rsidRPr="005C5B6D" w:rsidRDefault="00E97EDE" w:rsidP="005C5B6D">
      <w:pPr>
        <w:pStyle w:val="BodyText1"/>
      </w:pPr>
      <w:r>
        <w:t>Ως εκ τούτου, είναι απαραίτητο να ζητείται πρώτα η γνώμη της υπεύθυνης για τα ύδατα αρχής. Η υπεύθυνη για τα ύδατα αρχή θα καθορίζει συχνά ειδικές ανά έργο απαιτήσεις για τα έργα φωτοβολταϊκών στο νερό</w:t>
      </w:r>
      <w:r w:rsidRPr="005C5B6D">
        <w:rPr>
          <w:rStyle w:val="FootnoteReference"/>
          <w:vertAlign w:val="baseline"/>
        </w:rPr>
        <w:footnoteReference w:id="2"/>
      </w:r>
      <w:r>
        <w:t xml:space="preserve">. Επίσης, θα πρέπει να λάβετε υπόψη ότι τα φωτοβολταϊκά στο νερό εξακολουθούν να αποτελούν σχετικά νέο τύπο έργων. Υπάρχουν πολλά διαφορετικά συστήματα και υλικά, αλλά δεν υπάρχουν ακόμη άρτια πρότυπα ή τυποποιημένες δοκιμές για τους πλωτήρες και τα συστήματα εγκατάστασης. Ακόμη και σε εσωτερικά ύδατα, υπάρχει κίνδυνος τα συστήματα να μην έχουν διάρκεια ζωής άνω των 10 ή 15 ετών λόγω του ανέμου και των κυμάτων. </w:t>
      </w:r>
    </w:p>
    <w:p w14:paraId="6360BEE7" w14:textId="77777777" w:rsidR="005C5B6D" w:rsidRPr="004C0EBD" w:rsidRDefault="005C5B6D" w:rsidP="005C5B6D">
      <w:pPr>
        <w:pStyle w:val="BodyText1"/>
      </w:pPr>
    </w:p>
    <w:p w14:paraId="5E7E5410" w14:textId="53E4B5B3" w:rsidR="00B54C59" w:rsidRPr="004C0EBD" w:rsidRDefault="00444DFF" w:rsidP="00094DE4">
      <w:pPr>
        <w:pStyle w:val="MH3"/>
      </w:pPr>
      <w:bookmarkStart w:id="127" w:name="_Toc180507849"/>
      <w:r>
        <w:lastRenderedPageBreak/>
        <w:t>4.2 Σύνδεση με το δίκτυο: επιλογές και παράμετροι</w:t>
      </w:r>
      <w:bookmarkEnd w:id="127"/>
    </w:p>
    <w:p w14:paraId="7DF4F35F" w14:textId="13A80543" w:rsidR="005C7AE9" w:rsidRPr="004C0EBD" w:rsidRDefault="0029163B" w:rsidP="00B848B1">
      <w:pPr>
        <w:pStyle w:val="BodyText1"/>
      </w:pPr>
      <w:r>
        <w:t xml:space="preserve">Οι επιλογές σύνδεσης με το δίκτυο εξαρτώνται από τον αριθμό των ηλιακών συλλεκτών που επιλέγετε. Ενίοτε, καλή επιλογή αποτελεί η εγκατάσταση λιγότερων συλλεκτών από τον μέγιστο αριθμό που θα μπορούσε να εγκατασταθεί προκειμένου το σύστημα να παραμείνει εντός των ορίων της υφιστάμενης σύνδεσης με το δίκτυο. </w:t>
      </w:r>
    </w:p>
    <w:p w14:paraId="13DAA618" w14:textId="77777777" w:rsidR="005C7AE9" w:rsidRPr="004C0EBD" w:rsidRDefault="005C7AE9" w:rsidP="00A3595E"/>
    <w:p w14:paraId="6355BFC0" w14:textId="25B4EEA6" w:rsidR="00A111F9" w:rsidRPr="004C0EBD" w:rsidRDefault="00A111F9" w:rsidP="00B848B1">
      <w:pPr>
        <w:pStyle w:val="BodyText1"/>
      </w:pPr>
      <w:r>
        <w:t xml:space="preserve">Οι ακόλουθες ερωτήσεις και παράμετροι είναι σημαντικές για να κάνετε τη σωστή επιλογή:  </w:t>
      </w:r>
      <w:r>
        <w:cr/>
      </w:r>
    </w:p>
    <w:p w14:paraId="0D949EEB" w14:textId="317EB960" w:rsidR="00154E4F" w:rsidRPr="004C0EBD" w:rsidRDefault="00154E4F" w:rsidP="0075115D">
      <w:pPr>
        <w:pStyle w:val="ListParagraph"/>
        <w:numPr>
          <w:ilvl w:val="0"/>
          <w:numId w:val="32"/>
        </w:numPr>
      </w:pPr>
      <w:r>
        <w:rPr>
          <w:rFonts w:ascii="Arial" w:hAnsi="Arial"/>
          <w:b/>
          <w:color w:val="3DC3C6"/>
        </w:rPr>
        <w:t>Ιδιοκατανάλωση επιτόπου</w:t>
      </w:r>
      <w:r w:rsidR="00E0736F" w:rsidRPr="00175EA5">
        <w:rPr>
          <w:rFonts w:ascii="Arial" w:hAnsi="Arial"/>
          <w:b/>
          <w:color w:val="3DC3C6"/>
        </w:rPr>
        <w:br/>
      </w:r>
      <w:r>
        <w:t xml:space="preserve">Ποια είναι η αναλογία της μέγιστης δυναμικότητας κατά τη διάρκεια της ημέρας προς την κατανάλωση στη συγκεκριμένη τοποθεσία κατά τη διάρκεια της ημέρας και κατά τη διάρκεια του χειμώνα και του καλοκαιριού;  </w:t>
      </w:r>
      <w:r>
        <w:cr/>
      </w:r>
    </w:p>
    <w:p w14:paraId="6290D5E8" w14:textId="6E0CAD8D" w:rsidR="00B848B1" w:rsidRPr="00B848B1" w:rsidRDefault="0029163B" w:rsidP="0075115D">
      <w:pPr>
        <w:pStyle w:val="ListParagraph"/>
        <w:numPr>
          <w:ilvl w:val="0"/>
          <w:numId w:val="33"/>
        </w:numPr>
        <w:tabs>
          <w:tab w:val="left" w:pos="1134"/>
        </w:tabs>
        <w:ind w:left="709" w:hanging="349"/>
      </w:pPr>
      <w:r>
        <w:rPr>
          <w:rFonts w:ascii="Arial" w:hAnsi="Arial"/>
          <w:b/>
          <w:color w:val="3DC3C6"/>
        </w:rPr>
        <w:t>Προσαρμογή της σύνδεσης με το δίκτυο ή εγκατάσταση ΣΕΔ</w:t>
      </w:r>
      <w:r w:rsidR="00E0736F" w:rsidRPr="00175EA5">
        <w:rPr>
          <w:color w:val="3DC3C6"/>
        </w:rPr>
        <w:br/>
      </w:r>
      <w:r>
        <w:rPr>
          <w:rFonts w:ascii="Arial" w:hAnsi="Arial"/>
        </w:rPr>
        <w:t xml:space="preserve">Η δυναμικότητα ΕΡ των μετατροπέων αντιστοιχεί συνήθως στο 50-75 % της δυναμικότητας ΣΡ των ηλιακών συλλεκτών. Εάν η δυναμικότητα ΕΡ είναι μεγαλύτερη από τη σύνδεση με το δίκτυο, υπάρχουν δύο επιλογές:  </w:t>
      </w:r>
    </w:p>
    <w:p w14:paraId="0E4E0D93" w14:textId="1C7606D9" w:rsidR="00B848B1" w:rsidRPr="00B848B1" w:rsidRDefault="00E0736F" w:rsidP="00B848B1">
      <w:pPr>
        <w:tabs>
          <w:tab w:val="left" w:pos="1134"/>
        </w:tabs>
        <w:ind w:left="709" w:hanging="349"/>
      </w:pPr>
      <w:r w:rsidRPr="00175EA5">
        <w:rPr>
          <w:rFonts w:ascii="Arial" w:hAnsi="Arial"/>
          <w:i/>
          <w:color w:val="3DC3C6"/>
        </w:rPr>
        <w:tab/>
      </w:r>
      <w:r w:rsidR="0029163B">
        <w:rPr>
          <w:rFonts w:ascii="Arial" w:hAnsi="Arial"/>
          <w:i/>
          <w:color w:val="3DC3C6"/>
        </w:rPr>
        <w:t>Επιλογή 1 — Αύξηση της δυναμικότητας σύνδεσης με το δίκτυο</w:t>
      </w:r>
      <w:r w:rsidR="0029163B">
        <w:rPr>
          <w:rFonts w:ascii="Arial" w:hAnsi="Arial"/>
        </w:rPr>
        <w:cr/>
        <w:t xml:space="preserve">Θα πρέπει να ρωτήσετε τον διαχειριστή δικτύου σχετικά με τον προβλεπόμενο χρόνο αναμονής και το σχετικό κόστος…  </w:t>
      </w:r>
    </w:p>
    <w:p w14:paraId="35BAC780" w14:textId="77777777" w:rsidR="00B848B1" w:rsidRPr="00B848B1" w:rsidRDefault="0029163B" w:rsidP="00E0736F">
      <w:pPr>
        <w:pStyle w:val="ListParagraph"/>
        <w:numPr>
          <w:ilvl w:val="0"/>
          <w:numId w:val="34"/>
        </w:numPr>
        <w:ind w:left="1134" w:hanging="425"/>
        <w:rPr>
          <w:color w:val="000000" w:themeColor="text1"/>
        </w:rPr>
      </w:pPr>
      <w:r>
        <w:rPr>
          <w:rFonts w:ascii="Arial" w:hAnsi="Arial"/>
          <w:color w:val="000000" w:themeColor="text1"/>
        </w:rPr>
        <w:t xml:space="preserve">ο χρόνος αναμονής για μεγαλύτερης κλίμακας σύνδεση με το δίκτυο μπορεί να είναι έως και πέντε έτη (!) </w:t>
      </w:r>
    </w:p>
    <w:p w14:paraId="743281D9" w14:textId="76F168B4"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επιπλέον, τόσο το αρχικό όσο και το ετήσιο κόστος μπορεί να είναι υψηλό, γεγονός που καθιστά αυτή την επιχειρηματική πρόταση λιγότερο ελκυστική σε σύγκριση με τη διατήρηση της δυναμικότητας εντός των ορίων της υφιστάμενης σύνδεσης.</w:t>
      </w:r>
      <w:r>
        <w:rPr>
          <w:rFonts w:ascii="Arial" w:hAnsi="Arial"/>
        </w:rPr>
        <w:cr/>
        <w:t xml:space="preserve">   </w:t>
      </w:r>
      <w:r>
        <w:rPr>
          <w:rFonts w:ascii="Arial" w:hAnsi="Arial"/>
        </w:rPr>
        <w:cr/>
      </w:r>
      <w:r>
        <w:rPr>
          <w:rFonts w:ascii="Arial" w:hAnsi="Arial"/>
          <w:i/>
          <w:color w:val="3DC3C6"/>
        </w:rPr>
        <w:t>Επιλογή 2 — Χρήση συστήματος ενεργειακής διαχείρισης</w:t>
      </w:r>
      <w:r>
        <w:rPr>
          <w:rFonts w:ascii="Arial" w:hAnsi="Arial"/>
          <w:color w:val="3DC3C6"/>
        </w:rPr>
        <w:t xml:space="preserve"> (ΣΕΔ) </w:t>
      </w:r>
      <w:r>
        <w:rPr>
          <w:rFonts w:ascii="Arial" w:hAnsi="Arial"/>
        </w:rPr>
        <w:t>Το ΣΕΔ παρακολουθεί συνεχώς την παραγωγή φωτοβολταϊκής ενέργειας και την κατανάλωση ηλεκτρικής ενέργειας και διασφαλίζει ότι δεν διοχετεύεται ποτέ στο δίκτυο πάνω από μια ορισμένη ποσότητα ισχύος.</w:t>
      </w:r>
      <w:r>
        <w:t xml:space="preserve">   </w:t>
      </w:r>
      <w:r>
        <w:cr/>
      </w:r>
    </w:p>
    <w:p w14:paraId="398544DD" w14:textId="776AE9A3" w:rsidR="00560408" w:rsidRPr="004C0EBD" w:rsidRDefault="00B54067" w:rsidP="0075115D">
      <w:pPr>
        <w:pStyle w:val="ListParagraph"/>
        <w:numPr>
          <w:ilvl w:val="0"/>
          <w:numId w:val="35"/>
        </w:numPr>
        <w:ind w:left="709" w:hanging="283"/>
        <w:rPr>
          <w:b/>
          <w:bCs/>
        </w:rPr>
      </w:pPr>
      <w:r>
        <w:rPr>
          <w:rFonts w:ascii="Arial" w:hAnsi="Arial"/>
          <w:b/>
          <w:color w:val="3DC3C6"/>
        </w:rPr>
        <w:t>Σημεία φόρτισης και ηλεκτρικά αυτοκίνητα</w:t>
      </w:r>
      <w:r w:rsidR="00E0736F" w:rsidRPr="00175EA5">
        <w:rPr>
          <w:rFonts w:ascii="Arial" w:hAnsi="Arial"/>
          <w:b/>
          <w:color w:val="3DC3C6"/>
        </w:rPr>
        <w:br/>
      </w:r>
      <w:r>
        <w:rPr>
          <w:rFonts w:ascii="Arial" w:hAnsi="Arial"/>
        </w:rPr>
        <w:t>Υπάρχουν σημεία φόρτισης ηλεκτρικών αυτοκινήτων στην τοποθεσία ή σχεδιάζεται η δημιουργία τους βραχυπρόθεσμα; Τι σημαίνει αυτό όσον αφορά την ηλεκτρική σύνδεση; Είναι επιθυμητή η «έξυπνη» φόρτιση με βάση τη διαθέσιμη ηλιακή ενέργεια, το τιμολόγιο ηλεκτρικής ενέργειας ή τη σύνδεση με το δίκτυο;</w:t>
      </w:r>
      <w:r>
        <w:t xml:space="preserve">  </w:t>
      </w:r>
      <w:r>
        <w:cr/>
      </w:r>
    </w:p>
    <w:p w14:paraId="18BE4F61" w14:textId="5B921650"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Διαχείριση της ζήτησης</w:t>
      </w:r>
      <w:r w:rsidR="00E0736F" w:rsidRPr="00175EA5">
        <w:rPr>
          <w:rFonts w:ascii="Arial" w:hAnsi="Arial"/>
          <w:b/>
          <w:color w:val="3DC3C6"/>
        </w:rPr>
        <w:br/>
      </w:r>
      <w:r>
        <w:rPr>
          <w:rFonts w:ascii="Arial" w:hAnsi="Arial"/>
        </w:rPr>
        <w:t xml:space="preserve">Είναι δυνατό να λειτουργούν ορισμένες συσκευές και μηχανήματα με «έξυπνο» τρόπο και να ενεργοποιούνται μόνο σε συγκεκριμένες χρονικές στιγμές; Οφέλη: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Τήρηση των υφιστάμενων ορίων σύνδεσης με το δίκτυο τόσο για την κατανάλωση όσο και για την παραγωγή</w:t>
      </w:r>
    </w:p>
    <w:p w14:paraId="15D808A4" w14:textId="1AA4708E"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Αξιοποίηση των χαμηλών τιμών και της δυνατότητας αποσύνδεσης όταν οι τιμές είναι υψηλές.</w:t>
      </w:r>
      <w:r>
        <w:rPr>
          <w:color w:val="000000" w:themeColor="text1"/>
        </w:rPr>
        <w:t xml:space="preserve">  </w:t>
      </w:r>
      <w:r>
        <w:cr/>
        <w:t xml:space="preserve"> </w:t>
      </w:r>
    </w:p>
    <w:p w14:paraId="5D577BE0" w14:textId="2A49CD65" w:rsidR="00585024" w:rsidRPr="004C0EBD" w:rsidRDefault="000E3421" w:rsidP="0075115D">
      <w:pPr>
        <w:pStyle w:val="ListParagraph"/>
        <w:numPr>
          <w:ilvl w:val="0"/>
          <w:numId w:val="38"/>
        </w:numPr>
        <w:ind w:left="709" w:hanging="283"/>
        <w:jc w:val="both"/>
      </w:pPr>
      <w:r>
        <w:rPr>
          <w:rFonts w:ascii="Arial" w:hAnsi="Arial"/>
          <w:b/>
          <w:color w:val="3DC3C6"/>
        </w:rPr>
        <w:lastRenderedPageBreak/>
        <w:t>Μπαταρίες</w:t>
      </w:r>
      <w:r w:rsidR="00E0736F" w:rsidRPr="00175EA5">
        <w:rPr>
          <w:rFonts w:ascii="Arial" w:hAnsi="Arial"/>
          <w:b/>
          <w:color w:val="3DC3C6"/>
        </w:rPr>
        <w:br/>
      </w:r>
      <w:r>
        <w:rPr>
          <w:rFonts w:ascii="Arial" w:hAnsi="Arial"/>
        </w:rPr>
        <w:t xml:space="preserve">Η προσθήκη μπαταριών σε ένα ΣΕΔ παρέχει περισσότερες δυνατότητες. Προκειμένου να τηρούνται τα όρια της υφιστάμενης σύνδεσης με το δίκτυο, κάθε ποσότητα ηλεκτρικής ενέργειας που παράγεται πέραν της μέγιστης δυναμικότητας σύνδεσης με το δίκτυο μπορεί να αποθηκεύεται στην μπαταρία. </w:t>
      </w:r>
    </w:p>
    <w:p w14:paraId="7232CC23" w14:textId="44ED6275" w:rsidR="000E3421" w:rsidRPr="009F1963" w:rsidRDefault="0052536B" w:rsidP="00585024">
      <w:pPr>
        <w:ind w:left="709"/>
        <w:jc w:val="both"/>
        <w:rPr>
          <w:rFonts w:ascii="Arial" w:hAnsi="Arial" w:cs="Arial"/>
        </w:rPr>
      </w:pPr>
      <w:r>
        <w:rPr>
          <w:rFonts w:ascii="Arial" w:hAnsi="Arial"/>
        </w:rPr>
        <w:t xml:space="preserve">Ο χρόνος ενεργειακής απόσβεσης των μπαταριών είναι, επί του παρόντος, αρκετά μεγάλος και απρόβλεπτος. Μπορούν να αναλυθούν οι επιχειρηματικές προοπτικές των διαφόρων στόχων: 1) καθορισμός ανώτατου ορίου στην παραγωγή φωτοβολταϊκής ενέργειας εντός των ορίων της υφιστάμενης σύνδεσης· 2) καθορισμός ανώτατου ορίου στο ποσοστό ιδιοκατανάλωσης ηλιακής ενέργειας· 3) οικονομική βελτιστοποίηση.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150A97">
      <w:pPr>
        <w:ind w:left="851"/>
        <w:rPr>
          <w:rFonts w:ascii="Arial" w:hAnsi="Arial" w:cs="Arial"/>
          <w:b/>
          <w:bCs/>
          <w:color w:val="104D54"/>
        </w:rPr>
      </w:pPr>
      <w:r>
        <w:rPr>
          <w:rFonts w:ascii="Arial" w:hAnsi="Arial"/>
          <w:b/>
          <w:color w:val="FFFFFF" w:themeColor="background1"/>
          <w:highlight w:val="darkCyan"/>
          <w:u w:val="single"/>
        </w:rPr>
        <w:t>Συμβουλή 4</w:t>
      </w:r>
      <w:r>
        <w:rPr>
          <w:rFonts w:ascii="Arial" w:hAnsi="Arial"/>
        </w:rPr>
        <w:t xml:space="preserve"> </w:t>
      </w:r>
      <w:r>
        <w:rPr>
          <w:rFonts w:ascii="Arial" w:hAnsi="Arial"/>
          <w:color w:val="104D54"/>
        </w:rPr>
        <w:t xml:space="preserve">Ειδικευμένοι σύμβουλοι μπορούν επίσης να παράσχουν βοήθεια στο συγκεκριμένο στάδιο. Στο </w:t>
      </w:r>
      <w:r>
        <w:rPr>
          <w:rFonts w:ascii="Arial" w:hAnsi="Arial"/>
          <w:b/>
          <w:color w:val="104D54"/>
          <w:u w:val="single"/>
        </w:rPr>
        <w:t>παράρτημα 4</w:t>
      </w:r>
      <w:r>
        <w:rPr>
          <w:rFonts w:ascii="Arial" w:hAnsi="Arial"/>
          <w:color w:val="104D54"/>
        </w:rPr>
        <w:t xml:space="preserve"> παρέχεται ένας (ακόμη ελλιπής) κατάλογος εξειδικευμένων συμβούλων.</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Εάν είναι σκόπιμο να προστεθούν σημεία φόρτισης, μπαταρίες ή ΣΕΔ στο έργο, τότε τίθεται το ερώτημα αν αυτό πρέπει να </w:t>
      </w:r>
      <w:r>
        <w:rPr>
          <w:i/>
        </w:rPr>
        <w:t>συνδυαστεί</w:t>
      </w:r>
      <w:r>
        <w:t xml:space="preserve"> ή όχι με τη φωτοβολταϊκή εγκατάσταση στο πλαίσιο ενιαίας σύμβασης / πρόσκλησης υποβολής προσφορών. Η κατάρτιση χωριστής σύμβασης ή πρόσκλησης υποβολής προσφορών για τον σκοπό αυτό μπορεί ενδεχομένως να μειώσει τον βαθμό πολυπλοκότητας για τον πελάτη και το συμβαλλόμενο μέρος. </w:t>
      </w:r>
    </w:p>
    <w:p w14:paraId="7EF32110" w14:textId="77777777" w:rsidR="009F1963" w:rsidRPr="00C42EE6" w:rsidRDefault="009F1963" w:rsidP="009F1963"/>
    <w:p w14:paraId="04E2F86E" w14:textId="77777777" w:rsidR="009F1963" w:rsidRPr="00C36793" w:rsidRDefault="009F1963" w:rsidP="009F1963"/>
    <w:p w14:paraId="3899C9E3" w14:textId="77777777" w:rsidR="009F1963" w:rsidRPr="00C36793" w:rsidRDefault="009F1963" w:rsidP="009F1963"/>
    <w:p w14:paraId="0C43BA5B" w14:textId="126144D1" w:rsidR="00FA7BE8" w:rsidRPr="007C0E44" w:rsidRDefault="004D365E" w:rsidP="007C0E44">
      <w:pPr>
        <w:pStyle w:val="Heading2"/>
        <w:rPr>
          <w:rFonts w:ascii="Arial" w:hAnsi="Arial" w:cs="Arial"/>
          <w:color w:val="104D54"/>
        </w:rPr>
      </w:pPr>
      <w:bookmarkStart w:id="128" w:name="_Toc176868916"/>
      <w:r w:rsidRPr="007C0E44">
        <w:rPr>
          <w:rFonts w:ascii="Arial" w:hAnsi="Arial" w:cs="Arial"/>
          <w:color w:val="104D54"/>
        </w:rPr>
        <w:t>Βήμα 5 Κύκλος εργασιών, επιδοτήσεις, χρηματοδότηση και ασφάλιση</w:t>
      </w:r>
      <w:bookmarkEnd w:id="128"/>
    </w:p>
    <w:p w14:paraId="700BB5A0" w14:textId="3C3F6FC7" w:rsidR="00FA7BE8" w:rsidRPr="004C0EBD" w:rsidRDefault="00FA7BE8" w:rsidP="00A3595E"/>
    <w:p w14:paraId="6E1F3C8F" w14:textId="1D308FDD" w:rsidR="004343AC" w:rsidRPr="009F1963" w:rsidRDefault="00295EA1" w:rsidP="009F1963">
      <w:pPr>
        <w:pStyle w:val="BodyText1"/>
      </w:pPr>
      <w:r>
        <w:t xml:space="preserve">Κατά τα προηγούμενα βήματα προσδιορίστηκαν οι τεχνικές προδιαγραφές. Σ’ αυτό το βήμα εξετάζεται αν το έργο είναι επιλέξιμο για επιδοτήσεις, καθώς και η χρηματοδότηση και η ασφάλισή του. </w:t>
      </w:r>
    </w:p>
    <w:p w14:paraId="13C00B39" w14:textId="77777777" w:rsidR="00251095" w:rsidRPr="004C0EBD" w:rsidRDefault="00251095" w:rsidP="00A3595E"/>
    <w:p w14:paraId="500215C8" w14:textId="15872C52" w:rsidR="00F16ACA" w:rsidRPr="004C0EBD" w:rsidRDefault="00F16ACA" w:rsidP="00094DE4">
      <w:pPr>
        <w:pStyle w:val="MH3"/>
      </w:pPr>
      <w:bookmarkStart w:id="129" w:name="_Toc180507850"/>
      <w:r>
        <w:t>5.1 Κύκλος εργασιών από την αντίστροφη παροχή ηλεκτρικής ενέργειας</w:t>
      </w:r>
      <w:bookmarkEnd w:id="129"/>
      <w:r>
        <w:t xml:space="preserve"> </w:t>
      </w:r>
    </w:p>
    <w:p w14:paraId="28260D4D" w14:textId="3B21E091" w:rsidR="00E368C4" w:rsidRPr="004C0EBD" w:rsidRDefault="007733E9" w:rsidP="009F1963">
      <w:pPr>
        <w:pStyle w:val="BodyText1"/>
      </w:pPr>
      <w:r>
        <w:t xml:space="preserve">Κατά τη διάρκεια περιόδων ηλιοφάνειας, η παραγωγή ισχύος στις περισσότερες φωτοβολταϊκές εγκαταστάσεις υπερβαίνει σημαντικά την ιδιοκατανάλωση. </w:t>
      </w:r>
    </w:p>
    <w:p w14:paraId="06B828EC" w14:textId="28E2F27F" w:rsidR="009F1963" w:rsidRPr="009F1963" w:rsidRDefault="007733E9" w:rsidP="009F1963">
      <w:pPr>
        <w:pStyle w:val="BodyText1"/>
      </w:pPr>
      <w:r>
        <w:t xml:space="preserve">Στη συνέχεια, η πλεονάζουσα ηλεκτρική ενέργεια μπορεί να επιστραφεί στο δίκτυο. Ποια τιμή μπορείτε να επιτύχετε για αυτή την αντίστροφη παροχή ηλεκτρικής ενέργειας; Στο παρελθόν ήταν δυνατή η σύναψη συμβάσεων τόσο με σταθερή τιμή όσο και με μεγάλη διάρκεια. Αυτό προσέφερε υψηλό επίπεδο βεβαιότητας, αλλά δυστυχώς η δυνατότητα αυτή δεν υπάρχει πια.  </w:t>
      </w:r>
    </w:p>
    <w:p w14:paraId="04006B7E" w14:textId="1DB0F26B" w:rsidR="00F16ACA" w:rsidRPr="009F1963" w:rsidRDefault="007733E9" w:rsidP="00C903B7">
      <w:pPr>
        <w:jc w:val="both"/>
        <w:rPr>
          <w:rFonts w:ascii="Arial" w:hAnsi="Arial" w:cs="Arial"/>
        </w:rPr>
      </w:pPr>
      <w:r>
        <w:t xml:space="preserve"> </w:t>
      </w:r>
      <w:r>
        <w:cr/>
      </w:r>
      <w:r>
        <w:rPr>
          <w:rFonts w:ascii="Arial" w:hAnsi="Arial"/>
        </w:rPr>
        <w:t>Οι τρεις κύριες δυνατότητες είναι, επί του παρόντος, οι εξής:</w:t>
      </w:r>
    </w:p>
    <w:p w14:paraId="77ACB456" w14:textId="3D126794" w:rsidR="007733E9" w:rsidRPr="004C0EBD" w:rsidRDefault="007733E9" w:rsidP="0075115D">
      <w:pPr>
        <w:pStyle w:val="ListParagraph"/>
        <w:numPr>
          <w:ilvl w:val="0"/>
          <w:numId w:val="39"/>
        </w:numPr>
        <w:ind w:left="709"/>
        <w:rPr>
          <w:b/>
          <w:bCs/>
        </w:rPr>
      </w:pPr>
      <w:r>
        <w:rPr>
          <w:rFonts w:ascii="Arial" w:hAnsi="Arial"/>
          <w:b/>
          <w:i/>
          <w:color w:val="3DC3C6"/>
        </w:rPr>
        <w:t>Μέσω σύμβασης με προμηθευτή ηλεκτρικής ενέργειας (σε ετήσια βάση)</w:t>
      </w:r>
      <w:r>
        <w:rPr>
          <w:color w:val="3DC3C6"/>
        </w:rPr>
        <w:t xml:space="preserve"> </w:t>
      </w:r>
      <w:r>
        <w:rPr>
          <w:color w:val="3DC3C6"/>
        </w:rPr>
        <w:br/>
      </w:r>
      <w:r>
        <w:rPr>
          <w:rFonts w:ascii="Arial" w:hAnsi="Arial"/>
        </w:rPr>
        <w:t xml:space="preserve">Μπορείτε να ζητήσετε από διάφορους προμηθευτές ηλεκτρικής ενέργειας τη σύναψη τυποποιημένης σταθερής σύμβασης τόσο για κατανάλωση όσο και για αντίστροφη προμήθεια. Η διάρκεια είναι συνήθως ένα έτος. Είναι αβέβαιος ο τρόπος με τον οποίο </w:t>
      </w:r>
      <w:r>
        <w:rPr>
          <w:rFonts w:ascii="Arial" w:hAnsi="Arial"/>
        </w:rPr>
        <w:lastRenderedPageBreak/>
        <w:t>θα εξελιχθούν οι πληρωμές για αντίστροφη προμήθεια κατά τα επόμενα έτη. Ενδεικτική τιμή αντίστροφης προμήθειας για το καλοκαίρι του 2023, για τις μεγαλύτερες φωτοβολταϊκές εγκαταστάσεις (&gt; 100 kWp): 3-5 λεπτά/kWh</w:t>
      </w:r>
      <w:r>
        <w:t xml:space="preserve"> </w:t>
      </w:r>
      <w:r>
        <w:cr/>
      </w:r>
    </w:p>
    <w:p w14:paraId="36DEA566" w14:textId="431324CE" w:rsidR="007733E9" w:rsidRPr="004C0EBD" w:rsidRDefault="007733E9" w:rsidP="0075115D">
      <w:pPr>
        <w:pStyle w:val="ListParagraph"/>
        <w:numPr>
          <w:ilvl w:val="0"/>
          <w:numId w:val="40"/>
        </w:numPr>
        <w:ind w:left="709"/>
      </w:pPr>
      <w:r>
        <w:rPr>
          <w:rFonts w:ascii="Arial" w:hAnsi="Arial"/>
          <w:b/>
          <w:i/>
          <w:color w:val="3DC3C6"/>
        </w:rPr>
        <w:t>Μέσω «δυναμικής» σύμβασης με προμηθευτή ηλεκτρικής ενέργειας</w:t>
      </w:r>
      <w:r w:rsidR="00E0736F" w:rsidRPr="00175EA5">
        <w:rPr>
          <w:color w:val="3DC3C6"/>
        </w:rPr>
        <w:br/>
      </w:r>
      <w:r>
        <w:rPr>
          <w:rFonts w:ascii="Arial" w:hAnsi="Arial"/>
        </w:rPr>
        <w:t>Ορισμένοι προμηθευτές ηλεκτρικής ενέργειας</w:t>
      </w:r>
      <w:r w:rsidRPr="009F1963">
        <w:rPr>
          <w:rStyle w:val="FootnoteReference"/>
          <w:rFonts w:ascii="Arial" w:hAnsi="Arial" w:cs="Arial"/>
        </w:rPr>
        <w:footnoteReference w:id="3"/>
      </w:r>
      <w:r>
        <w:rPr>
          <w:rFonts w:ascii="Arial" w:hAnsi="Arial"/>
        </w:rPr>
        <w:t xml:space="preserve"> προσφέρουν δυνατότητα σύναψης «δυναμικής» σύμβασης, στο πλαίσιο της οποίας η τιμή ανά kWh διαφέρει ανά ώρα. Η βάση της ωριαίας τιμής είναι η τιμή επόμενης ημέρας της European Power Exchange (EPEX) και μια προσαύξηση.</w:t>
      </w:r>
      <w:r>
        <w:t xml:space="preserve">  </w:t>
      </w:r>
      <w:r>
        <w:cr/>
      </w:r>
      <w:r>
        <w:br/>
      </w:r>
      <w:r>
        <w:rPr>
          <w:rFonts w:ascii="Arial" w:hAnsi="Arial"/>
        </w:rPr>
        <w:t xml:space="preserve">Σημείωση: ενίοτε οι τιμές αυτές είναι αρνητικές και θα πρέπει να </w:t>
      </w:r>
      <w:r>
        <w:rPr>
          <w:rFonts w:ascii="Arial" w:hAnsi="Arial"/>
          <w:i/>
        </w:rPr>
        <w:t>πληρώσετε</w:t>
      </w:r>
      <w:r>
        <w:rPr>
          <w:rFonts w:ascii="Arial" w:hAnsi="Arial"/>
        </w:rPr>
        <w:t xml:space="preserve"> σε περίπτωση αντίστροφης προμήθειας ηλεκτρικής ενέργειας.  </w:t>
      </w:r>
      <w:r>
        <w:rPr>
          <w:rFonts w:ascii="Arial" w:hAnsi="Arial"/>
        </w:rPr>
        <w:cr/>
        <w:t>Από τον Ιανουάριο έως το τέλος Ιουλίου 2023, αυτό έχει ήδη συμβεί για 212 ώρες —συχνά περίπου το μεσημέρι. Προκειμένου να αποφευχθούν οι πληρωμές για αντίστροφη προμήθεια ενέργειας, μπορεί να τοποθετηθεί διάταξη που τερματίζει τη λειτουργία των μετατροπέων κατά τις ώρες που η τιμή της ενέργειας είναι αρνητική. Κατά τη διάρκεια των ωρών με θετική τιμή ενέργειας, θα λαμβάνετε συνήθως σημαντικά υψηλότερη τιμή από την προαναφερθείσα σταθερή αμοιβή για αντίστροφη προμήθεια.</w:t>
      </w:r>
      <w:r>
        <w:br/>
      </w:r>
    </w:p>
    <w:p w14:paraId="1040FDE9" w14:textId="1FAEB21E" w:rsidR="00D424A6" w:rsidRPr="004C0EBD" w:rsidRDefault="005465FD" w:rsidP="0075115D">
      <w:pPr>
        <w:pStyle w:val="ListParagraph"/>
        <w:numPr>
          <w:ilvl w:val="0"/>
          <w:numId w:val="41"/>
        </w:numPr>
        <w:ind w:left="709" w:hanging="283"/>
      </w:pPr>
      <w:r>
        <w:rPr>
          <w:rFonts w:ascii="Arial" w:hAnsi="Arial"/>
          <w:b/>
          <w:i/>
          <w:color w:val="3DC3C6"/>
        </w:rPr>
        <w:t>Αυτοματοποιημένη διαπραγμάτευση στην αγορά EPEX επόμενης ημέρας και στην αγορά ανισορροπιών</w:t>
      </w:r>
      <w:r>
        <w:br/>
        <w:t>Υπάρχει επίσης δυνατότητα σύναψης σύμβασης με πλατφόρμα διαπραγμάτευσης</w:t>
      </w:r>
      <w:r w:rsidRPr="004C0EBD">
        <w:rPr>
          <w:rStyle w:val="FootnoteReference"/>
        </w:rPr>
        <w:footnoteReference w:id="4"/>
      </w:r>
      <w:r>
        <w:t xml:space="preserve">. Οι εταιρείες συναλλάσσονται (συνήθως με αυτοματοποιημένο τρόπο) μέσω του δικού τους λογισμικού τόσο στην αγορά EPEX επόμενης ημέρας όσο και στην ενδοημερήσια αγορά / αγορά ανισορροπιών. Για τον σκοπό αυτό, τοποθετούν μια διάταξη που μπορεί να ενεργοποιεί ή να απενεργοποιεί τους μετατροπείς· η λύση αυτή είναι διαθέσιμη για έργα που υπερβαίνουν ένα ορισμένο μέγεθος. </w:t>
      </w:r>
    </w:p>
    <w:p w14:paraId="7C9836F6" w14:textId="794DEEFC" w:rsidR="00C903B7" w:rsidRPr="004C0EBD" w:rsidRDefault="00C903B7" w:rsidP="009F1963">
      <w:pPr>
        <w:pStyle w:val="BodyText1"/>
        <w:rPr>
          <w:rFonts w:cs="Calibri"/>
        </w:rPr>
      </w:pPr>
      <w:r>
        <w:t>Στο πλαίσιο όλων των επιλογών, μπορεί να είναι χρήσιμη η κατανομή του φωτοβολταϊκού συστήματος σε δύο συνδέσεις δικτύου: στην κύρια σύνδεση και σε μια δεύτερη σύνδεση [η επιλογή MLOEA — (Meerdere Leveranciers Op Één Aansluiting), δηλ. «πολλοί προμηθευτές σε μια ενιαία σύνδεση»]. Όλη η ιδιοκατανάλωση προέρχεται από την κύρια σύνδεση, ενώ το πλεόνασμα διοχετεύεται στη δεύτερη σύνδεση. Με τη σύναψη δύο διαφορετικών συμβάσεων (με διαφορετικές εταιρείες ενέργειας), μπορείτε να επιτύχετε υψηλότερη τιμή.</w:t>
      </w:r>
    </w:p>
    <w:p w14:paraId="3E5405FD" w14:textId="77777777" w:rsidR="00C903B7" w:rsidRPr="004C0EBD" w:rsidRDefault="00C903B7" w:rsidP="00C903B7"/>
    <w:p w14:paraId="5C05686E" w14:textId="3A55C9CC" w:rsidR="00C903B7" w:rsidRPr="004C0EBD" w:rsidRDefault="00444DFF" w:rsidP="00094DE4">
      <w:pPr>
        <w:pStyle w:val="MH3"/>
      </w:pPr>
      <w:bookmarkStart w:id="130" w:name="_Toc180507851"/>
      <w:r>
        <w:t>5.1 Επιδοτήσεις</w:t>
      </w:r>
      <w:bookmarkEnd w:id="130"/>
    </w:p>
    <w:p w14:paraId="4023D4DB" w14:textId="344ECD8A" w:rsidR="00CE2638" w:rsidRPr="004C0EBD" w:rsidRDefault="00CE2638" w:rsidP="009F1963">
      <w:pPr>
        <w:pStyle w:val="BodyText1"/>
      </w:pPr>
      <w:r>
        <w:t>Τα κύρια καθεστώτα επιδοτήσεων είναι τα εξής:</w:t>
      </w:r>
    </w:p>
    <w:p w14:paraId="4C3E4F77" w14:textId="2562C029" w:rsidR="001F2F97" w:rsidRPr="004C0EBD" w:rsidRDefault="001F2F97" w:rsidP="0075115D">
      <w:pPr>
        <w:pStyle w:val="ListParagraph"/>
        <w:numPr>
          <w:ilvl w:val="0"/>
          <w:numId w:val="42"/>
        </w:numPr>
        <w:ind w:left="709" w:hanging="283"/>
        <w:rPr>
          <w:b/>
          <w:bCs/>
          <w:i/>
          <w:iCs/>
        </w:rPr>
      </w:pPr>
      <w:r>
        <w:rPr>
          <w:rFonts w:ascii="Arial" w:hAnsi="Arial"/>
          <w:b/>
          <w:i/>
          <w:color w:val="3DC3C6"/>
        </w:rPr>
        <w:t>Σύστημα καθαρής μέτρησης</w:t>
      </w:r>
      <w:r w:rsidR="00E0736F" w:rsidRPr="00175EA5">
        <w:rPr>
          <w:rFonts w:ascii="Arial" w:hAnsi="Arial"/>
          <w:b/>
          <w:i/>
          <w:color w:val="3DC3C6"/>
        </w:rPr>
        <w:br/>
      </w:r>
      <w:r>
        <w:rPr>
          <w:rFonts w:ascii="Arial" w:hAnsi="Arial"/>
        </w:rPr>
        <w:t xml:space="preserve">Το σύστημα καθαρής μέτρησης (Salderingsregeling) εφαρμόζεται όχι μόνο σε ιδιώτες, αλλά και σε πολλές εταιρείες, αθλητικά κέντρα, γραφεία κ.λπ. Προϋπόθεση αποτελεί η ύπαρξη «σύνδεσης μικρής κατανάλωσης», δηλ. σύνδεση με το δίκτυο με δυναμικότητα μικρότερη από 3 x 80A. Το καθεστώς αυτό θα καταργηθεί σταδιακά από το 2026. </w:t>
      </w:r>
    </w:p>
    <w:p w14:paraId="3D58BEB9" w14:textId="3AD00E32"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lastRenderedPageBreak/>
        <w:t>SDE++</w:t>
      </w:r>
      <w:r>
        <w:rPr>
          <w:color w:val="3DC3C6"/>
        </w:rPr>
        <w:t xml:space="preserve"> </w:t>
      </w:r>
      <w:r>
        <w:rPr>
          <w:rFonts w:ascii="Arial" w:hAnsi="Arial"/>
        </w:rPr>
        <w:t xml:space="preserve">Στο πλαίσιο του καθεστώτος επιδοτήσεων SDE++, η κυβέρνηση εγγυάται ελάχιστη τιμή για την προμήθεια ηλεκτρικής ενέργειας στο δίκτυο ανανεώσιμων πηγών ενέργειας. </w:t>
      </w:r>
      <w:r>
        <w:rPr>
          <w:rFonts w:ascii="Arial" w:hAnsi="Arial"/>
        </w:rPr>
        <w:br/>
        <w:t>Οι περισσότερες μεγαλύτερες φωτοβολταϊκές εγκαταστάσεις, τόσο στις στέγες όσο και στη γη, χρησιμοποιούν αυτό το καθεστώς, χάρη στο οποίο οι Κάτω Χώρες συγκαταλέγονται σήμερα στις 3 κορυφαίες χώρες παγκοσμίως όσον αφορά την κατά κεφαλήν δυναμικότητα παραγωγής.</w:t>
      </w:r>
      <w:r>
        <w:rPr>
          <w:rFonts w:ascii="Arial" w:hAnsi="Arial"/>
        </w:rPr>
        <w:br/>
        <w:t xml:space="preserve">Σε ποιους απευθύνεται αυτό το καθεστώς;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Σύνδεση με το δίκτυο τουλάχιστον 3 x 80A</w:t>
      </w:r>
    </w:p>
    <w:p w14:paraId="289046AB" w14:textId="5ABD54FA" w:rsidR="001F2F97" w:rsidRPr="004C0EBD" w:rsidRDefault="00295EA1" w:rsidP="0075115D">
      <w:pPr>
        <w:pStyle w:val="ListParagraph"/>
        <w:numPr>
          <w:ilvl w:val="1"/>
          <w:numId w:val="3"/>
        </w:numPr>
        <w:rPr>
          <w:b/>
          <w:bCs/>
          <w:i/>
          <w:iCs/>
        </w:rPr>
      </w:pPr>
      <w:r>
        <w:rPr>
          <w:rFonts w:ascii="Arial" w:hAnsi="Arial"/>
        </w:rPr>
        <w:t>Εξαιρούνται οι οργανισμοί της κεντρικής κυβέρνησης</w:t>
      </w:r>
      <w:r>
        <w:t xml:space="preserve">  </w:t>
      </w:r>
      <w:r>
        <w:cr/>
      </w:r>
    </w:p>
    <w:p w14:paraId="5A57A0C9" w14:textId="031385E6" w:rsidR="00F16ACA" w:rsidRPr="004C0EBD" w:rsidRDefault="00CE2638" w:rsidP="0075115D">
      <w:pPr>
        <w:pStyle w:val="ListParagraph"/>
        <w:numPr>
          <w:ilvl w:val="0"/>
          <w:numId w:val="43"/>
        </w:numPr>
        <w:rPr>
          <w:b/>
          <w:bCs/>
          <w:i/>
          <w:iCs/>
        </w:rPr>
      </w:pPr>
      <w:r>
        <w:rPr>
          <w:rFonts w:ascii="Arial" w:hAnsi="Arial"/>
          <w:b/>
          <w:i/>
          <w:color w:val="3DC3C6"/>
        </w:rPr>
        <w:t>Καθεστώς μειωμένου συντελεστή (Postcoderoos)/ καθεστώς SCE</w:t>
      </w:r>
      <w:r>
        <w:br/>
        <w:t xml:space="preserve">Το καθεστώς «Subsidieregeling Coöperatieve Energieopwekking» [καθεστώς επιδοτήσεων για συνεργατική παραγωγή ενέργειας] παρέχει σε γείτονες δυνατότητα από κοινού υλοποίησης φωτοβολταϊκού έργου σε μια μεγάλη οροφή.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EIA/MIA/VAMIL</w:t>
      </w:r>
      <w:r>
        <w:rPr>
          <w:rFonts w:ascii="Arial" w:hAnsi="Arial"/>
          <w:color w:val="3DC3C6"/>
        </w:rPr>
        <w:t xml:space="preserve"> </w:t>
      </w:r>
      <w:r>
        <w:rPr>
          <w:rFonts w:ascii="Arial" w:hAnsi="Arial"/>
        </w:rPr>
        <w:t>Τα καθεστώτα αυτά ενθαρρύνουν τις εταιρείες να βελτιώσουν τη βιωσιμότητά τους μέσω φορολογικών κινήτρων, για παράδειγμα μέσω επιτάχυνσης της απόσβεσης των επενδύσεων που γίνονται για την υλοποίηση μέτρων βελτίωσης της βιωσιμότητας.</w:t>
      </w:r>
      <w:r>
        <w:t xml:space="preserve"> </w:t>
      </w:r>
    </w:p>
    <w:p w14:paraId="279AD331" w14:textId="77777777" w:rsidR="004343AC" w:rsidRPr="004C0EBD" w:rsidRDefault="004343AC" w:rsidP="00A3595E"/>
    <w:p w14:paraId="63966417" w14:textId="2698432D" w:rsidR="006A5081" w:rsidRPr="004C0EBD" w:rsidRDefault="00444DFF" w:rsidP="00094DE4">
      <w:pPr>
        <w:pStyle w:val="MH3"/>
      </w:pPr>
      <w:bookmarkStart w:id="131" w:name="_Toc180507852"/>
      <w:r>
        <w:t>5.2 Χρηματοδότηση</w:t>
      </w:r>
      <w:bookmarkEnd w:id="131"/>
    </w:p>
    <w:p w14:paraId="6A71FF93" w14:textId="3DBBFC7F" w:rsidR="004A7C5B" w:rsidRPr="004C0EBD" w:rsidRDefault="005E16E5" w:rsidP="009F1963">
      <w:pPr>
        <w:pStyle w:val="BodyText1"/>
      </w:pPr>
      <w:r>
        <w:t>Για τα περισσότερα έργα φωτοβολταϊκών σε στέγες, ο ιδιοκτήτης ή ο ενοικιαστής του κτιρίου είναι επίσης ιδιοκτήτης του φωτοβολταϊκού συστήματος</w:t>
      </w:r>
      <w:r w:rsidRPr="004C0EBD">
        <w:rPr>
          <w:rStyle w:val="FootnoteReference"/>
        </w:rPr>
        <w:footnoteReference w:id="5"/>
      </w:r>
      <w:r>
        <w:t xml:space="preserve">. Αυτό εγείρει το ζήτημα του πώς θα χρηματοδοτηθεί το έργο· πλήρης αυτοχρηματοδότηση μέσω ιδίων πόρων ή εν μέρει μέσω εξωτερικών χρηματοδοτών. Η εξωτερική χρηματοδοτική στήριξη προϋποθέτει ένα χρηματοοικονομικό μοντέλο για το έργο φωτοβολταϊκών, το οποίο θα καθορίζει τα έσοδα και τις δαπάνες, τα υπόλοιπα και τις ταμειακές ροές κατά τη διάρκεια του έργου. </w:t>
      </w:r>
    </w:p>
    <w:p w14:paraId="480BD65A" w14:textId="36B7E20C" w:rsidR="00077532" w:rsidRDefault="004A7C5B" w:rsidP="00A3595E">
      <w:pPr>
        <w:rPr>
          <w:rFonts w:ascii="Arial" w:hAnsi="Arial" w:cs="Arial"/>
        </w:rPr>
      </w:pPr>
      <w:r>
        <w:rPr>
          <w:rFonts w:ascii="Arial" w:hAnsi="Arial"/>
        </w:rPr>
        <w:t xml:space="preserve">Υπάρχουν δύο κατηγορίες χρηματοδότησης, καθεμία με διαφορετικούς κινδύνους και αποδόσεις: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Μέσω δανείου — χαμηλός κίνδυνος και χαμηλή απόδοση</w:t>
      </w:r>
    </w:p>
    <w:p w14:paraId="1E0F514C" w14:textId="0BC63D2F" w:rsidR="00077532" w:rsidRDefault="004A7C5B" w:rsidP="00E0736F">
      <w:pPr>
        <w:ind w:left="360"/>
        <w:jc w:val="both"/>
        <w:rPr>
          <w:rFonts w:ascii="Arial" w:hAnsi="Arial" w:cs="Arial"/>
        </w:rPr>
      </w:pPr>
      <w:r>
        <w:rPr>
          <w:rFonts w:ascii="Arial" w:hAnsi="Arial"/>
          <w:color w:val="3DC3C6"/>
          <w:sz w:val="2"/>
        </w:rPr>
        <w:t xml:space="preserve"> </w:t>
      </w:r>
      <w:r>
        <w:rPr>
          <w:rFonts w:ascii="Arial" w:hAnsi="Arial"/>
        </w:rPr>
        <w:t xml:space="preserve">Ανάλογα με το μέγεθος του έργου και τον χρηματοδότη, ποσοστό 70-90 % μπορεί να δοθεί με τη μορφή δανείου, συχνά με χαμηλό επιτόκιο (2-5 %). Αυτό σημαίνει ότι εσείς θα πρέπει να βρείτε προκαταβολικά μόνο το 10-30 % του κόστους του έργου. Τα έσοδα του έργου θα διατεθούν πρώτα στον πάροχο του δανείου. </w:t>
      </w:r>
      <w:r>
        <w:rPr>
          <w:rFonts w:ascii="Arial" w:hAnsi="Arial"/>
        </w:rPr>
        <w:cr/>
      </w:r>
      <w:r>
        <w:rPr>
          <w:rFonts w:ascii="Arial" w:hAnsi="Arial"/>
        </w:rPr>
        <w:br/>
        <w:t xml:space="preserve">Τυπικές προϋποθέσεις: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Ελάχιστο ποσό: 1 εκατ. EUR</w:t>
      </w:r>
    </w:p>
    <w:p w14:paraId="59AF5B5B" w14:textId="17384208" w:rsidR="007A5646" w:rsidRPr="007A5646" w:rsidRDefault="00077532" w:rsidP="007A5646">
      <w:pPr>
        <w:ind w:left="1418" w:firstLine="142"/>
        <w:jc w:val="both"/>
        <w:rPr>
          <w:rFonts w:ascii="Arial" w:hAnsi="Arial" w:cs="Arial"/>
        </w:rPr>
      </w:pPr>
      <w:r>
        <w:rPr>
          <w:rFonts w:ascii="Arial" w:hAnsi="Arial"/>
        </w:rPr>
        <w:t xml:space="preserve">Οι χρηματοδότες απαιτούν συχνά ελάχιστο μέγεθος, διότι ένα δάνειο για έργο φωτοβολταϊκών συνεπάγεται μεγάλο όγκο εργασιών. Πρέπει να ελεγχθούν όλες οι οικονομικές και τεχνικές λεπτομέρειες και να αξιολογηθούν οι συμβάσεις. Δεν </w:t>
      </w:r>
      <w:r>
        <w:rPr>
          <w:rFonts w:ascii="Arial" w:hAnsi="Arial"/>
        </w:rPr>
        <w:lastRenderedPageBreak/>
        <w:t xml:space="preserve">πρόκειται για αυτοματοποιημένη διαδικασία και εξακολουθεί να είναι υψηλής έντασης εργασίας. Γι’ αυτό τον λόγο οι χρηματοδότες απαιτούν ελάχιστο μέγεθος δανείου για ένα έργο (ή για περισσότερα από ένα συνδυασμένα έργα του ίδιου ιδιοκτήτη).   </w:t>
      </w:r>
    </w:p>
    <w:p w14:paraId="13769C01" w14:textId="1167E455" w:rsidR="00077532" w:rsidRPr="007A5646" w:rsidRDefault="00077532" w:rsidP="007A5646">
      <w:pPr>
        <w:ind w:left="1133"/>
        <w:jc w:val="both"/>
        <w:rPr>
          <w:rFonts w:ascii="Arial" w:hAnsi="Arial" w:cs="Arial"/>
        </w:rPr>
      </w:pP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Πρόσθετες απαιτήσεις</w:t>
      </w:r>
    </w:p>
    <w:p w14:paraId="5F37BD1B" w14:textId="35C178CD" w:rsidR="007A5646" w:rsidRPr="007A5646" w:rsidRDefault="004176E3" w:rsidP="007A5646">
      <w:pPr>
        <w:ind w:left="1418"/>
        <w:jc w:val="both"/>
        <w:rPr>
          <w:rFonts w:ascii="Arial" w:hAnsi="Arial" w:cs="Arial"/>
          <w:i/>
          <w:iCs/>
        </w:rPr>
      </w:pPr>
      <w:r>
        <w:rPr>
          <w:rFonts w:ascii="Arial" w:hAnsi="Arial"/>
        </w:rPr>
        <w:t xml:space="preserve">Η συμμετοχή εξωτερικών χρηματοδοτών συχνά συνεπάγεται τον καθορισμό πρόσθετων απαιτήσεων από αυτούς για την ελαχιστοποίηση του κινδύνου. Για παράδειγμα, ορισμένες τράπεζες θα χρηματοδοτούν μόνο φωτοβολταϊκές συστοιχίες από προμηθευτές «1ης βαθμίδας» σύμφωνα με τον ερευνητικό οργανισμό BNEF· η «1η βαθμίδα» αποτελεί ένδειξη μόνο της οικονομικής κατάστασης, χωρίς να αξιολογείται τίποτα σχετικά με την ποιότητα ή τη βιωσιμότητα (της εγκατάστασης). </w:t>
      </w:r>
    </w:p>
    <w:p w14:paraId="5C20AE65" w14:textId="4A6F9729" w:rsidR="004176E3" w:rsidRPr="007A5646" w:rsidRDefault="004176E3" w:rsidP="007A5646">
      <w:pPr>
        <w:ind w:left="1133"/>
        <w:jc w:val="both"/>
        <w:rPr>
          <w:rFonts w:ascii="Arial" w:hAnsi="Arial" w:cs="Arial"/>
          <w:i/>
          <w:iCs/>
        </w:rPr>
      </w:pP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Ως μέτοχος — κεφάλαιο επιχειρηματικού κινδύνου</w:t>
      </w:r>
    </w:p>
    <w:p w14:paraId="79BEA158" w14:textId="2E85D1F3" w:rsidR="007A5646" w:rsidRDefault="00CE2638" w:rsidP="007A5646">
      <w:pPr>
        <w:ind w:left="426" w:hanging="66"/>
        <w:jc w:val="both"/>
        <w:rPr>
          <w:rFonts w:ascii="Arial" w:hAnsi="Arial" w:cs="Arial"/>
        </w:rPr>
      </w:pPr>
      <w:r>
        <w:rPr>
          <w:rFonts w:ascii="Arial" w:hAnsi="Arial"/>
        </w:rPr>
        <w:t xml:space="preserve">Εάν μια τράπεζα χορηγήσει δάνειο, αυτό συχνά καλύπτει το 70-90 % του κόστους του έργου.  </w:t>
      </w:r>
      <w:r>
        <w:rPr>
          <w:rFonts w:ascii="Arial" w:hAnsi="Arial"/>
        </w:rPr>
        <w:br/>
        <w:t xml:space="preserve">Το υπόλοιπο 10-30 % θεωρείται κεφάλαιο επιχειρηματικού κινδύνου. Αυτό θα είναι το πρώτο που θα χρησιμοποιηθεί σε περίπτωση προβλημάτων ή εάν τα έσοδα υπολείπονται των προσδοκιών. </w:t>
      </w:r>
    </w:p>
    <w:p w14:paraId="0843FA2F" w14:textId="6890322B" w:rsidR="007A5646" w:rsidRDefault="00CE2638" w:rsidP="007A5646">
      <w:pPr>
        <w:ind w:left="426" w:hanging="66"/>
        <w:jc w:val="both"/>
        <w:rPr>
          <w:rFonts w:ascii="Arial" w:hAnsi="Arial" w:cs="Arial"/>
        </w:rPr>
      </w:pPr>
      <w:r>
        <w:rPr>
          <w:rFonts w:ascii="Arial" w:hAnsi="Arial"/>
        </w:rPr>
        <w:t xml:space="preserve">  </w:t>
      </w:r>
      <w:r>
        <w:rPr>
          <w:rFonts w:ascii="Arial" w:hAnsi="Arial"/>
        </w:rPr>
        <w:br/>
        <w:t>Οι φορείς υλοποίησης έργων ή οι εταιρείες ΣΕΑ συχνά θα συνεισφέρουν μέρος των απαιτούμενων ιδίων κεφαλαίων· αυτό σημαίνει ότι αναλαμβάνουν επίσης τον βασικό κίνδυνο σε περίπτωση απογοητευτικών αποτελεσμάτων. Με αυτόν τον τρόπο, προσδίδουν μεγαλύτερη αξιοπιστία στο γεγονός ότι το έργο έχει ολοκληρωθεί σωστά.</w:t>
      </w:r>
    </w:p>
    <w:p w14:paraId="14563404" w14:textId="7EE19108"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br/>
        <w:t xml:space="preserve">Εκτός από τους φορείς υλοποίησης έργων, υπάρχουν επίσης διάφοροι χρηματοδότες που επιθυμούν να βοηθήσουν, για παράδειγμα, μέσω πληθοχρηματοδότησης ή ορισμένων επενδυτικών κεφαλαίων. </w:t>
      </w:r>
    </w:p>
    <w:p w14:paraId="17A2033D" w14:textId="3E2545BE" w:rsidR="00077532" w:rsidRPr="007A5646" w:rsidRDefault="007A5646" w:rsidP="00A3595E">
      <w:pPr>
        <w:rPr>
          <w:rFonts w:ascii="Arial" w:hAnsi="Arial" w:cs="Arial"/>
        </w:rPr>
      </w:pPr>
      <w:r>
        <w:rPr>
          <w:rFonts w:ascii="Arial" w:hAnsi="Arial"/>
          <w:noProof/>
          <w:color w:val="3DC3C6"/>
        </w:rPr>
        <w:lastRenderedPageBreak/>
        <mc:AlternateContent>
          <mc:Choice Requires="wps">
            <w:drawing>
              <wp:anchor distT="0" distB="0" distL="114300" distR="114300" simplePos="0" relativeHeight="251669504" behindDoc="0" locked="0" layoutInCell="1" allowOverlap="1" wp14:anchorId="398ECF67" wp14:editId="51715E58">
                <wp:simplePos x="0" y="0"/>
                <wp:positionH relativeFrom="column">
                  <wp:posOffset>7620</wp:posOffset>
                </wp:positionH>
                <wp:positionV relativeFrom="paragraph">
                  <wp:posOffset>915035</wp:posOffset>
                </wp:positionV>
                <wp:extent cx="5953125" cy="4523740"/>
                <wp:effectExtent l="0" t="0" r="28575" b="10160"/>
                <wp:wrapTopAndBottom/>
                <wp:docPr id="1864413992" name="Tekstvak 2"/>
                <wp:cNvGraphicFramePr/>
                <a:graphic xmlns:a="http://schemas.openxmlformats.org/drawingml/2006/main">
                  <a:graphicData uri="http://schemas.microsoft.com/office/word/2010/wordprocessingShape">
                    <wps:wsp>
                      <wps:cNvSpPr txBox="1"/>
                      <wps:spPr>
                        <a:xfrm>
                          <a:off x="0" y="0"/>
                          <a:ext cx="5953125" cy="4523740"/>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Σημαντικοί κίνδυνοι που συνδέονται με τα έργα φωτοβολταϊκών: Πυρκαγιά</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Οι σύνδεσμοι αποτελούν συχνά αιτία πυρκαγιάς στις φωτοβολταϊκές εγκαταστάσεις. Για παράδειγμα, εάν ο αρσενικός και ο θηλυκός σύνδεσμος σε καλώδιο ΣΡ είναι και οι δύο τύπου MC4 αλλά κατασκευάζονται από διαφορετικούς κατασκευαστές. Ή εάν έχει τοποθετηθεί στο καλώδιο ένας σύνδεσμος με λάθος τρόπο. Ενίοτε, πιάνει φωτιά η επένδυση της στέγης και μπορεί να προκληθούν ζημιές στο κτίριο και στο περιεχόμενό του λόγω πυρκαγιάς ή καπνού. Λόγω του συνεχούς ρεύματος στα καλώδια ΣΡ (μεταξύ των ηλιακών συλλεκτών και του μετατροπέα), εάν προκληθεί ηλεκτρικό τόξο, αυτό δεν αντιμετωπίζεται γρήγορα με αυτόματο τρόπο.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Το ηλεκτρικό τόξο μπορεί να προκαλέσει εξαιρετικά υψηλές θερμοκρασίες στους συνδέσμους και τήξη στην επένδυση της στέγης, καθώς και, στη συνέχεια, ανάφλεξη εύφλεκτων μονωτικών υλικών (όπως του διογκωμένου πολυστυρενίου). </w:t>
                            </w:r>
                            <w:r>
                              <w:rPr>
                                <w:rFonts w:ascii="Arial" w:hAnsi="Arial"/>
                              </w:rPr>
                              <w:t xml:space="preserve"> </w:t>
                            </w:r>
                            <w:r>
                              <w:rPr>
                                <w:rFonts w:ascii="Arial" w:hAnsi="Arial"/>
                              </w:rPr>
                              <w:cr/>
                            </w:r>
                            <w:r>
                              <w:rPr>
                                <w:rFonts w:ascii="Arial" w:hAnsi="Arial"/>
                              </w:rPr>
                              <w:br/>
                            </w:r>
                            <w:r>
                              <w:rPr>
                                <w:rFonts w:ascii="Arial" w:hAnsi="Arial"/>
                                <w:sz w:val="20"/>
                              </w:rPr>
                              <w:t xml:space="preserve">Αυτού του είδους οι πυρκαγιές στις στέγες είναι δύσκολο να σβήσουν και μπορεί να καταστραφεί ολόκληρο το κτίριο.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Ορισμένες λύσεις στο θέμα αυτό είναι οι εξής: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σύστημα ανίχνευσης ηλεκτρικού τόξου με αυτόματο τερματισμό λειτουργίας (παρατίθεται στο υπόδειγμα με τις απαιτήσεις)</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πυράντοχα φύλλα (όπως Solardec) και υλικά επικάλυψης (όπως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πυράντοχο περίβλημα συνδέσμων (όπως ArcBox).</w:t>
                            </w:r>
                          </w:p>
                          <w:p w14:paraId="68E8D737" w14:textId="77777777" w:rsidR="007167EB" w:rsidRPr="007A5646" w:rsidRDefault="007167EB" w:rsidP="007167EB">
                            <w:pPr>
                              <w:jc w:val="both"/>
                              <w:rPr>
                                <w:rFonts w:ascii="Arial" w:hAnsi="Arial" w:cs="Arial"/>
                              </w:rPr>
                            </w:pPr>
                            <w:r>
                              <w:rPr>
                                <w:rFonts w:ascii="Arial" w:hAnsi="Arial"/>
                              </w:rPr>
                              <w:t>Άλλα μέτρα είναι επίσης σημαντικά για την ελαχιστοποίηση του κινδύνου πυρκαγιάς: οι σωστοί σύνδεσμοι· η σωστή εγκατάσταση των συνδέσμων· το μέγεθος των καλωδίων· διαχείριση των καλωδίων· συντήρηση και παρακολούθηση κ.λπ.</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6pt;margin-top:72.05pt;width:468.75pt;height:356.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Σημαντικοί κίνδυνοι που συνδέονται με τα έργα φωτοβολταϊκών: Πυρκαγιά</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Οι σύνδεσμοι αποτελούν συχνά αιτία πυρκαγιάς στις φωτοβολταϊκές εγκαταστάσεις. Για παράδειγμα, εάν ο αρσενικός και ο θηλυκός σύνδεσμος σε καλώδιο ΣΡ είναι και οι δύο τύπου MC4 αλλά κατασκευάζονται από διαφορετικούς κατασκευαστές. Ή εάν έχει τοποθετηθεί στο καλώδιο ένας σύνδεσμος με λάθος τρόπο. Ενίοτε, πιάνει φωτιά η επένδυση της στέγης και μπορεί να προκληθούν ζημιές στο κτίριο και στο περιεχόμενό του λόγω πυρκαγιάς ή καπνού. Λόγω του συνεχούς ρεύματος στα καλώδια ΣΡ (μεταξύ των ηλιακών συλλεκτών και του μετατροπέα), εάν προκληθεί ηλεκτρικό τόξο, αυτό δεν αντιμετωπίζεται γρήγορα με αυτόματο τρόπο.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Το ηλεκτρικό τόξο μπορεί να προκαλέσει εξαιρετικά υψηλές θερμοκρασίες στους συνδέσμους και τήξη στην επένδυση της στέγης, καθώς και, στη συνέχεια, ανάφλεξη εύφλεκτων μονωτικών υλικών (όπως του διογκωμένου πολυστυρενίου). </w:t>
                      </w:r>
                      <w:r>
                        <w:rPr>
                          <w:rFonts w:ascii="Arial" w:hAnsi="Arial"/>
                        </w:rPr>
                        <w:t xml:space="preserve"> </w:t>
                      </w:r>
                      <w:r>
                        <w:rPr>
                          <w:rFonts w:ascii="Arial" w:hAnsi="Arial"/>
                        </w:rPr>
                        <w:cr/>
                      </w:r>
                      <w:r>
                        <w:rPr>
                          <w:rFonts w:ascii="Arial" w:hAnsi="Arial"/>
                        </w:rPr>
                        <w:br/>
                      </w:r>
                      <w:r>
                        <w:rPr>
                          <w:rFonts w:ascii="Arial" w:hAnsi="Arial"/>
                          <w:sz w:val="20"/>
                        </w:rPr>
                        <w:t xml:space="preserve">Αυτού του είδους οι πυρκαγιές στις στέγες είναι δύσκολο να σβήσουν και μπορεί να καταστραφεί ολόκληρο το κτίριο.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Ορισμένες λύσεις στο θέμα αυτό είναι οι εξής: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σύστημα ανίχνευσης ηλεκτρικού τόξου με αυτόματο τερματισμό λειτουργίας (παρατίθεται στο υπόδειγμα με τις απαιτήσεις)</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πυράντοχα φύλλα (όπως Solardec) και υλικά επικάλυψης (όπως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πυράντοχο περίβλημα συνδέσμων (όπως ArcBox).</w:t>
                      </w:r>
                    </w:p>
                    <w:p w14:paraId="68E8D737" w14:textId="77777777" w:rsidR="007167EB" w:rsidRPr="007A5646" w:rsidRDefault="007167EB" w:rsidP="007167EB">
                      <w:pPr>
                        <w:jc w:val="both"/>
                        <w:rPr>
                          <w:rFonts w:ascii="Arial" w:hAnsi="Arial" w:cs="Arial"/>
                        </w:rPr>
                      </w:pPr>
                      <w:r>
                        <w:rPr>
                          <w:rFonts w:ascii="Arial" w:hAnsi="Arial"/>
                        </w:rPr>
                        <w:t>Άλλα μέτρα είναι επίσης σημαντικά για την ελαχιστοποίηση του κινδύνου πυρκαγιάς: οι σωστοί σύνδεσμοι· η σωστή εγκατάσταση των συνδέσμων· το μέγεθος των καλωδίων· διαχείριση των καλωδίων· συντήρηση και παρακολούθηση κ.λπ.</w:t>
                      </w:r>
                    </w:p>
                    <w:p w14:paraId="561BE267" w14:textId="479542B4" w:rsidR="007167EB" w:rsidRDefault="007167EB"/>
                  </w:txbxContent>
                </v:textbox>
                <w10:wrap type="topAndBottom"/>
              </v:shape>
            </w:pict>
          </mc:Fallback>
        </mc:AlternateContent>
      </w:r>
      <w:r>
        <w:rPr>
          <w:rStyle w:val="SubtleEmphasis"/>
          <w:rFonts w:ascii="Arial" w:hAnsi="Arial"/>
          <w:color w:val="3DC3C6"/>
        </w:rPr>
        <w:t>Επισκόπηση δυνητικών χρηματοδοτών</w:t>
      </w:r>
      <w:r>
        <w:rPr>
          <w:rFonts w:ascii="Arial" w:hAnsi="Arial"/>
          <w:color w:val="3DC3C6"/>
        </w:rPr>
        <w:t xml:space="preserve"> </w:t>
      </w:r>
      <w:r>
        <w:rPr>
          <w:rFonts w:ascii="Arial" w:hAnsi="Arial"/>
        </w:rPr>
        <w:cr/>
      </w:r>
      <w:r>
        <w:rPr>
          <w:rFonts w:ascii="Arial" w:hAnsi="Arial"/>
        </w:rPr>
        <w:br/>
        <w:t xml:space="preserve">Η Triodos και η ASN Bank, οι μεγάλες εμπορικές τράπεζες, κρατικές τράπεζες όπως η BNG, και πολλά άλλα εξειδικευμένα ταμεία και χρηματοδότες: ανατρέξτε στο </w:t>
      </w:r>
      <w:r>
        <w:rPr>
          <w:rFonts w:ascii="Arial" w:hAnsi="Arial"/>
          <w:b/>
          <w:color w:val="3DC3C6"/>
          <w:u w:val="single"/>
        </w:rPr>
        <w:t>παράρτημα 5</w:t>
      </w:r>
      <w:r>
        <w:rPr>
          <w:rFonts w:ascii="Arial" w:hAnsi="Arial"/>
          <w:color w:val="3DC3C6"/>
        </w:rPr>
        <w:t xml:space="preserve"> </w:t>
      </w:r>
      <w:r>
        <w:rPr>
          <w:rFonts w:ascii="Arial" w:hAnsi="Arial"/>
        </w:rPr>
        <w:t>για κατάλογο χρηματοδοτών</w:t>
      </w:r>
      <w:r>
        <w:rPr>
          <w:rStyle w:val="FootnoteReference"/>
          <w:rFonts w:ascii="Arial" w:hAnsi="Arial"/>
        </w:rPr>
        <w:t>2</w:t>
      </w:r>
      <w:r>
        <w:rPr>
          <w:rFonts w:ascii="Arial" w:hAnsi="Arial"/>
        </w:rPr>
        <w:t>.</w:t>
      </w:r>
    </w:p>
    <w:p w14:paraId="0C149A44" w14:textId="77777777" w:rsidR="00D424A6" w:rsidRPr="004C0EBD" w:rsidRDefault="00D424A6" w:rsidP="00A3595E">
      <w:pPr>
        <w:pStyle w:val="Heading3"/>
      </w:pPr>
    </w:p>
    <w:p w14:paraId="319C0F84" w14:textId="4B0C013C" w:rsidR="006A5081" w:rsidRPr="004C0EBD" w:rsidRDefault="00CD425D" w:rsidP="00094DE4">
      <w:pPr>
        <w:pStyle w:val="MH3"/>
      </w:pPr>
      <w:bookmarkStart w:id="132" w:name="_Toc180507853"/>
      <w:r>
        <w:t>5.3 Ασφάλιση</w:t>
      </w:r>
      <w:bookmarkEnd w:id="132"/>
    </w:p>
    <w:p w14:paraId="7D2C96C5" w14:textId="31310D6D" w:rsidR="00301A85" w:rsidRPr="007A5646" w:rsidRDefault="00681240" w:rsidP="006D0CA6">
      <w:pPr>
        <w:jc w:val="both"/>
        <w:rPr>
          <w:rFonts w:ascii="Arial" w:hAnsi="Arial" w:cs="Arial"/>
        </w:rPr>
      </w:pPr>
      <w:r>
        <w:rPr>
          <w:rFonts w:ascii="Arial" w:hAnsi="Arial"/>
        </w:rPr>
        <w:t>Ανάλογα με την κατάσταση, μπορεί να είναι κατάλληλες διάφορες ασφαλίσεις. Εάν πληρώνετε για το έργο με δικούς σας πόρους, μπορείτε να σταθμίσετε την κατάσταση μόνοι σας. Εάν στο έργο συμμετέχουν τράπεζες ή άλλοι χρηματοδότες, αυτοί σχεδόν πάντα ζητούν ασφάλιση «κατά παντός λειτουργικού κινδύνου» (OAR) και επαρκή ασφάλιση επαγγελματικής ευθύνης (Bedrijfsaansprakelijkheidsverzekering — AVB) από το συμβαλλόμενο μέρος.</w:t>
      </w:r>
    </w:p>
    <w:p w14:paraId="62A7F5F1" w14:textId="77777777" w:rsidR="00301A85" w:rsidRPr="004C0EBD" w:rsidRDefault="00301A85" w:rsidP="00A3595E"/>
    <w:p w14:paraId="48832CD2" w14:textId="57879E66" w:rsidR="00474598" w:rsidRPr="004C0EBD" w:rsidRDefault="00474598" w:rsidP="007A5646">
      <w:pPr>
        <w:pStyle w:val="BodyText1"/>
      </w:pPr>
      <w:r>
        <w:t xml:space="preserve">Ακολουθεί σύντομη περιγραφή των τεσσάρων σχετικών τύπων ασφάλισης.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Για φωτοβολταϊκά συστήματα στη στέγη: Ασφάλεια πυρός </w:t>
      </w:r>
    </w:p>
    <w:p w14:paraId="4B57E2F5" w14:textId="74558B0F" w:rsidR="00293FAD" w:rsidRPr="007A5646" w:rsidRDefault="00681240" w:rsidP="00321C0F">
      <w:pPr>
        <w:jc w:val="both"/>
        <w:rPr>
          <w:rFonts w:ascii="Arial" w:hAnsi="Arial" w:cs="Arial"/>
        </w:rPr>
      </w:pPr>
      <w:r>
        <w:rPr>
          <w:rFonts w:ascii="Arial" w:hAnsi="Arial"/>
        </w:rPr>
        <w:t xml:space="preserve">Τα τελευταία χρόνια έχουν προκληθεί αρκετές πυρκαγιές σε κτίρια λόγω φωτοβολταϊκών εγκαταστάσεων. Τα ασφάλιστρα για την ασφάλιση των κτιρίων και των περιεχομένων αυτών συχνά αυξάνονται λόγω του αυξημένου κινδύνου πυρκαγιάς μετά την τοποθέτηση φωτοβολταϊκών εγκαταστάσεων στη στέγη. Ο ασφαλιστής μπορεί ενίοτε να θέτει πρόσθετες </w:t>
      </w:r>
      <w:r>
        <w:rPr>
          <w:rFonts w:ascii="Arial" w:hAnsi="Arial"/>
        </w:rPr>
        <w:lastRenderedPageBreak/>
        <w:t>απαιτήσεις (π.χ. σύστημα ανίχνευσης ηλεκτρικού τόξου). Οι απαιτήσεις πρέπει να περιλαμβάνονται στην πρόσκληση υποβολής προσφορών ή στην περιγραφή της σύμβασης.</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67A01065">
                <wp:simplePos x="0" y="0"/>
                <wp:positionH relativeFrom="column">
                  <wp:posOffset>7620</wp:posOffset>
                </wp:positionH>
                <wp:positionV relativeFrom="paragraph">
                  <wp:posOffset>94615</wp:posOffset>
                </wp:positionV>
                <wp:extent cx="437515" cy="553085"/>
                <wp:effectExtent l="0" t="0" r="635" b="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53085"/>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6pt;margin-top:7.45pt;width:34.45pt;height:43.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1646368C"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Συμβουλή</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Είναι σημαντικό να διερευνηθεί το κόστος των νέων ή προσαρμοσμένων ασφαλιστηρίων συμβολαίων </w:t>
      </w:r>
      <w:r>
        <w:rPr>
          <w:rFonts w:ascii="Arial" w:hAnsi="Arial"/>
          <w:b/>
          <w:color w:val="104D54"/>
        </w:rPr>
        <w:t>σε πρώιμο στάδιο</w:t>
      </w:r>
      <w:r>
        <w:rPr>
          <w:rFonts w:ascii="Arial" w:hAnsi="Arial"/>
          <w:color w:val="104D54"/>
        </w:rPr>
        <w:t>. Σε ορισμένες περιπτώσεις, τα ασφάλιστρα μπορεί να είναι τόσο υψηλά ώστε να καθιστούν μη κερδοφόρα την επιχειρηματική πρόταση για το έργο φωτοβολταϊκών. Αυτό έχει αποτελέσει αιτία καταστροφής διαφόρων έργων φωτοβολταϊκών.</w:t>
      </w:r>
    </w:p>
    <w:p w14:paraId="56BCB9F5" w14:textId="78D41B1A" w:rsidR="00FB7DCE" w:rsidRPr="004C0EBD" w:rsidRDefault="006D0CA6" w:rsidP="00E0736F">
      <w:pPr>
        <w:ind w:left="851" w:hanging="709"/>
        <w:jc w:val="both"/>
      </w:pPr>
      <w:r>
        <w:rPr>
          <w:color w:val="104D54"/>
        </w:rPr>
        <w:t xml:space="preserve">  </w:t>
      </w:r>
    </w:p>
    <w:p w14:paraId="75707ABF" w14:textId="77777777" w:rsidR="00474598" w:rsidRPr="007A5646" w:rsidRDefault="00474598" w:rsidP="00474598">
      <w:pPr>
        <w:rPr>
          <w:rFonts w:ascii="Arial" w:hAnsi="Arial" w:cs="Arial"/>
          <w:b/>
          <w:bCs/>
          <w:color w:val="3DC3C6"/>
        </w:rPr>
      </w:pPr>
      <w:r>
        <w:rPr>
          <w:rFonts w:ascii="Arial" w:hAnsi="Arial"/>
          <w:b/>
          <w:color w:val="3DC3C6"/>
        </w:rPr>
        <w:t>Ασφάλιση κατά παντός λειτουργικού κινδύνου (OAR)</w:t>
      </w:r>
    </w:p>
    <w:p w14:paraId="7721E1ED" w14:textId="0B869916" w:rsidR="00474598" w:rsidRPr="007A5646" w:rsidRDefault="00293FAD" w:rsidP="00474598">
      <w:pPr>
        <w:rPr>
          <w:rFonts w:ascii="Arial" w:hAnsi="Arial" w:cs="Arial"/>
        </w:rPr>
      </w:pPr>
      <w:r>
        <w:rPr>
          <w:rFonts w:ascii="Arial" w:hAnsi="Arial"/>
        </w:rPr>
        <w:t>Η ασφάλιση αυτή συνάπτεται από τον ίδιο τον πελάτη. Προστατεύει από:</w:t>
      </w:r>
    </w:p>
    <w:p w14:paraId="69E53AB4" w14:textId="02A1F3A6" w:rsidR="00474598" w:rsidRPr="007A5646" w:rsidRDefault="00474598" w:rsidP="0075115D">
      <w:pPr>
        <w:pStyle w:val="ListParagraph"/>
        <w:numPr>
          <w:ilvl w:val="0"/>
          <w:numId w:val="5"/>
        </w:numPr>
        <w:rPr>
          <w:rFonts w:ascii="Arial" w:hAnsi="Arial" w:cs="Arial"/>
          <w:i/>
          <w:iCs/>
        </w:rPr>
      </w:pPr>
      <w:r>
        <w:rPr>
          <w:rFonts w:ascii="Arial" w:hAnsi="Arial"/>
          <w:i/>
          <w:color w:val="3DC3C6"/>
        </w:rPr>
        <w:t>Ζημία στην εγκατάσταση των ηλιακών συλλεκτών</w:t>
      </w:r>
      <w:r>
        <w:rPr>
          <w:rFonts w:ascii="Arial" w:hAnsi="Arial"/>
          <w:color w:val="3DC3C6"/>
        </w:rPr>
        <w:t xml:space="preserve"> </w:t>
      </w:r>
      <w:r>
        <w:rPr>
          <w:rFonts w:ascii="Arial" w:hAnsi="Arial"/>
        </w:rPr>
        <w:br/>
        <w:t>Η ασφάλιση OAR καλύψει ζημιές στην φωτοβολταϊκή εγκατάσταση ως αποτέλεσμα εξωτερικών τυχαίων γεγονότων, όπως: πυρκαγιά, θύελλα, κεραυνικό πλήγμα, κλοπή ή βανδαλισμός.</w:t>
      </w:r>
    </w:p>
    <w:p w14:paraId="1A0A041A" w14:textId="1A0CCB93" w:rsidR="00474598" w:rsidRPr="007A5646" w:rsidRDefault="00474598" w:rsidP="0075115D">
      <w:pPr>
        <w:pStyle w:val="ListParagraph"/>
        <w:numPr>
          <w:ilvl w:val="0"/>
          <w:numId w:val="5"/>
        </w:numPr>
        <w:rPr>
          <w:rFonts w:ascii="Arial" w:hAnsi="Arial" w:cs="Arial"/>
          <w:i/>
          <w:iCs/>
        </w:rPr>
      </w:pPr>
      <w:r>
        <w:rPr>
          <w:rFonts w:ascii="Arial" w:hAnsi="Arial"/>
          <w:i/>
          <w:color w:val="3DC3C6"/>
        </w:rPr>
        <w:t>Απώλεια παραγωγής</w:t>
      </w:r>
      <w:r>
        <w:rPr>
          <w:rFonts w:ascii="Arial" w:hAnsi="Arial"/>
          <w:color w:val="3DC3C6"/>
        </w:rPr>
        <w:t xml:space="preserve"> </w:t>
      </w:r>
      <w:r>
        <w:rPr>
          <w:rFonts w:ascii="Arial" w:hAnsi="Arial"/>
        </w:rPr>
        <w:br/>
        <w:t>Σε περίπτωση ζημιάς στη φωτοβολταϊκή εγκατάσταση, μπορεί να μεσολαβήσει κάποιο χρονικό διάστημα έως ότου να μπορέσει να επισκευαστεί ή να αντικατασταθεί η εγκατάσταση, γεγονός που μπορεί να οδηγήσει σε απώλεια εισοδήματος. Η ασφάλιση OAR καλύπτει επίσης την απώλεια εισοδήματος λόγω ζημιών.</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Ασφάλιση επαγγελματικής ευθύνης (AVB)</w:t>
      </w:r>
    </w:p>
    <w:p w14:paraId="76FA91B3" w14:textId="77EA7695" w:rsidR="00B06E62" w:rsidRPr="007A5646" w:rsidRDefault="00B06E62" w:rsidP="00E0736F">
      <w:pPr>
        <w:jc w:val="both"/>
        <w:rPr>
          <w:rFonts w:ascii="Arial" w:hAnsi="Arial" w:cs="Arial"/>
        </w:rPr>
      </w:pPr>
      <w:r>
        <w:rPr>
          <w:rFonts w:ascii="Arial" w:hAnsi="Arial"/>
        </w:rPr>
        <w:t xml:space="preserve">Οι απαιτήσεις για τα έργα φωτοβολταϊκών συνήθως ορίζουν ότι το συμβαλλόμενο μέρος πρέπει να διαθέτει επαρκή ασφάλιση επιχειρηματικής ευθύνης ώστε να διασφαλίζεται ο οικονομικός διακανονισμός σε περίπτωση που κριθεί υπεύθυνο για οποιαδήποτε ζημία προκύψει κατά τη διάρκεια των εργασιών.   </w:t>
      </w:r>
      <w:r>
        <w:rPr>
          <w:rFonts w:ascii="Arial" w:hAnsi="Arial"/>
        </w:rPr>
        <w:cr/>
      </w:r>
      <w:r>
        <w:rPr>
          <w:rFonts w:ascii="Arial" w:hAnsi="Arial"/>
        </w:rPr>
        <w:br/>
        <w:t>Ορισμένα παραδείγματα κάλυψης:</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Υλικές ζημίες</w:t>
      </w:r>
      <w:r>
        <w:rPr>
          <w:rFonts w:ascii="Arial" w:hAnsi="Arial"/>
        </w:rPr>
        <w:t xml:space="preserve"> Ζημία στην περιουσία του πελάτη (αυτοκίνητα, κτίρια κ.λπ.) που προκαλείται από ατύχημα κατά τη διάρκεια των εργασιών.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Σωματική βλάβη</w:t>
      </w:r>
      <w:r>
        <w:rPr>
          <w:rFonts w:ascii="Arial" w:hAnsi="Arial"/>
        </w:rPr>
        <w:t xml:space="preserve"> Εάν οποιοσδήποτε υποστεί σωματική βλάβη ως αποτέλεσμα των ενεργειών του αναδόχου. Η ασφάλιση αυτή καλύπτει τα ιατρικά έξοδα και κάθε αποζημίωση.</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Νομικά έξοδα</w:t>
      </w:r>
      <w:r>
        <w:rPr>
          <w:rFonts w:ascii="Arial" w:hAnsi="Arial"/>
        </w:rPr>
        <w:t xml:space="preserve"> Καλύπτουν, μεταξύ άλλων, αμοιβές δικηγόρων και δικαστικά έξοδα σε περίπτωση που η εταιρεία εμπλακεί σε νομικές διαδικασίες. </w:t>
      </w:r>
    </w:p>
    <w:p w14:paraId="43930762" w14:textId="1E0C0EF2" w:rsidR="00B06E62" w:rsidRPr="007A5646" w:rsidRDefault="00B06E62" w:rsidP="00B06E62">
      <w:pPr>
        <w:rPr>
          <w:rStyle w:val="SubtleEmphasis"/>
          <w:rFonts w:ascii="Arial" w:hAnsi="Arial" w:cs="Arial"/>
        </w:rPr>
      </w:pPr>
      <w:r>
        <w:rPr>
          <w:rFonts w:ascii="Arial" w:hAnsi="Arial"/>
        </w:rPr>
        <w:t>Η κάλυψη και οι όροι μιας ασφάλισης AVB διαφέρουν ανά ασφαλιστική εταιρεία και ανάλογα με το είδος της εταιρείας.</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Ασφάλιση κατά παντός κατασκευαστικού κινδύνου (CAR)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Οι εγκαταστάτες ή εταιρείες ΣΕΑ πρέπει να έχουν συνάψει και πληρώσει ασφάλιση CAR με επαρκή κάλυψη (για παράδειγμα: 1 εκατ. EUR / τουλάχιστον ίσης αξίας με την αξία της σύμβασης). Ως πελάτης, μπορείτε επίσης να επιλέξετε να συνάψετε ο ίδιος την ασφάλιση CAR. Παρέχει την ίδια κάλυψη, αλλά εσείς «έχετε τον έλεγχο». Η ασφάλιση αυτή καλύπτει διαφορετικούς κινδύνους από εκείνους που καλύπτει η AVB.</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t xml:space="preserve">Στο </w:t>
      </w:r>
      <w:r>
        <w:rPr>
          <w:rFonts w:ascii="Arial" w:hAnsi="Arial"/>
          <w:b/>
          <w:color w:val="3DC3C6"/>
          <w:u w:val="single"/>
        </w:rPr>
        <w:t>παράρτημα 9</w:t>
      </w:r>
      <w:r>
        <w:rPr>
          <w:rFonts w:ascii="Arial" w:hAnsi="Arial"/>
        </w:rPr>
        <w:t xml:space="preserve"> παρουσιάζεται συνοπτικά η κάλυψη που προσφέρει η ασφάλιση CAR.</w:t>
      </w:r>
      <w:r>
        <w:rPr>
          <w:rFonts w:ascii="Arial" w:hAnsi="Arial"/>
          <w:color w:val="000000" w:themeColor="text1"/>
        </w:rPr>
        <w:t xml:space="preserve"> </w:t>
      </w:r>
    </w:p>
    <w:p w14:paraId="0A468B9B" w14:textId="4ED45024" w:rsidR="00F541A6" w:rsidRPr="007C0E44" w:rsidRDefault="004D365E" w:rsidP="007C0E44">
      <w:pPr>
        <w:pStyle w:val="Heading2"/>
        <w:rPr>
          <w:rFonts w:ascii="Arial" w:hAnsi="Arial" w:cs="Arial"/>
          <w:color w:val="104D54"/>
        </w:rPr>
      </w:pPr>
      <w:bookmarkStart w:id="133" w:name="_Toc176868917"/>
      <w:r w:rsidRPr="007C0E44">
        <w:rPr>
          <w:rFonts w:ascii="Arial" w:hAnsi="Arial" w:cs="Arial"/>
          <w:color w:val="104D54"/>
        </w:rPr>
        <w:lastRenderedPageBreak/>
        <w:t>Βήμα 6 Ζητήματα βιωσιμότητας</w:t>
      </w:r>
      <w:bookmarkEnd w:id="133"/>
      <w:r w:rsidRPr="007C0E44">
        <w:rPr>
          <w:rFonts w:ascii="Arial" w:hAnsi="Arial" w:cs="Arial"/>
          <w:color w:val="104D54"/>
        </w:rP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Στο σημείο 6.1 θα παρουσιαστούν εν συντομία ζητήματα βιωσιμότητας των ηλιακών συλλεκτών, ενώ στο σημείο 6.2 θα εξεταστούν συνοπτικά περιβαλλοντικά ζητήματα σχετικά με τα ηλιακά πάρκα και τις πλωτές φωτοβολταϊκές εγκαταστάσεις.  </w:t>
      </w:r>
      <w:r>
        <w:rPr>
          <w:rFonts w:ascii="Arial" w:hAnsi="Arial"/>
        </w:rPr>
        <w:cr/>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Στο παρόν έγγραφο δεν θα συζητηθούν θέματα που αφορούν τα υλικά εγκατάστασης και τους μετατροπείς. Τα υλικά εγκατάστασης κατασκευάζονται κυρίως από αλουμίνιο ή χάλυβα, υλικά τα οποία μπορούν να ανακυκλωθούν εύκολα. Το αλουμίνιο κατασκευάζεται ήδη συχνά από ανακυκλωμένο αλουμίνιο. Μέχρι τώρα, δεν υπάρχουν πολλές πληροφορίες σχετικά με τις διαφορές όσον αφορά τη διάρκεια ζωής και την ανθεκτικότητά τους. Θέματα βιωσιμότητας των μετατροπέων και των υποδομών θα εξεταστούν σε μελλοντική έκδοση του παρόντος εγγράφου.</w:t>
      </w:r>
    </w:p>
    <w:p w14:paraId="2B88D409" w14:textId="77777777" w:rsidR="00FA5774" w:rsidRPr="004C0EBD" w:rsidRDefault="00FA5774" w:rsidP="00A3595E"/>
    <w:p w14:paraId="2085671D" w14:textId="7A892BCC" w:rsidR="003430AD" w:rsidRPr="004C0EBD" w:rsidRDefault="00FA5774" w:rsidP="00094DE4">
      <w:pPr>
        <w:pStyle w:val="MH3"/>
      </w:pPr>
      <w:bookmarkStart w:id="134" w:name="_Toc180507854"/>
      <w:r>
        <w:t>6.1 Ζητήματα βιωσιμότητας των ηλιακών συλλεκτών</w:t>
      </w:r>
      <w:bookmarkEnd w:id="134"/>
    </w:p>
    <w:p w14:paraId="1C1BEA61" w14:textId="313EB780" w:rsidR="009F3241" w:rsidRPr="004C0EBD" w:rsidRDefault="009F3241" w:rsidP="00162562">
      <w:pPr>
        <w:pStyle w:val="BodyText1"/>
      </w:pPr>
      <w:r>
        <w:t>Ακολουθεί μια σύνοψη των κύριων ζητημάτων βιωσιμότητας. Τα θέματα αυτά εξετάζονται εκτενώς στο έγγραφο με τίτλο «Ζητήματα βιωσιμότητας και έρευνα αγοράς για πιο βιώσιμους ηλιακούς συλλέκτες», το οποίο εξετάζει επίσης πιο βιώσιμες επιλογές πώλησης, αναφέροντας το πρόσθετο κόστος.</w:t>
      </w:r>
    </w:p>
    <w:p w14:paraId="059AE3F5" w14:textId="0D8E325A" w:rsidR="009F3241" w:rsidRPr="004C0EBD" w:rsidRDefault="00E0736F" w:rsidP="009F3241">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EFE8D6">
                <wp:simplePos x="0" y="0"/>
                <wp:positionH relativeFrom="column">
                  <wp:posOffset>635</wp:posOffset>
                </wp:positionH>
                <wp:positionV relativeFrom="paragraph">
                  <wp:posOffset>133985</wp:posOffset>
                </wp:positionV>
                <wp:extent cx="435610" cy="574675"/>
                <wp:effectExtent l="0" t="0" r="254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7467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margin-left:.05pt;margin-top:10.55pt;width:34.3pt;height:45.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227E561" w14:textId="00FD395C" w:rsidR="009F3241" w:rsidRPr="006A5081" w:rsidRDefault="009F3241" w:rsidP="00162562">
      <w:pPr>
        <w:ind w:left="851" w:hanging="851"/>
        <w:rPr>
          <w:rFonts w:ascii="Arial" w:hAnsi="Arial" w:cs="Arial"/>
          <w:color w:val="104D54"/>
        </w:rPr>
      </w:pPr>
      <w:r>
        <w:rPr>
          <w:rFonts w:ascii="Arial" w:hAnsi="Arial"/>
          <w:b/>
          <w:color w:val="FFFFFF" w:themeColor="background1"/>
          <w:highlight w:val="darkCyan"/>
        </w:rPr>
        <w:t>Συμβουλή</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Θα πρέπει να εξετάσετε ποια ζητήματα βιωσιμότητας είναι τα σημαντικότερα για τον οργανισμό σας κατά το προκαταρκτικό στάδιο. Το προαναφερθέν έγγραφο θα σας βοηθήσει να εκτιμήσετε το πρόσθετο κόστος που επιφέρουν ορισμένες απαιτήσεις, καθώς και τον αντίκτυπο στον αριθμό των προμηθευτών και τις επιχειρηματικές προοπτικές.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1838"/>
        <w:gridCol w:w="4626"/>
        <w:gridCol w:w="2598"/>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Θέμα</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Επεξήγηση</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Στο υπόδειγμα με τις απαιτήσεις;</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Αποτύπωμα άνθρακα των ηλιακών συλλεκτών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Διαφέρει κατά συντελεστή της τάξης του 4 μεταξύ των 20 κορυφαίων κατασκευαστών Φ/Β παγκοσμίως: περίπου 300-1 200 kg CO</w:t>
            </w:r>
            <w:r>
              <w:rPr>
                <w:rFonts w:ascii="Arial" w:hAnsi="Arial"/>
                <w:sz w:val="20"/>
                <w:vertAlign w:val="subscript"/>
              </w:rPr>
              <w:t>2</w:t>
            </w:r>
            <w:r>
              <w:rPr>
                <w:rFonts w:ascii="Arial" w:hAnsi="Arial"/>
                <w:sz w:val="20"/>
              </w:rPr>
              <w:t>/kW</w:t>
            </w:r>
            <w:r>
              <w:rPr>
                <w:rFonts w:ascii="Arial" w:hAnsi="Arial"/>
                <w:sz w:val="20"/>
                <w:vertAlign w:val="subscript"/>
              </w:rPr>
              <w:t>p</w:t>
            </w:r>
            <w:r>
              <w:rPr>
                <w:rFonts w:ascii="Arial" w:hAnsi="Arial"/>
                <w:sz w:val="20"/>
              </w:rPr>
              <w:t xml:space="preserve">. </w:t>
            </w:r>
            <w:r>
              <w:rPr>
                <w:rFonts w:ascii="Arial" w:hAnsi="Arial"/>
              </w:rPr>
              <w:t xml:space="preserve"> </w:t>
            </w:r>
            <w:r>
              <w:rPr>
                <w:rFonts w:ascii="Arial" w:hAnsi="Arial"/>
              </w:rPr>
              <w:cr/>
            </w:r>
            <w:r>
              <w:rPr>
                <w:rFonts w:ascii="Arial" w:hAnsi="Arial"/>
              </w:rPr>
              <w:br/>
            </w:r>
            <w:r>
              <w:rPr>
                <w:rFonts w:ascii="Arial" w:hAnsi="Arial"/>
                <w:sz w:val="20"/>
              </w:rPr>
              <w:t>Στις Κάτω Χώρες, για τις εγκαταστάσεις που πραγματοποιούνται το 2024, ο χρόνος απόσβεσης CO</w:t>
            </w:r>
            <w:r>
              <w:rPr>
                <w:rFonts w:ascii="Arial" w:hAnsi="Arial"/>
                <w:sz w:val="20"/>
                <w:vertAlign w:val="subscript"/>
              </w:rPr>
              <w:t>2</w:t>
            </w:r>
            <w:r>
              <w:rPr>
                <w:rFonts w:ascii="Arial" w:hAnsi="Arial"/>
                <w:sz w:val="20"/>
              </w:rPr>
              <w:t xml:space="preserve"> για τους συμβατικούς ηλιακούς συλλέκτες είναι 8 έως 20 έτη (ανάλογα με τις παραδοχές). </w:t>
            </w:r>
            <w:r>
              <w:rPr>
                <w:rFonts w:ascii="Arial" w:hAnsi="Arial"/>
              </w:rPr>
              <w:t xml:space="preserve"> </w:t>
            </w:r>
            <w:r>
              <w:rPr>
                <w:rFonts w:ascii="Arial" w:hAnsi="Arial"/>
              </w:rPr>
              <w:cr/>
            </w:r>
            <w:r>
              <w:rPr>
                <w:rFonts w:ascii="Arial" w:hAnsi="Arial"/>
              </w:rPr>
              <w:br/>
            </w:r>
            <w:r>
              <w:rPr>
                <w:rFonts w:ascii="Arial" w:hAnsi="Arial"/>
                <w:sz w:val="20"/>
              </w:rPr>
              <w:t xml:space="preserve">Ο εν λόγω χρόνος είναι 2 έως 4 έτη για τους συλλέκτες χαμηλών ανθρακούχων εκπομπών.  </w:t>
            </w:r>
            <w:r>
              <w:rPr>
                <w:rFonts w:ascii="Arial" w:hAnsi="Arial"/>
              </w:rPr>
              <w:t xml:space="preserve"> </w:t>
            </w:r>
            <w:r>
              <w:rPr>
                <w:rFonts w:ascii="Arial" w:hAnsi="Arial"/>
              </w:rPr>
              <w:cr/>
            </w:r>
            <w:r>
              <w:rPr>
                <w:rFonts w:ascii="Arial" w:hAnsi="Arial"/>
              </w:rPr>
              <w:br/>
            </w:r>
            <w:r>
              <w:rPr>
                <w:rFonts w:ascii="Arial" w:hAnsi="Arial"/>
                <w:sz w:val="20"/>
              </w:rPr>
              <w:t>Οι συλλέκτες με χαμηλό αποτύπωμα άνθρακα είναι ακριβότεροι κατά 5-20 %.</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Βασική απαίτηση:</w:t>
            </w:r>
            <w:r>
              <w:rPr>
                <w:rFonts w:ascii="Arial" w:hAnsi="Arial"/>
                <w:sz w:val="20"/>
              </w:rPr>
              <w:t xml:space="preserve"> 550 kg CO</w:t>
            </w:r>
            <w:r>
              <w:rPr>
                <w:rFonts w:ascii="Arial" w:hAnsi="Arial"/>
                <w:sz w:val="20"/>
                <w:vertAlign w:val="subscript"/>
              </w:rPr>
              <w:t xml:space="preserve">2 </w:t>
            </w:r>
            <w:r>
              <w:rPr>
                <w:rFonts w:ascii="Arial" w:hAnsi="Arial"/>
                <w:sz w:val="20"/>
              </w:rPr>
              <w:t>ανά</w:t>
            </w:r>
            <w:r>
              <w:rPr>
                <w:rFonts w:ascii="Arial" w:hAnsi="Arial"/>
                <w:sz w:val="20"/>
                <w:vertAlign w:val="subscript"/>
              </w:rPr>
              <w:t xml:space="preserve"> </w:t>
            </w:r>
            <w:r>
              <w:rPr>
                <w:rFonts w:ascii="Arial" w:hAnsi="Arial"/>
                <w:sz w:val="20"/>
              </w:rPr>
              <w:t>kW</w:t>
            </w:r>
            <w:r>
              <w:rPr>
                <w:rFonts w:ascii="Arial" w:hAnsi="Arial"/>
                <w:sz w:val="20"/>
                <w:vertAlign w:val="subscript"/>
              </w:rPr>
              <w:t>p</w:t>
            </w:r>
            <w:r>
              <w:rPr>
                <w:rFonts w:ascii="Arial" w:hAnsi="Arial"/>
                <w:sz w:val="20"/>
              </w:rPr>
              <w:t xml:space="preserve"> σύμφωνα με την «απλουστευμένη εκτίμηση άνθρακα». </w:t>
            </w:r>
            <w:r>
              <w:rPr>
                <w:rFonts w:ascii="Arial" w:hAnsi="Arial"/>
              </w:rPr>
              <w:t xml:space="preserve"> </w:t>
            </w:r>
            <w:r>
              <w:rPr>
                <w:rFonts w:ascii="Arial" w:hAnsi="Arial"/>
              </w:rPr>
              <w:cr/>
            </w:r>
            <w:r>
              <w:rPr>
                <w:rFonts w:ascii="Arial" w:hAnsi="Arial"/>
              </w:rPr>
              <w:br/>
              <w:t xml:space="preserve"> </w:t>
            </w:r>
            <w:r>
              <w:rPr>
                <w:rFonts w:ascii="Arial" w:hAnsi="Arial"/>
              </w:rPr>
              <w:cr/>
            </w:r>
            <w:r>
              <w:rPr>
                <w:rFonts w:ascii="Arial" w:hAnsi="Arial"/>
              </w:rPr>
              <w:br/>
            </w:r>
            <w:r>
              <w:rPr>
                <w:rFonts w:ascii="Arial" w:hAnsi="Arial"/>
                <w:i/>
                <w:sz w:val="20"/>
              </w:rPr>
              <w:t xml:space="preserve">Μονάδες πριμοδότησης: </w:t>
            </w:r>
            <w:r>
              <w:rPr>
                <w:rFonts w:ascii="Arial" w:hAnsi="Arial"/>
                <w:sz w:val="20"/>
              </w:rPr>
              <w:t>για μικρότερο αποτύπωμα άνθρακα:</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lastRenderedPageBreak/>
              <w:t>Επιβλαβή υλικά που μπορούν να αποφευχθούν</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Η οπίσθια πλευρά πολλών συμβατικών ηλιακών συλλεκτών καλύπτεται εξ ολοκλήρου από ένα στρώμα PFAS, το οποίο προκαλεί κίνδυνο ρύπανσης του εδάφους. Επίσης, το συγκολλητικό κράμα περιέχει συχνά μόλυβδο και στο γυαλί υπάρχει αντιμόνιο.  </w:t>
            </w:r>
            <w:r>
              <w:rPr>
                <w:rFonts w:ascii="Arial" w:hAnsi="Arial"/>
              </w:rPr>
              <w:t xml:space="preserve"> </w:t>
            </w:r>
            <w:r>
              <w:rPr>
                <w:rFonts w:ascii="Arial" w:hAnsi="Arial"/>
              </w:rPr>
              <w:cr/>
            </w:r>
            <w:r>
              <w:rPr>
                <w:rFonts w:ascii="Arial" w:hAnsi="Arial"/>
              </w:rPr>
              <w:br/>
            </w:r>
            <w:r>
              <w:rPr>
                <w:rFonts w:ascii="Arial" w:hAnsi="Arial"/>
                <w:sz w:val="20"/>
              </w:rPr>
              <w:t xml:space="preserve">Ηλιακοί συλλέκτες που δεν περιέχουν PFAS είναι ευρέως διαθέσιμοι. Υπάρχει επίσης μικρός αριθμός ηλιακών συλλεκτών που δεν περιέχουν ούτε μόλυβδο ούτε αντιμόνιο.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Βασική απαίτηση: </w:t>
            </w:r>
            <w:r>
              <w:rPr>
                <w:rFonts w:ascii="Arial" w:hAnsi="Arial"/>
                <w:sz w:val="20"/>
              </w:rPr>
              <w:t>Απουσία PFAS.</w:t>
            </w:r>
            <w:r>
              <w:rPr>
                <w:rFonts w:ascii="Arial" w:hAnsi="Arial"/>
              </w:rPr>
              <w:t xml:space="preserve"> </w:t>
            </w:r>
            <w:r>
              <w:rPr>
                <w:rFonts w:ascii="Arial" w:hAnsi="Arial"/>
              </w:rPr>
              <w:cr/>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Μονάδες πριμοδότησης: </w:t>
            </w:r>
            <w:r>
              <w:rPr>
                <w:rFonts w:ascii="Arial" w:hAnsi="Arial"/>
              </w:rPr>
              <w:t xml:space="preserve"> </w:t>
            </w:r>
            <w:r>
              <w:rPr>
                <w:rFonts w:ascii="Arial" w:hAnsi="Arial"/>
              </w:rPr>
              <w:cr/>
            </w:r>
            <w:r>
              <w:rPr>
                <w:rFonts w:ascii="Arial" w:hAnsi="Arial"/>
              </w:rPr>
              <w:br/>
              <w:t>Συγκολλητικό υλικό χωρίς μόλυβδο, γυαλί χωρίς αντιμόνιο.</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Διάρκεια ζωής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Η τεχνική διάρκεια ζωής πολλών ηλιακών συλλεκτών, συμπεριλαμβανομένων των συλλεκτών από κατασκευαστές της «1ης βαθμίδας», είναι πιθανότατα 10 έως 15 έτη. </w:t>
            </w:r>
            <w:r>
              <w:rPr>
                <w:rFonts w:ascii="Arial" w:hAnsi="Arial"/>
              </w:rPr>
              <w:t xml:space="preserve"> </w:t>
            </w:r>
            <w:r>
              <w:rPr>
                <w:rFonts w:ascii="Arial" w:hAnsi="Arial"/>
              </w:rPr>
              <w:cr/>
            </w:r>
            <w:r>
              <w:rPr>
                <w:rFonts w:ascii="Arial" w:hAnsi="Arial"/>
              </w:rPr>
              <w:br/>
            </w:r>
            <w:r>
              <w:rPr>
                <w:rFonts w:ascii="Arial" w:hAnsi="Arial"/>
                <w:sz w:val="20"/>
              </w:rPr>
              <w:t xml:space="preserve">Ωστόσο, διάρκεια ζωής τουλάχιστον 30 ετών είναι επίσης πολύ πιθανή όταν χρησιμοποιούνται υλικά υψηλής ποιότητας και άρτιος σχεδιασμός. </w:t>
            </w:r>
            <w:r>
              <w:rPr>
                <w:rFonts w:ascii="Arial" w:hAnsi="Arial"/>
              </w:rPr>
              <w:t xml:space="preserve"> </w:t>
            </w:r>
            <w:r>
              <w:rPr>
                <w:rFonts w:ascii="Arial" w:hAnsi="Arial"/>
              </w:rPr>
              <w:cr/>
            </w:r>
            <w:r>
              <w:rPr>
                <w:rFonts w:ascii="Arial" w:hAnsi="Arial"/>
              </w:rPr>
              <w:br/>
            </w:r>
            <w:r>
              <w:rPr>
                <w:rFonts w:ascii="Arial" w:hAnsi="Arial"/>
                <w:sz w:val="20"/>
              </w:rPr>
              <w:t xml:space="preserve">Αυτοί οι ηλιακοί συλλέκτες είναι ακριβότεροι κατά 10-15 %.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Μονάδες πριμοδότησης: </w:t>
            </w:r>
            <w:r>
              <w:rPr>
                <w:rFonts w:ascii="Arial" w:hAnsi="Arial"/>
              </w:rPr>
              <w:t>30ετής εγγύηση προϊόντος, τεκμηριωμένη με δοκιμές.</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Συνθήκες εργασίας στην αλυσίδα εφοδιασμού.</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Περιπτώσεις καταναγκαστικής εργασίας για την κατασκευή ηλιακών κυψελών έχουν καταγραφεί στο Xinjiang. Υπάρχουν διάφορες πρωτοβουλίες με στόχο τον εντοπισμό ενδεχόμενης χρήσης καταναγκαστικής εργασίας από κατασκευαστές ή τους προμηθευτές τους [συμφωνία του Κοινωνικού και Οικονομικού Συμβουλίου (SER) των Κάτω Χωρών σχετικά με τη διεθνή υπεύθυνη επιχειρηματική συμπεριφορά όσον αφορά τα ανθρώπινα δικαιώματα· πρωτοβουλία εποπτείας στον τομέα της ηλιακής ενέργειας (Solar Stewardship Initiative) του οργανισμού SolarPower Europe].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Οι απαιτήσεις και τα αντικειμενικά κριτήρια βρίσκονται ακόμη σε στάδιο εκπόνησης.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Κατά την εγκατάσταση των ηλιακών συλλεκτών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Η εγκατάσταση ηλιακών συλλεκτών στις Κάτω Χώρες συνδέεται ενίοτε με εκμετάλλευση διακινούμενων εργαζομένων.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Απαίτηση</w:t>
            </w:r>
            <w:r>
              <w:rPr>
                <w:rFonts w:ascii="Arial" w:hAnsi="Arial"/>
                <w:sz w:val="20"/>
              </w:rPr>
              <w:t>: Κώδικας δεοντολογίας προμηθευτών.</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Κυκλικότητα</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Αναπτύσσονται διάφορες ιδέες και έννοιες ως «σχεδιασμός για ανακύκλωση», συμπεριλαμβανομένης της δέσμευσης για χρήση ορισμένου ποσοστού ανακυκλωμένων υλικών.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Οι απαιτήσεις και τα αντικειμενικά κριτήρια βρίσκονται ακόμη σε στάδιο εκπόνησης.</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lastRenderedPageBreak/>
              <w:t>Τέλος του κύκλου ζωής</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Αντικατάσταση από άλλους ηλιακούς συλλέκτες μόνο σε περίπτωση ελαττώματος. Η (υποχρεωτική) εισφορά για τη διάθεσή τους πρέπει να καταβάλλεται στο OPEN Foundation (Οργανισμός για την ευθύνη των παραγωγών για τα απόβλητα ηλεκτρικού και ηλεκτρονικού εξοπλισμού στις Κάτω Χώρες).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Απαίτηση: </w:t>
            </w:r>
            <w:r>
              <w:rPr>
                <w:rFonts w:ascii="Arial" w:hAnsi="Arial"/>
                <w:sz w:val="20"/>
              </w:rPr>
              <w:t>καταβολή εισφοράς διάθεσης.</w:t>
            </w:r>
          </w:p>
        </w:tc>
      </w:tr>
    </w:tbl>
    <w:p w14:paraId="3D4E6FCF" w14:textId="77777777" w:rsidR="00FA5774" w:rsidRPr="004C0EBD" w:rsidRDefault="00FA5774" w:rsidP="00A3595E"/>
    <w:p w14:paraId="1DD59982" w14:textId="77777777" w:rsidR="006A5081" w:rsidRDefault="006A5081" w:rsidP="00094DE4">
      <w:pPr>
        <w:pStyle w:val="MH3"/>
      </w:pPr>
    </w:p>
    <w:p w14:paraId="16BF8B85" w14:textId="43910F4E" w:rsidR="00F541A6" w:rsidRPr="004C0EBD" w:rsidRDefault="00FA5774" w:rsidP="00094DE4">
      <w:pPr>
        <w:pStyle w:val="MH3"/>
      </w:pPr>
      <w:bookmarkStart w:id="135" w:name="_Toc180507855"/>
      <w:r>
        <w:t>6.2 Περιβαλλοντικά ζητήματα που συνδέονται με τα φωτοβολταϊκά στο έδαφος και τα φωτοβολταϊκά στο νερό</w:t>
      </w:r>
      <w:bookmarkEnd w:id="135"/>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Φωτοβολταϊκά στο έδαφος</w:t>
      </w:r>
    </w:p>
    <w:p w14:paraId="19275623" w14:textId="77777777" w:rsidR="001F15A3" w:rsidRDefault="004E647C" w:rsidP="003869FC">
      <w:pPr>
        <w:jc w:val="both"/>
        <w:rPr>
          <w:rFonts w:ascii="Arial" w:hAnsi="Arial" w:cs="Arial"/>
        </w:rPr>
      </w:pPr>
      <w:r>
        <w:rPr>
          <w:rFonts w:ascii="Arial" w:hAnsi="Arial"/>
        </w:rPr>
        <w:t>Οι ηλιακοί συλλέκτες σε φωτοβολταϊκές εγκαταστάσεις σε εκτάσεις με ανατολικό-δυτικό προσανατολισμό τοποθετούνται ορισμένες φορές σε τόσο κοντινή απόσταση μεταξύ τους ώστε ελάχιστη ποσότητα φωτός ή νερού μπορεί να φτάσει στο έδαφος· αυτό έχει ως αποτέλεσμα την εξαφάνιση της ζωής στο έδαφος κάτω από τους συλλέκτες. Λίγο περισσότερος χώρος για φως και βροχή κάνει τεράστια διαφορά. Για περισσότερες λεπτομέρειες, βλ.:</w:t>
      </w:r>
    </w:p>
    <w:p w14:paraId="048EB9A9" w14:textId="0A6CE6E4" w:rsidR="00B04952" w:rsidRPr="001F15A3" w:rsidRDefault="00F42ABA" w:rsidP="003869FC">
      <w:pPr>
        <w:jc w:val="both"/>
        <w:rPr>
          <w:rFonts w:ascii="Arial" w:hAnsi="Arial" w:cs="Arial"/>
          <w:color w:val="3DC3C6"/>
        </w:rPr>
      </w:pPr>
      <w:hyperlink r:id="rId19" w:history="1">
        <w:r w:rsidR="0039686D">
          <w:rPr>
            <w:rStyle w:val="Hyperlink"/>
            <w:rFonts w:ascii="Arial" w:hAnsi="Arial"/>
            <w:color w:val="3DC3C6"/>
          </w:rPr>
          <w:t>https://zoninlandschap.nl/u/files/ZonneparkenBeterOntwerpTNOV2.pdf</w:t>
        </w:r>
      </w:hyperlink>
      <w:r w:rsidR="0039686D">
        <w:t>.</w:t>
      </w:r>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Ο οργανισμός TNO έχει αναπτύξει μια δοκιμασία εδάφους η οποία εξετάζει αν υπάρχει δυνατότητα ανάπτυξης επαρκούς ζωής στο έδαφος, ανάλογα με τη θέση, τον προσανατολισμό και την απόσταση μεταξύ των σειρών. Συλλέκτες με γυαλί και στις δύο πλευρές μπορούν επίσης να βοηθήσουν, εάν το ηλιακό φως μπορεί να φτάσει στο έδαφος από τις άκρες του συλλέκτη. Στο υπόδειγμα αναφέρεται πλέον ότι ο δείκτης κάλυψης εδάφους για μικρότερα έργα πρέπει να είναι μικρότερος από 70 % και πρέπει να υπάρχουν κενά τουλάχιστον 2 cm μεταξύ των συλλεκτών (ώστε να περνά το νερό της βροχής). Τα μεγαλύτερα έργα πρέπει να συμμορφώνονται με τη δοκιμασία εδάφους του TNO.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Η βιοποικιλότητα μπορεί να προωθηθεί μέσω ορισμένων βοτάνων, φυτών ή αγρωστωδών, μέσω πολιτικής χορτοκοπής ή μέσω της τοποθέτησης ειδικής κατασκευής για τη φιλοξενία εντόμων.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 xml:space="preserve">Σημείωση: Η κοινοπραξία για τα φωτοβολταϊκά στο έδαφος (Sun-on-Land) επεξεργάζεται οικολογικό σήμα για τα ηλιακά πάρκα (EcoCertified)· στο πλαίσιο αυτό, θα καθοριστούν σύντομα ορισμένες κατευθυντήριες γραμμές.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r>
        <w:rPr>
          <w:rFonts w:ascii="Arial" w:hAnsi="Arial"/>
          <w:b/>
          <w:color w:val="3DC3C6"/>
          <w:sz w:val="24"/>
        </w:rPr>
        <w:t>Αγροβολταϊκά (ή αγροφωτοβολταϊκά)</w:t>
      </w:r>
    </w:p>
    <w:p w14:paraId="2A5586AB" w14:textId="18B85BD4" w:rsidR="00B04952" w:rsidRPr="001F15A3" w:rsidRDefault="00B04952" w:rsidP="00B04952">
      <w:pPr>
        <w:jc w:val="both"/>
        <w:rPr>
          <w:rFonts w:ascii="Arial" w:hAnsi="Arial" w:cs="Arial"/>
        </w:rPr>
      </w:pPr>
      <w:r>
        <w:rPr>
          <w:rFonts w:ascii="Arial" w:hAnsi="Arial"/>
        </w:rPr>
        <w:t>Επίσης, αναπτύσσεται πείρα όσον αφορά τον συνδυασμό γεωργίας και φωτοβολταϊκής παραγωγής («αγροβολταϊκά»). Χρησιμοποιούνται διάφορες λύσεις: από σειρές κατακόρυφα προσανατολισμένων ηλιακών συλλεκτών έως στέγαστρα ηλιακών συλλεκτών πάνω από οπωροφόρα δένδρα. Τα αγροβολταϊκά βρίσκονται ακόμη σε σχετικά πρώιμο στάδιο.</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lastRenderedPageBreak/>
        <w:t>Φωτοβολταϊκά στο νερό</w:t>
      </w:r>
    </w:p>
    <w:p w14:paraId="5C81225C" w14:textId="273B911F" w:rsidR="009722F8" w:rsidRPr="001F15A3" w:rsidRDefault="00B04952" w:rsidP="00CD5D92">
      <w:pPr>
        <w:jc w:val="both"/>
        <w:rPr>
          <w:rFonts w:ascii="Arial" w:hAnsi="Arial" w:cs="Arial"/>
        </w:rPr>
      </w:pPr>
      <w:r>
        <w:rPr>
          <w:rFonts w:ascii="Arial" w:hAnsi="Arial"/>
        </w:rPr>
        <w:t xml:space="preserve">Στο πλαίσιο της κοινοπραξίας για τα φωτοβολταϊκά στο νερό (Sun-on-Water), οργανισμοί όπως η Deltares και η Ένωση Περιφερειακών Αρχών Υδάτων (Unie van Waterschappen) εξετάζουν επίσης τις περιβαλλοντικές πτυχές των πλωτών φωτοβολταϊκών εγκαταστάσεων. Οι μελέτες αυτές εξακολουθούν να βρίσκονται σε πρώιμο στάδιο, και δεν είναι ακόμη σαφές αν πρέπει να καθοριστούν απαιτήσεις από περιβαλλοντική άποψη. Για περισσότερες λεπτομέρειες, βλ.: </w:t>
      </w:r>
      <w:hyperlink r:id="rId20"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027EC848" w:rsidR="00F541A6" w:rsidRPr="007C0E44" w:rsidRDefault="004D365E" w:rsidP="007C0E44">
      <w:pPr>
        <w:pStyle w:val="Heading2"/>
        <w:rPr>
          <w:rFonts w:ascii="Arial" w:hAnsi="Arial" w:cs="Arial"/>
          <w:color w:val="104D54"/>
        </w:rPr>
      </w:pPr>
      <w:bookmarkStart w:id="136" w:name="_Toc176868918"/>
      <w:r w:rsidRPr="007C0E44">
        <w:rPr>
          <w:rFonts w:ascii="Arial" w:hAnsi="Arial" w:cs="Arial"/>
          <w:color w:val="104D54"/>
        </w:rPr>
        <w:t>Βήμα 7 Εκτέλεση και παράδοση</w:t>
      </w:r>
      <w:bookmarkEnd w:id="136"/>
      <w:r w:rsidRPr="007C0E44">
        <w:rPr>
          <w:rFonts w:ascii="Arial" w:hAnsi="Arial" w:cs="Arial"/>
          <w:color w:val="104D54"/>
        </w:rPr>
        <w:t xml:space="preserve"> </w:t>
      </w:r>
    </w:p>
    <w:p w14:paraId="387172F1" w14:textId="77777777" w:rsidR="00F541A6" w:rsidRPr="004C0EBD" w:rsidRDefault="00F541A6" w:rsidP="00A3595E"/>
    <w:p w14:paraId="63EF63FE" w14:textId="5DEB918C" w:rsidR="00F7042B" w:rsidRPr="004C0EBD" w:rsidRDefault="00F7042B" w:rsidP="00094DE4">
      <w:pPr>
        <w:pStyle w:val="MH3"/>
        <w:rPr>
          <w:rFonts w:asciiTheme="minorHAnsi" w:hAnsiTheme="minorHAnsi"/>
        </w:rPr>
      </w:pPr>
      <w:bookmarkStart w:id="137" w:name="_Toc180507856"/>
      <w:r>
        <w:t>7.1 Χρονοδιαγράμματα</w:t>
      </w:r>
      <w:bookmarkEnd w:id="137"/>
      <w:r>
        <w:t xml:space="preserve"> </w:t>
      </w:r>
    </w:p>
    <w:p w14:paraId="0FEAFB5E" w14:textId="0E30AF90" w:rsidR="00E63743" w:rsidRPr="001F15A3" w:rsidRDefault="002C7DD6" w:rsidP="00B7557D">
      <w:pPr>
        <w:jc w:val="both"/>
        <w:rPr>
          <w:rFonts w:ascii="Arial" w:hAnsi="Arial" w:cs="Arial"/>
        </w:rPr>
      </w:pPr>
      <w:r>
        <w:rPr>
          <w:rFonts w:ascii="Arial" w:hAnsi="Arial"/>
        </w:rPr>
        <w:t xml:space="preserve">Με τον οργανισμό σας, αποφασίστε πότε θα μπορούσαν να ξεκινήσουν οι εργασίες για το έργο φωτοβολταϊκών· υπάρχουν άλλες εργασίες που πρέπει να ληφθούν υπόψη;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Επίσης, συζητήστε με έναν σύμβουλο ποια θα ήταν μια ρεαλιστική ημερομηνία παράδοσης. Για τον προσδιορισμό της, θα πρέπει να ληφθεί υπόψη ο χρόνος που απαιτείται για την πρόσκληση υποβολής προσφορών και την ανάθεση της σύμβασης, καθώς και για την κατασκευή της εγκατάστασης. </w:t>
      </w:r>
    </w:p>
    <w:p w14:paraId="10E6E7D1" w14:textId="77777777" w:rsidR="00260AB9" w:rsidRPr="004C0EBD" w:rsidRDefault="00260AB9" w:rsidP="00A3595E"/>
    <w:p w14:paraId="1C565E42" w14:textId="05F536C2" w:rsidR="00CD5D92" w:rsidRDefault="00F7042B" w:rsidP="00094DE4">
      <w:pPr>
        <w:pStyle w:val="MH3"/>
      </w:pPr>
      <w:bookmarkStart w:id="138" w:name="_Toc180507857"/>
      <w:r>
        <w:t>7.2 Επιθεωρήσεις και τελικός έλεγχος</w:t>
      </w:r>
      <w:bookmarkEnd w:id="138"/>
      <w:r>
        <w:t xml:space="preserve"> </w:t>
      </w:r>
    </w:p>
    <w:p w14:paraId="19C5700F" w14:textId="77777777" w:rsidR="00260AB9" w:rsidRPr="001F15A3" w:rsidRDefault="00260AB9" w:rsidP="00094DE4">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Επιθεώρηση βάσει της Ενότητας 12 του SCIOS</w:t>
      </w:r>
    </w:p>
    <w:p w14:paraId="4B361ACB" w14:textId="470085FD" w:rsidR="007518EB" w:rsidRPr="001F15A3" w:rsidRDefault="007518EB" w:rsidP="00C42EE6">
      <w:pPr>
        <w:jc w:val="both"/>
        <w:rPr>
          <w:rFonts w:ascii="Arial" w:hAnsi="Arial" w:cs="Arial"/>
        </w:rPr>
      </w:pPr>
      <w:r>
        <w:rPr>
          <w:rFonts w:ascii="Arial" w:hAnsi="Arial"/>
        </w:rPr>
        <w:t>Κατά την παράδοση όλων των έργων, μεγάλων ή μικρών, σε στέγες, στο έδαφος ή στο νερό, είναι σημαντικό να διενεργείται επιθεώρηση ασφάλειας από ανεξάρτητο μέρος σύμφωνα με το πρωτόκολλο της Ενότητας 12 (Scope 12) του οργανισμού SCIOS (κανόνας IEC 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Η εν λόγω επιθεώρηση «Ενότητας 12» ελέγχει την ασφάλεια της εγκατάστασης και προσδιορίζει τυχόν ελλείψεις που αφορούν, μεταξύ άλλων, την ηλεκτρική ασφάλεια, την ασφαλή μηχανική λειτουργία σε συνθήκες ανέμου και χιονιού, καθώς και την αντικεραυνική προστασία. Στο υπόδειγμα αναφέρεται ως απαίτηση για την επακόλουθη διόρθωση, από το συμβαλλόμενο μέρος, τυχόν ελλείψεων που εντοπίστηκαν («περιπτώσεις μη συμμόρφωσης»).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Σας συνιστούμε να ζητήσετε εγκαίρως προσφορές για τη διενέργεια της επιθεώρησης βάσει της Ενότητας 12. Μπορεί να είναι δύσκολο να βρεθεί επιθεωρητής λίγο πριν από την παράδοση και οι τιμές μπορεί να είναι υψηλότερες.  </w:t>
      </w:r>
    </w:p>
    <w:p w14:paraId="5BE0A61D" w14:textId="519F27E9" w:rsidR="00E63743" w:rsidRPr="004C0EBD" w:rsidRDefault="005F7961" w:rsidP="00E63743">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1655B9C">
                <wp:simplePos x="0" y="0"/>
                <wp:positionH relativeFrom="column">
                  <wp:posOffset>635</wp:posOffset>
                </wp:positionH>
                <wp:positionV relativeFrom="paragraph">
                  <wp:posOffset>120650</wp:posOffset>
                </wp:positionV>
                <wp:extent cx="267970" cy="483870"/>
                <wp:effectExtent l="0" t="0" r="0" b="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7970" cy="483870"/>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05pt;margin-top:9.5pt;width:21.1pt;height:38.1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44246CFF" w14:textId="68784F6E" w:rsidR="009A2991" w:rsidRPr="00175EA5" w:rsidRDefault="00E63743" w:rsidP="00A3595E">
      <w:pPr>
        <w:rPr>
          <w:rFonts w:ascii="Arial" w:hAnsi="Arial" w:cs="Arial"/>
        </w:rPr>
      </w:pPr>
      <w:r>
        <w:rPr>
          <w:rFonts w:ascii="Arial" w:hAnsi="Arial"/>
          <w:b/>
          <w:color w:val="FFFFFF" w:themeColor="background1"/>
          <w:highlight w:val="darkCyan"/>
        </w:rPr>
        <w:t>Συμβουλή</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Ως πελάτης, θα πρέπει να φροντίζετε πάντα ο ίδιος για τη διενέργεια της επιθεώρησης βάσει της Ενότητας 12. Στο </w:t>
      </w:r>
      <w:r>
        <w:rPr>
          <w:rFonts w:ascii="Arial" w:hAnsi="Arial"/>
          <w:b/>
          <w:color w:val="104D54"/>
          <w:u w:val="single"/>
        </w:rPr>
        <w:t>παράρτημα 6</w:t>
      </w:r>
      <w:r>
        <w:rPr>
          <w:rFonts w:ascii="Arial" w:hAnsi="Arial"/>
          <w:color w:val="104D54"/>
        </w:rPr>
        <w:t xml:space="preserve"> υπάρχει κατάλογος οργανισμών που μπορούν να διενεργούν επιθεωρήσεις βάσει της Ενότητας 12. </w:t>
      </w:r>
      <w:r w:rsidR="005F7961" w:rsidRPr="00175EA5">
        <w:rPr>
          <w:rFonts w:ascii="Arial" w:hAnsi="Arial"/>
          <w:color w:val="104D54"/>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Έργα μεγάλης κλίμακας:</w:t>
      </w:r>
      <w:r>
        <w:rPr>
          <w:rStyle w:val="SubtleEmphasis"/>
          <w:rFonts w:ascii="Arial" w:hAnsi="Arial"/>
          <w:i/>
          <w:color w:val="3DC3C6"/>
          <w:sz w:val="24"/>
        </w:rPr>
        <w:t xml:space="preserve"> </w:t>
      </w:r>
      <w:r>
        <w:rPr>
          <w:rStyle w:val="SubtleEmphasis"/>
          <w:rFonts w:ascii="Arial" w:hAnsi="Arial"/>
          <w:color w:val="3DC3C6"/>
          <w:sz w:val="24"/>
        </w:rPr>
        <w:t>Δειγματοληπτικές δοκιμές σε ηλιακούς συλλέκτες και έλεγχοι στο εργοστάσιο</w:t>
      </w:r>
    </w:p>
    <w:p w14:paraId="7F0CC378" w14:textId="1A03A918" w:rsidR="00E63743" w:rsidRPr="001F15A3" w:rsidRDefault="00E63743" w:rsidP="00C42EE6">
      <w:pPr>
        <w:jc w:val="both"/>
        <w:rPr>
          <w:rFonts w:ascii="Arial" w:hAnsi="Arial" w:cs="Arial"/>
        </w:rPr>
      </w:pPr>
      <w:r>
        <w:rPr>
          <w:rFonts w:ascii="Arial" w:hAnsi="Arial"/>
        </w:rPr>
        <w:t xml:space="preserve">Τα έργα μεγάλης κλίμακας (μεγαλύτερα από 1 MW) υπόκεινται επίσης ενίοτε σε δειγματοληπτικές δοκιμές και ελέγχους στο εργοστάσιο. </w:t>
      </w:r>
    </w:p>
    <w:p w14:paraId="718FF494" w14:textId="4F812901" w:rsidR="00CD76B5" w:rsidRPr="001F15A3" w:rsidRDefault="00CD76B5" w:rsidP="00C42EE6">
      <w:pPr>
        <w:jc w:val="both"/>
        <w:rPr>
          <w:rFonts w:ascii="Arial" w:hAnsi="Arial" w:cs="Arial"/>
        </w:rPr>
      </w:pPr>
      <w:r>
        <w:rPr>
          <w:rFonts w:ascii="Arial" w:hAnsi="Arial"/>
        </w:rPr>
        <w:lastRenderedPageBreak/>
        <w:t xml:space="preserve">Θα πρέπει να σκεφτείτε αν θα συμπεριλάβετε τις εν λόγω δοκιμές και ελέγχους στην πρόσκληση υποβολής προσφορών, ώστε το συμβαλλόμενο μέρος να είναι υπεύθυνο για την οργάνωσή τους, ή μπορείτε να τα αφήσετε εκτός της πρόσκλησης υποβολής προσφορών και να τα οργανώσετε εσείς οι ίδιοι.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Δειγματοληπτικές δοκιμές</w:t>
      </w:r>
      <w:r>
        <w:rPr>
          <w:rFonts w:ascii="Arial" w:hAnsi="Arial"/>
        </w:rPr>
        <w:t xml:space="preserve"> Οι ηλιακοί συλλέκτες παρέχονται ενίοτε με μικρότερη ισχύ από εκείνη που αναφέρεται στη συνοδευτική τεκμηρίωση. Μερικές φορές προκαλούνται ορατές ή αόρατες ζημιές στο εργοστάσιο ή κατά τη μεταφορά. Αυτό μπορεί να επιφέρει μεγάλο κόστος στην περίπτωση μεγάλων έργων.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Στην περίπτωση μεγάλων έργων, υποβάλλεται σε δοκιμή ένας (πολύ μικρός) αριθμός ηλιακών συλλεκτών μετά την άφιξή τους στις Κάτω Χώρες και πριν από τη διάθεσή τους για εγκατάσταση. Οι εν λόγω δειγματοληπτικές δοκιμές ελέγχουν την ποιότητα των ηλιακών συλλεκτών που παραδίδονται.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Κατά τις δοκιμές εξετάζονται θέματα όπως:</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αν είναι αληθής η δηλωμένη μέγιστη ισχύς Watt —με τη χρήση δοκιμής προσομοίωσης ηλιακής ακτινοβολίας (flash test)</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αν υπάρχουν πάρα πολλές μικρορωγμές, γεγονός που αυξάνει την πιθανότητα ταχείας υποβάθμισης —με τη χρήση δοκιμής ηλεκτροφωταύγειας (EL testing)</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διενέργεια οπτικού ελέγχου της μονάδας — έλεγχος της συναρμολόγησης και του φινιρίσματος</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επιθεώρηση των υλικών που χρησιμοποιήθηκαν στη μονάδα — έλεγχος των προδιαγραφών. </w:t>
      </w:r>
    </w:p>
    <w:p w14:paraId="2886CBF0" w14:textId="328B15DC" w:rsidR="007518EB" w:rsidRPr="001F15A3" w:rsidRDefault="007518EB" w:rsidP="00B7557D">
      <w:pPr>
        <w:jc w:val="both"/>
        <w:rPr>
          <w:rFonts w:ascii="Arial" w:hAnsi="Arial" w:cs="Arial"/>
        </w:rPr>
      </w:pPr>
      <w:r>
        <w:rPr>
          <w:rFonts w:ascii="Arial" w:hAnsi="Arial"/>
        </w:rPr>
        <w:t xml:space="preserve">Στην περίπτωση πολύ μεγάλων έργων (άνω των 20 MWp), συχνά διενεργείται επίσης έλεγχος στο εργοστάσιο. Αυτός συνεπάγεται ανεξάρτητο έλεγχο της ποιότητας της παρτίδας ηλιακών συλλεκτών που παραγγέλθηκαν </w:t>
      </w:r>
      <w:r>
        <w:rPr>
          <w:rFonts w:ascii="Arial" w:hAnsi="Arial"/>
          <w:i/>
        </w:rPr>
        <w:t>κατά τη διάρκεια της διαδικασίας παραγωγής στο εργοστάσιο</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Οι δειγματοληπτικές δοκιμές και οι έλεγχοι στο εργοστάσιο (συχνά στην Κίνα) κοστίζουν ακριβά. Για ένα έργο 10 MW, το εν λόγω κόστος μπορεί να είναι 4 000-6 000 EUR για τις δειγματοληπτικές δοκιμές και 5 000-8 000 EUR για τον έλεγχο στο εργοστάσιο.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rPr>
        <w:t xml:space="preserve">Στο </w:t>
      </w:r>
      <w:r>
        <w:rPr>
          <w:rFonts w:ascii="Arial" w:hAnsi="Arial"/>
          <w:b/>
          <w:color w:val="3DC3C6"/>
          <w:u w:val="single"/>
        </w:rPr>
        <w:t>παράρτημα 7</w:t>
      </w:r>
      <w:r>
        <w:rPr>
          <w:rFonts w:ascii="Arial" w:hAnsi="Arial"/>
        </w:rPr>
        <w:t xml:space="preserve"> υπάρχει κατάλογος οργανισμών που μπορούν να διενεργούν δειγματοληπτικές δοκιμές ή ελέγχους στο εργοστάσιο</w:t>
      </w:r>
      <w:r>
        <w:rPr>
          <w:rStyle w:val="FootnoteReference"/>
          <w:rFonts w:ascii="Arial" w:hAnsi="Arial"/>
        </w:rPr>
        <w:t>2</w:t>
      </w:r>
      <w:r>
        <w:rPr>
          <w:rFonts w:ascii="Arial" w:hAnsi="Arial"/>
        </w:rPr>
        <w:t xml:space="preserve">.  </w:t>
      </w:r>
      <w:r>
        <w:rPr>
          <w:rFonts w:ascii="Arial" w:hAnsi="Arial"/>
        </w:rPr>
        <w:cr/>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Στην περίπτωση μικρότερων έργων, οι πρόσθετες δαπάνες γενικά δεν αξίζουν τον κόπο, δεδομένου του κινδύνου.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Επιπλέον, είναι δυνατό και σύνηθες να συμπεριλαμβάνεται στη σύμβαση ή στην πρόσκληση υποβολής προσφορών εγγύηση σταθερής απόδοσης για τα πρώτα 2-4 έτη. </w:t>
      </w:r>
    </w:p>
    <w:p w14:paraId="570FEB61" w14:textId="77777777" w:rsidR="007518EB" w:rsidRDefault="007518EB"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7C0E44" w:rsidRDefault="004D365E" w:rsidP="007C0E44">
      <w:pPr>
        <w:pStyle w:val="Heading2"/>
        <w:rPr>
          <w:rFonts w:ascii="Arial" w:hAnsi="Arial" w:cs="Arial"/>
          <w:color w:val="104D54"/>
        </w:rPr>
      </w:pPr>
      <w:bookmarkStart w:id="139" w:name="_Toc176868919"/>
      <w:r w:rsidRPr="007C0E44">
        <w:rPr>
          <w:rFonts w:ascii="Arial" w:hAnsi="Arial" w:cs="Arial"/>
          <w:color w:val="104D54"/>
        </w:rPr>
        <w:lastRenderedPageBreak/>
        <w:t>Βήμα 8 Συντήρηση, παρακολούθηση και τέλος του κύκλου ζωής</w:t>
      </w:r>
      <w:bookmarkEnd w:id="139"/>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Το στάδιο λειτουργίας αρχίζει με την παράδοση του φωτοβολταϊκού έργου και την παραγωγή ηλεκτρικής ενέργειας. Οι επιλογές σχετικά με το στάδιο αυτό γίνονται στο προκαταρκτικό στάδιο, έτσι ώστε οι σχετικές απαιτήσεις να περιλαμβάνονται ή να μην περιλαμβάνονται στον πίνακα απαιτήσεων.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Συχνά ζητείται από τον εγκαταστάτη ή την εταιρεία ΣΕΑ που ολοκλήρωσε τη φωτοβολταϊκή εγκατάσταση να παρέχει υπηρεσίες συντήρησης και παρακολούθησης για 2-4 έτη. Αυτό παρέχει κίνητρο στον ανάδοχο να παραδώσει μια εγκατάσταση καλής ποιότητας με υψηλό λόγο απόδοσης. </w:t>
      </w:r>
    </w:p>
    <w:p w14:paraId="7D3418EB" w14:textId="77777777" w:rsidR="00961DD0" w:rsidRPr="001F15A3" w:rsidRDefault="00961DD0" w:rsidP="00C42EE6">
      <w:pPr>
        <w:jc w:val="both"/>
        <w:rPr>
          <w:rFonts w:ascii="Arial" w:hAnsi="Arial" w:cs="Arial"/>
        </w:rPr>
      </w:pPr>
      <w:r>
        <w:rPr>
          <w:rFonts w:ascii="Arial" w:hAnsi="Arial"/>
        </w:rPr>
        <w:t xml:space="preserve">Η συντήρηση και η παρακολούθηση μπορούν επίσης να ανατεθούν σε ανάδοχο χωριστά. Ενίοτε, διενεργούνται από την εσωτερική τεχνική υπηρεσία. </w:t>
      </w:r>
    </w:p>
    <w:p w14:paraId="2C9CF9CA" w14:textId="6FEE291B" w:rsidR="00961DD0" w:rsidRPr="001F15A3" w:rsidRDefault="001E4615" w:rsidP="00C42EE6">
      <w:pPr>
        <w:jc w:val="both"/>
        <w:rPr>
          <w:rFonts w:ascii="Arial" w:hAnsi="Arial" w:cs="Arial"/>
        </w:rPr>
      </w:pPr>
      <w:r>
        <w:rPr>
          <w:rFonts w:ascii="Arial" w:hAnsi="Arial"/>
        </w:rPr>
        <w:t xml:space="preserve">Στο </w:t>
      </w:r>
      <w:r>
        <w:rPr>
          <w:rFonts w:ascii="Arial" w:hAnsi="Arial"/>
          <w:b/>
          <w:color w:val="3DC3C6"/>
          <w:u w:val="single"/>
        </w:rPr>
        <w:t>παράρτημα 8</w:t>
      </w:r>
      <w:r>
        <w:rPr>
          <w:rFonts w:ascii="Arial" w:hAnsi="Arial"/>
          <w:b/>
          <w:color w:val="92D050"/>
        </w:rPr>
        <w:t xml:space="preserve"> </w:t>
      </w:r>
      <w:r>
        <w:rPr>
          <w:rFonts w:ascii="Arial" w:hAnsi="Arial"/>
        </w:rPr>
        <w:t>παρουσιάζεται κατάλογος</w:t>
      </w:r>
      <w:r>
        <w:rPr>
          <w:rFonts w:ascii="Arial" w:hAnsi="Arial"/>
          <w:vertAlign w:val="superscript"/>
        </w:rPr>
        <w:t>2</w:t>
      </w:r>
      <w:r>
        <w:rPr>
          <w:rFonts w:ascii="Arial" w:hAnsi="Arial"/>
        </w:rPr>
        <w:t xml:space="preserve"> οργανισμών που ασχολούνται με τη συντήρηση και την παρακολούθηση.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Συντήρηση και επισκευές</w:t>
      </w:r>
    </w:p>
    <w:p w14:paraId="7DFCBCD1" w14:textId="77777777" w:rsidR="00C4096C" w:rsidRPr="001F15A3" w:rsidRDefault="00C4096C" w:rsidP="00C4096C">
      <w:pPr>
        <w:rPr>
          <w:rFonts w:ascii="Arial" w:hAnsi="Arial" w:cs="Arial"/>
        </w:rPr>
      </w:pPr>
      <w:r>
        <w:rPr>
          <w:rFonts w:ascii="Arial" w:hAnsi="Arial"/>
        </w:rPr>
        <w:t xml:space="preserve">Αυτό περιλαμβάνει μεταξύ άλλων: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έλεγχο του μετατροπέα και καθαρισμό του, εάν χρειάζεται</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έλεγχο των καλωδίων και των αγωγών καλωδίων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έλεγχο της κατασκευής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αντικατάσταση τυχόν ελαττωματικών ηλιακών συλλεκτών, εάν χρειάζεται</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Καθαρισμός</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Οι ηλιακοί συλλέκτες σπάνια καθαρίζονται στις Κάτω Χώρες — ξεπλένονται από το νερό της βροχής. Εκτός εξαιρετικών περιπτώσεων (π.χ. όταν υπάρχουν πολλά πτηνά στην περιοχή), το κόστος καθαρισμού δεν δικαιολογείται από την πρόσθετη απόδοση.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Παρακολούθηση</w:t>
      </w:r>
    </w:p>
    <w:p w14:paraId="2BCA5E34" w14:textId="4B4CC2C5" w:rsidR="00972B11" w:rsidRPr="001F15A3" w:rsidRDefault="00B160CC" w:rsidP="00C42EE6">
      <w:pPr>
        <w:jc w:val="both"/>
        <w:rPr>
          <w:rFonts w:ascii="Arial" w:hAnsi="Arial" w:cs="Arial"/>
        </w:rPr>
      </w:pPr>
      <w:r>
        <w:rPr>
          <w:rFonts w:ascii="Arial" w:hAnsi="Arial"/>
        </w:rPr>
        <w:t xml:space="preserve">Το στάδιο λειτουργίας περιλαμβάνει τον ταχύ εντοπισμό και την ταχεία επίλυση τυχόν προβλημάτων. Οι ιδιοκτήτες κατοικιών χρησιμοποιούν συχνά την εφαρμογή τους για έξυπνα τηλέφωνα για να ελέγχουν την ορθή λειτουργία του μετατροπέα ή της φωτοβολταϊκής εγκατάστασης. Στην περίπτωση μικρότερων έργων, η διαδικασία αυτή εκτελείται από την τεχνική υπηρεσία ή τη συνήθη εταιρεία εγκατάστασης. Στην περίπτωση μεγάλων έργων, η πρόσληψη εξειδικευμένης εταιρείας για τον σκοπό αυτό μπορεί να αποδειχθεί οικονομικά αποδοτική λύση.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Η παρακολούθηση περιλαμβάνει την εξ αποστάσεως ανάγνωση των ενδείξεων, μεταξύ άλλων,</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του μετατροπέα και των μετρητών ηλεκτρικού ρεύματος·</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και τη σύγκριση της απόδοσης παρακείμενων συστημάτων, αρκετές φορές τον χρόνο·</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σε μεγαλύτερα έργα, τη χρήση δρόνων με κάμερα υπερύθρων για την επιθεώρηση των ηλιακών συλλεκτών. </w:t>
      </w:r>
    </w:p>
    <w:p w14:paraId="47E09D38" w14:textId="70D3FF13" w:rsidR="00972B11" w:rsidRPr="00175EA5" w:rsidRDefault="005F7961" w:rsidP="00972B11">
      <w:pPr>
        <w:rPr>
          <w:rFonts w:ascii="Arial" w:hAnsi="Arial" w:cs="Arial"/>
        </w:rPr>
      </w:pPr>
      <w:r w:rsidRPr="00175EA5">
        <w:rPr>
          <w:rFonts w:ascii="Arial" w:hAnsi="Arial" w:cs="Arial"/>
        </w:rPr>
        <w:br/>
      </w:r>
    </w:p>
    <w:p w14:paraId="61AECDEB" w14:textId="2BC2F23E"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lastRenderedPageBreak/>
        <w:t>Εισφορά διάθεσης και αντικατάσταση ηλιακών συλλεκτών</w:t>
      </w:r>
    </w:p>
    <w:p w14:paraId="1649F90E" w14:textId="159E7DCD" w:rsidR="00961DD0" w:rsidRPr="001F15A3" w:rsidRDefault="0007474D" w:rsidP="00961DD0">
      <w:pPr>
        <w:jc w:val="both"/>
        <w:rPr>
          <w:rFonts w:ascii="Arial" w:hAnsi="Arial" w:cs="Arial"/>
        </w:rPr>
      </w:pPr>
      <w:r>
        <w:rPr>
          <w:rFonts w:ascii="Arial" w:hAnsi="Arial"/>
        </w:rPr>
        <w:t>Στο υπόδειγμα απαιτήσεων αναφέρεται ότι ο πελάτης καταβάλλει την υποχρεωτική εισφορά διάθεσης των ηλιακών συλλεκτών στο OPEN Foundation. Επίσης, οι ηλιακοί συλλέκτες θα πρέπει να παραμείνουν στη θέση τους για όσο το δυνατόν μεγαλύτερο χρονικό διάστημα, προκειμένου να επιβραδύνεται η κλιματική αλλαγή. Εξάλλου, η παραγωγή των συλλεκτών συνεπάγεται εκπομπή μεγάλης ποσότητας CO</w:t>
      </w:r>
      <w:r>
        <w:rPr>
          <w:rFonts w:ascii="Arial" w:hAnsi="Arial"/>
          <w:vertAlign w:val="subscript"/>
        </w:rPr>
        <w:t>2</w:t>
      </w:r>
      <w:r>
        <w:rPr>
          <w:rFonts w:ascii="Arial" w:hAnsi="Arial"/>
        </w:rPr>
        <w:t xml:space="preserve"> και, ως εκ τούτου, η περίοδος απόσβεσης CO</w:t>
      </w:r>
      <w:r>
        <w:rPr>
          <w:rFonts w:ascii="Arial" w:hAnsi="Arial"/>
          <w:vertAlign w:val="subscript"/>
        </w:rPr>
        <w:t>2</w:t>
      </w:r>
      <w:r>
        <w:rPr>
          <w:rFonts w:ascii="Arial" w:hAnsi="Arial"/>
        </w:rPr>
        <w:t xml:space="preserve"> των ηλιακών συλλεκτών μπορεί να διαρκεί χρόνια.</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Γι’ αυτόν τον λόγο συνιστάται η αφαίρεση των ηλιακών συλλεκτών μόνο όταν αποδίδουν λιγότερο από το 80 % περίπου της αρχικής τους απόδοσης. Οι ηλιακοί συλλέκτες υψηλής ποιότητας θα παράγουν πάνω από το 80 % της αρχικής απόδοσής τους για τουλάχιστον 25-30 έτη. </w:t>
      </w:r>
    </w:p>
    <w:p w14:paraId="0AD18F62" w14:textId="77777777" w:rsidR="008A2C89" w:rsidRPr="004C0EBD" w:rsidRDefault="003509F6" w:rsidP="00094DE4">
      <w:pPr>
        <w:pStyle w:val="MH1"/>
      </w:pPr>
      <w:r>
        <w:br w:type="page"/>
      </w:r>
      <w:bookmarkStart w:id="140" w:name="_Toc176867405"/>
      <w:bookmarkStart w:id="141" w:name="_Toc176868920"/>
      <w:bookmarkStart w:id="142" w:name="_Toc180507858"/>
      <w:r>
        <w:lastRenderedPageBreak/>
        <w:t>Συντομογραφίες και ακρωνύμια</w:t>
      </w:r>
      <w:bookmarkEnd w:id="140"/>
      <w:bookmarkEnd w:id="141"/>
      <w:bookmarkEnd w:id="142"/>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ΜΠΚ</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Μελέτη, προμήθεια, κατασκευή</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Σημείο μέγιστης ισχύος (Maximum Power Point)</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ΛκΣ</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Λειτουργία και συντήρηση</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Συσκευή παρακολούθησης σημείου μέγιστης ισχύος</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r>
              <w:rPr>
                <w:rFonts w:ascii="Arial" w:hAnsi="Arial"/>
              </w:rPr>
              <w:t>V</w:t>
            </w:r>
            <w:r>
              <w:rPr>
                <w:rFonts w:ascii="Arial" w:hAnsi="Arial"/>
                <w:vertAlign w:val="subscript"/>
              </w:rPr>
              <w:t>oc</w:t>
            </w:r>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Τάση ανοικτού κυκλώματος</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ΣΑΗΕ</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Σύμβαση αγοράς ηλεκτρικής ενέργειας</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Σταθμισμένο κόστος ηλεκτρικής ενέργειας</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Κιλοβάτ</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ΥΤ</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Υψηλή τάση</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Κιλοβατώρα</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ΧΤ</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Χαμηλή τάση</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Φ/Β</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Φωτοβολταϊκά</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ΕΡ</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Εναλλασσόμενο ρεύμα</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ΛΑ</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Λόγος απόδοσης</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ΣΡ</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Συνεχές ρεύμα</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Ευρωπαϊκό πρότυπο</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r>
              <w:rPr>
                <w:rFonts w:ascii="Arial" w:hAnsi="Arial"/>
              </w:rPr>
              <w:t>I</w:t>
            </w:r>
            <w:r>
              <w:rPr>
                <w:rFonts w:ascii="Arial" w:hAnsi="Arial"/>
                <w:vertAlign w:val="subscript"/>
              </w:rPr>
              <w:t>sc</w:t>
            </w:r>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Ρεύμα βραχυκύκλωσης</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Κρυσταλλικό πυρίτιο</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Βαθμοί Κελσίου</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Επίπεδο συστοιχιών</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Συμμόρφωση με τα ευρωπαϊκά πρότυπα</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Έτοιμο προς κατασκευή (Ready To Build)</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Συνολική οριζόντια ένταση ακτινοβολίας (Global Horizontal Irradiance)</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ΟΕΣ</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Οντότητα ειδικού σκοπού — νομική οντότητα που χρησιμοποιείται για τη χρηματοδότηση κατασκευών</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Ασφάλιση κατά παντός κατασκευαστικού κινδύνου</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Δοκιμή ηλεκτροφωταύγειας — Αποκαλύπτει μικρορωγμές και θραυσμένα Φ/Β στοιχεία</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ΚΠΠ</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Κριτήρια προσωρινής παραλαβής</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ΚΟΠ</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Κριτήρια οριστικής παραλαβής</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r>
              <w:rPr>
                <w:rFonts w:ascii="Arial" w:hAnsi="Arial"/>
              </w:rPr>
              <w:t>kVA</w:t>
            </w:r>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Κιλοβολταμπέρ (kiloVoltAmpere)· ισχύς· παρόμοιο με το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Μεγαβάτ</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Υποβάθμιση λόγω διαφοράς τάσης</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ΥΔΕ</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Υπεύθυνος διαχείρισης έργου</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Σύστημα Γεωγραφικών Πληροφοριών Φωτοβολταϊκών Στοιχείων</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Ε&amp;Α</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Ερωτήσεις και απαντήσεις</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r>
              <w:rPr>
                <w:rFonts w:ascii="Arial" w:hAnsi="Arial"/>
              </w:rPr>
              <w:t>ΑγΠ</w:t>
            </w:r>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Αίτηση για πρόταση</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ΚΣΔ</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Κανονικές συνθήκες δοκιμής </w:t>
            </w:r>
            <w:r>
              <w:rPr>
                <w:rFonts w:ascii="Arial" w:hAnsi="Arial"/>
              </w:rPr>
              <w:cr/>
            </w:r>
            <w:r>
              <w:rPr>
                <w:rFonts w:ascii="Arial" w:hAnsi="Arial"/>
              </w:rPr>
              <w:br/>
              <w:t>(25 °C, ένταση ακτινοβολίας 1 000 W/m</w:t>
            </w:r>
            <w:r>
              <w:rPr>
                <w:rFonts w:ascii="Arial" w:hAnsi="Arial"/>
                <w:vertAlign w:val="superscript"/>
              </w:rPr>
              <w:t>2</w:t>
            </w:r>
            <w:r>
              <w:rPr>
                <w:rFonts w:ascii="Arial" w:hAnsi="Arial"/>
              </w:rPr>
              <w:t>)</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Υπεριώδης</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ΤΜΕ</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Τυπικό μετεωρολογικό έτος</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r>
              <w:rPr>
                <w:rFonts w:ascii="Arial" w:hAnsi="Arial"/>
              </w:rPr>
              <w:t>I</w:t>
            </w:r>
            <w:r>
              <w:rPr>
                <w:rFonts w:ascii="Arial" w:hAnsi="Arial"/>
                <w:vertAlign w:val="subscript"/>
              </w:rPr>
              <w:t>mpp</w:t>
            </w:r>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Ρεύμα στο σημείο μέγιστης ισχύος</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r>
              <w:rPr>
                <w:rFonts w:ascii="Arial" w:hAnsi="Arial"/>
              </w:rPr>
              <w:t>V</w:t>
            </w:r>
            <w:r>
              <w:rPr>
                <w:rFonts w:ascii="Arial" w:hAnsi="Arial"/>
                <w:vertAlign w:val="subscript"/>
              </w:rPr>
              <w:t>mpp</w:t>
            </w:r>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Τάση στο σημείο μέγιστης ισχύος</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lastRenderedPageBreak/>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Υπέρυθρες — π.χ. χρήση καμερών υπερύθρων σε δρόνους για ελέγχους ποιότητας</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r>
              <w:rPr>
                <w:rFonts w:ascii="Arial" w:hAnsi="Arial"/>
              </w:rPr>
              <w:t>Φωτοφωταύγεια</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ΠΚΔ</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Pr>
                <w:rFonts w:ascii="Arial" w:hAnsi="Arial"/>
              </w:rPr>
              <w:t>Περιβαλλοντικοί, κοινωνικοί και σχετικοί με τη διακυβέρνηση</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ΟΑΠ</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Όριο αποδεκτής ποιότητας</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r>
              <w:rPr>
                <w:rFonts w:ascii="Arial" w:hAnsi="Arial"/>
              </w:rPr>
              <w:t>ΑγΠ</w:t>
            </w:r>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Απαιτήσεις για παραγωγή</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Έτοιμο προς κατασκευή</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ΒκΤΠ</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Βέλτιστη και τελική προσφορά</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094DE4">
      <w:pPr>
        <w:pStyle w:val="MH1"/>
        <w:rPr>
          <w:rFonts w:eastAsiaTheme="majorEastAsia"/>
          <w:color w:val="92D050"/>
          <w:sz w:val="40"/>
          <w:szCs w:val="40"/>
        </w:rPr>
      </w:pPr>
      <w:r>
        <w:br w:type="page"/>
      </w:r>
      <w:bookmarkStart w:id="143" w:name="_Toc176867406"/>
      <w:bookmarkStart w:id="144" w:name="_Toc176868921"/>
      <w:bookmarkStart w:id="145" w:name="_Toc180507859"/>
      <w:r>
        <w:lastRenderedPageBreak/>
        <w:t>Παράρτημα 1 — Τεχνικοί σύμβουλοι</w:t>
      </w:r>
      <w:r>
        <w:rPr>
          <w:rStyle w:val="FootnoteReference"/>
        </w:rPr>
        <w:t>2</w:t>
      </w:r>
      <w:bookmarkEnd w:id="143"/>
      <w:bookmarkEnd w:id="144"/>
      <w:bookmarkEnd w:id="145"/>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Σημείωση: </w:t>
      </w:r>
      <w:r>
        <w:t xml:space="preserve">Ο κατάλογος που ακολουθεί δεν είναι εξαντλητικός. Δεν έχουμε πραγματοποιήσει καμία έρευνα σχετικά με την πείρα, την ποιότητα ή τις τιμές των συμβούλων που αναφέρονται παρακάτω.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Εταιρεία</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Τόπος εγκατάστασης</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Υπεύθυνος επικοινωνίας</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Ηλεκτρονικό ταχυδρομείο</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r>
              <w:rPr>
                <w:rFonts w:ascii="Arial" w:hAnsi="Arial"/>
                <w:sz w:val="20"/>
              </w:rPr>
              <w:t>Encon</w:t>
            </w:r>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Pr>
                <w:rFonts w:ascii="Arial" w:hAnsi="Arial"/>
                <w:sz w:val="20"/>
              </w:rPr>
              <w:t>Nijmegen, NL</w:t>
            </w:r>
          </w:p>
        </w:tc>
        <w:tc>
          <w:tcPr>
            <w:tcW w:w="2268" w:type="dxa"/>
            <w:tcMar>
              <w:top w:w="28" w:type="dxa"/>
              <w:bottom w:w="28" w:type="dxa"/>
            </w:tcMar>
          </w:tcPr>
          <w:p w14:paraId="1FA2EDB0" w14:textId="20C257D3"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0773CF1B" w:rsidR="00CA7080" w:rsidRPr="00830EE2" w:rsidRDefault="00F42ABA" w:rsidP="00CB76C0">
            <w:pPr>
              <w:rPr>
                <w:rFonts w:ascii="Arial" w:hAnsi="Arial" w:cs="Arial"/>
                <w:sz w:val="20"/>
                <w:szCs w:val="20"/>
              </w:rPr>
            </w:pPr>
            <w:hyperlink r:id="rId21" w:history="1"/>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Pr>
                <w:rFonts w:ascii="Arial" w:hAnsi="Arial"/>
                <w:sz w:val="20"/>
              </w:rPr>
              <w:t>Straight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r>
              <w:rPr>
                <w:rFonts w:ascii="Arial" w:hAnsi="Arial"/>
                <w:sz w:val="20"/>
              </w:rPr>
              <w:t>Urmond, NL</w:t>
            </w:r>
          </w:p>
        </w:tc>
        <w:tc>
          <w:tcPr>
            <w:tcW w:w="2268" w:type="dxa"/>
            <w:tcMar>
              <w:top w:w="28" w:type="dxa"/>
              <w:bottom w:w="28" w:type="dxa"/>
            </w:tcMar>
          </w:tcPr>
          <w:p w14:paraId="658643B2" w14:textId="63B2E668"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5AB00481"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r>
              <w:rPr>
                <w:rFonts w:ascii="Arial" w:hAnsi="Arial"/>
                <w:sz w:val="20"/>
              </w:rPr>
              <w:t>Herentals, BE</w:t>
            </w:r>
          </w:p>
        </w:tc>
        <w:tc>
          <w:tcPr>
            <w:tcW w:w="2268" w:type="dxa"/>
            <w:tcMar>
              <w:top w:w="28" w:type="dxa"/>
              <w:bottom w:w="28" w:type="dxa"/>
            </w:tcMar>
          </w:tcPr>
          <w:p w14:paraId="025CE506" w14:textId="255F57BB" w:rsidR="00CA7080" w:rsidRPr="00DC1387" w:rsidRDefault="00CA7080" w:rsidP="00CB76C0">
            <w:pPr>
              <w:rPr>
                <w:rFonts w:ascii="Arial" w:hAnsi="Arial" w:cs="Arial"/>
                <w:sz w:val="20"/>
                <w:szCs w:val="20"/>
                <w:lang w:val="en-IE"/>
              </w:rPr>
            </w:pPr>
          </w:p>
        </w:tc>
        <w:tc>
          <w:tcPr>
            <w:tcW w:w="2835" w:type="dxa"/>
            <w:tcMar>
              <w:top w:w="28" w:type="dxa"/>
              <w:bottom w:w="28" w:type="dxa"/>
            </w:tcMar>
          </w:tcPr>
          <w:p w14:paraId="40CABE25" w14:textId="2DA9B450"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Βρυξέλλες, BE</w:t>
            </w:r>
          </w:p>
        </w:tc>
        <w:tc>
          <w:tcPr>
            <w:tcW w:w="2268" w:type="dxa"/>
            <w:tcMar>
              <w:top w:w="28" w:type="dxa"/>
              <w:bottom w:w="28" w:type="dxa"/>
            </w:tcMar>
          </w:tcPr>
          <w:p w14:paraId="71F1D7AA" w14:textId="1307793A"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627726AB"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55B57574"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10136483"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r>
              <w:rPr>
                <w:rFonts w:ascii="Arial" w:hAnsi="Arial"/>
                <w:sz w:val="20"/>
              </w:rPr>
              <w:t>Sunzest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Ρότερνταμ, NL</w:t>
            </w:r>
          </w:p>
        </w:tc>
        <w:tc>
          <w:tcPr>
            <w:tcW w:w="2268" w:type="dxa"/>
            <w:tcMar>
              <w:top w:w="28" w:type="dxa"/>
              <w:bottom w:w="28" w:type="dxa"/>
            </w:tcMar>
          </w:tcPr>
          <w:p w14:paraId="27E8DE7A" w14:textId="2D67B8C9"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5303A8C4"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Solar Chills</w:t>
            </w:r>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NL</w:t>
            </w:r>
          </w:p>
        </w:tc>
        <w:tc>
          <w:tcPr>
            <w:tcW w:w="2268" w:type="dxa"/>
            <w:tcMar>
              <w:top w:w="28" w:type="dxa"/>
              <w:bottom w:w="28" w:type="dxa"/>
            </w:tcMar>
          </w:tcPr>
          <w:p w14:paraId="6CB0A123" w14:textId="7F28C218"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4E6E435D"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r>
              <w:rPr>
                <w:rFonts w:ascii="Arial" w:hAnsi="Arial"/>
                <w:sz w:val="20"/>
              </w:rPr>
              <w:t>DevCon Ecosystems</w:t>
            </w:r>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r>
              <w:rPr>
                <w:rFonts w:ascii="Arial" w:hAnsi="Arial"/>
                <w:sz w:val="20"/>
              </w:rPr>
              <w:t>Zaandam, NL</w:t>
            </w:r>
          </w:p>
        </w:tc>
        <w:tc>
          <w:tcPr>
            <w:tcW w:w="2268" w:type="dxa"/>
            <w:tcMar>
              <w:top w:w="28" w:type="dxa"/>
              <w:bottom w:w="28" w:type="dxa"/>
            </w:tcMar>
          </w:tcPr>
          <w:p w14:paraId="1A047144" w14:textId="59AB1312"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771B30A8"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094DE4">
      <w:pPr>
        <w:pStyle w:val="MH1"/>
      </w:pPr>
      <w:bookmarkStart w:id="146" w:name="_Toc176867407"/>
      <w:bookmarkStart w:id="147" w:name="_Toc176868922"/>
      <w:bookmarkStart w:id="148" w:name="_Toc180507860"/>
      <w:r>
        <w:lastRenderedPageBreak/>
        <w:t>Παράρτημα 2 — Σύμβουλοι δομικής φυσικής, μηχανικοί δομικών έργων που εξειδικεύονται σε φορτία στέγης</w:t>
      </w:r>
      <w:r>
        <w:rPr>
          <w:rStyle w:val="FootnoteReference"/>
        </w:rPr>
        <w:t>2</w:t>
      </w:r>
      <w:bookmarkEnd w:id="146"/>
      <w:bookmarkEnd w:id="147"/>
      <w:bookmarkEnd w:id="148"/>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Σημείωση: </w:t>
      </w:r>
      <w:r>
        <w:t xml:space="preserve">Ο κατάλογος που ακολουθεί δεν είναι εξαντλητικός. Δεν έχουμε πραγματοποιήσει καμία έρευνα σχετικά με την πείρα, την ποιότητα ή τις τιμές των συμβούλων που αναφέρονται παρακάτω.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88"/>
        <w:gridCol w:w="1854"/>
        <w:gridCol w:w="1871"/>
        <w:gridCol w:w="2949"/>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Εταιρεία</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Τόπος εγκατάστασης</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Υπεύθυνος επικοινωνίας</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Ηλεκτρονικό ταχυδρομείο</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r>
              <w:rPr>
                <w:rFonts w:ascii="Arial" w:hAnsi="Arial"/>
                <w:sz w:val="20"/>
              </w:rPr>
              <w:t>Dakbestek Adviesburo</w:t>
            </w:r>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r>
              <w:rPr>
                <w:rFonts w:ascii="Arial" w:hAnsi="Arial"/>
                <w:sz w:val="20"/>
              </w:rPr>
              <w:t>Vught, NL</w:t>
            </w:r>
          </w:p>
        </w:tc>
        <w:tc>
          <w:tcPr>
            <w:tcW w:w="1873" w:type="dxa"/>
            <w:tcMar>
              <w:top w:w="28" w:type="dxa"/>
              <w:bottom w:w="28" w:type="dxa"/>
            </w:tcMar>
          </w:tcPr>
          <w:p w14:paraId="56C4C3C4" w14:textId="00DCEA1F" w:rsidR="006E596B" w:rsidRPr="00DC1387" w:rsidRDefault="006E596B" w:rsidP="00A3595E">
            <w:pPr>
              <w:rPr>
                <w:rFonts w:ascii="Arial" w:hAnsi="Arial" w:cs="Arial"/>
                <w:sz w:val="20"/>
                <w:szCs w:val="20"/>
                <w:lang w:val="en-IE"/>
              </w:rPr>
            </w:pPr>
          </w:p>
        </w:tc>
        <w:tc>
          <w:tcPr>
            <w:tcW w:w="2971" w:type="dxa"/>
            <w:tcMar>
              <w:top w:w="28" w:type="dxa"/>
              <w:bottom w:w="28" w:type="dxa"/>
            </w:tcMar>
          </w:tcPr>
          <w:p w14:paraId="559707B9" w14:textId="62F51F8F"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Van Doorn Dakspecialist</w:t>
            </w:r>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r>
              <w:rPr>
                <w:rFonts w:ascii="Arial" w:hAnsi="Arial"/>
                <w:sz w:val="20"/>
              </w:rPr>
              <w:t>Rilland, NL</w:t>
            </w:r>
          </w:p>
        </w:tc>
        <w:tc>
          <w:tcPr>
            <w:tcW w:w="1873" w:type="dxa"/>
            <w:tcMar>
              <w:top w:w="28" w:type="dxa"/>
              <w:bottom w:w="28" w:type="dxa"/>
            </w:tcMar>
          </w:tcPr>
          <w:p w14:paraId="773F72CB" w14:textId="360E5A4A" w:rsidR="006E596B" w:rsidRPr="00DC1387" w:rsidRDefault="006E596B" w:rsidP="00A3595E">
            <w:pPr>
              <w:rPr>
                <w:rFonts w:ascii="Arial" w:hAnsi="Arial" w:cs="Arial"/>
                <w:sz w:val="20"/>
                <w:szCs w:val="20"/>
                <w:lang w:val="en-IE"/>
              </w:rPr>
            </w:pPr>
          </w:p>
        </w:tc>
        <w:tc>
          <w:tcPr>
            <w:tcW w:w="2971" w:type="dxa"/>
            <w:tcMar>
              <w:top w:w="28" w:type="dxa"/>
              <w:bottom w:w="28" w:type="dxa"/>
            </w:tcMar>
          </w:tcPr>
          <w:p w14:paraId="5823C071" w14:textId="70C8AB3B"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NL</w:t>
            </w:r>
          </w:p>
        </w:tc>
        <w:tc>
          <w:tcPr>
            <w:tcW w:w="1873" w:type="dxa"/>
            <w:tcMar>
              <w:top w:w="28" w:type="dxa"/>
              <w:bottom w:w="28" w:type="dxa"/>
            </w:tcMar>
          </w:tcPr>
          <w:p w14:paraId="123F0BED" w14:textId="5FAA971C"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5D5DE10E"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2E73E464" w:rsidR="006E596B" w:rsidRPr="00DC1387" w:rsidRDefault="006E596B" w:rsidP="00A3595E">
            <w:pPr>
              <w:rPr>
                <w:rFonts w:ascii="Arial" w:hAnsi="Arial" w:cs="Arial"/>
                <w:sz w:val="20"/>
                <w:szCs w:val="20"/>
                <w:lang w:val="en-IE"/>
              </w:rPr>
            </w:pPr>
          </w:p>
        </w:tc>
        <w:tc>
          <w:tcPr>
            <w:tcW w:w="2971" w:type="dxa"/>
            <w:tcMar>
              <w:top w:w="28" w:type="dxa"/>
              <w:bottom w:w="28" w:type="dxa"/>
            </w:tcMar>
          </w:tcPr>
          <w:p w14:paraId="68480554" w14:textId="758FC234"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r>
              <w:rPr>
                <w:rFonts w:ascii="Arial" w:hAnsi="Arial"/>
                <w:sz w:val="20"/>
              </w:rPr>
              <w:t>Buro Bouwfysica</w:t>
            </w:r>
          </w:p>
        </w:tc>
        <w:tc>
          <w:tcPr>
            <w:tcW w:w="1813" w:type="dxa"/>
            <w:tcMar>
              <w:top w:w="28" w:type="dxa"/>
              <w:bottom w:w="28" w:type="dxa"/>
            </w:tcMar>
          </w:tcPr>
          <w:p w14:paraId="6D9EB62C" w14:textId="714E2A97" w:rsidR="006E596B" w:rsidRPr="00C36793" w:rsidRDefault="5FA5399C" w:rsidP="00A3595E">
            <w:pPr>
              <w:rPr>
                <w:rFonts w:ascii="Arial" w:hAnsi="Arial" w:cs="Arial"/>
                <w:sz w:val="20"/>
                <w:szCs w:val="20"/>
                <w:lang w:val="fr-FR"/>
              </w:rPr>
            </w:pPr>
            <w:proofErr w:type="spellStart"/>
            <w:r w:rsidRPr="00C36793">
              <w:rPr>
                <w:rFonts w:ascii="Arial" w:hAnsi="Arial"/>
                <w:sz w:val="20"/>
                <w:lang w:val="fr-FR"/>
              </w:rPr>
              <w:t>Cappelle</w:t>
            </w:r>
            <w:proofErr w:type="spellEnd"/>
            <w:r w:rsidRPr="00C36793">
              <w:rPr>
                <w:rFonts w:ascii="Arial" w:hAnsi="Arial"/>
                <w:sz w:val="20"/>
                <w:lang w:val="fr-FR"/>
              </w:rPr>
              <w:t xml:space="preserve"> </w:t>
            </w:r>
            <w:proofErr w:type="spellStart"/>
            <w:r w:rsidRPr="00C36793">
              <w:rPr>
                <w:rFonts w:ascii="Arial" w:hAnsi="Arial"/>
                <w:sz w:val="20"/>
                <w:lang w:val="fr-FR"/>
              </w:rPr>
              <w:t>aan</w:t>
            </w:r>
            <w:proofErr w:type="spellEnd"/>
            <w:r w:rsidRPr="00C36793">
              <w:rPr>
                <w:rFonts w:ascii="Arial" w:hAnsi="Arial"/>
                <w:sz w:val="20"/>
                <w:lang w:val="fr-FR"/>
              </w:rPr>
              <w:t xml:space="preserve"> de Ijssel, NL</w:t>
            </w:r>
          </w:p>
        </w:tc>
        <w:tc>
          <w:tcPr>
            <w:tcW w:w="1873" w:type="dxa"/>
            <w:tcMar>
              <w:top w:w="28" w:type="dxa"/>
              <w:bottom w:w="28" w:type="dxa"/>
            </w:tcMar>
          </w:tcPr>
          <w:p w14:paraId="7CBF9C09" w14:textId="2F0D944A" w:rsidR="006E596B" w:rsidRPr="00DC1387" w:rsidRDefault="006E596B" w:rsidP="00A3595E">
            <w:pPr>
              <w:rPr>
                <w:rFonts w:ascii="Arial" w:hAnsi="Arial" w:cs="Arial"/>
                <w:sz w:val="20"/>
                <w:szCs w:val="20"/>
                <w:lang w:val="en-IE"/>
              </w:rPr>
            </w:pPr>
          </w:p>
        </w:tc>
        <w:tc>
          <w:tcPr>
            <w:tcW w:w="2971" w:type="dxa"/>
            <w:tcMar>
              <w:top w:w="28" w:type="dxa"/>
              <w:bottom w:w="28" w:type="dxa"/>
            </w:tcMar>
          </w:tcPr>
          <w:p w14:paraId="5DD20552" w14:textId="271A4937"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Pr>
                <w:rFonts w:ascii="Arial" w:hAnsi="Arial"/>
                <w:sz w:val="20"/>
              </w:rPr>
              <w:t>Tritium</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36FEAB0F" w:rsidR="5FA5399C" w:rsidRPr="00DC1387" w:rsidRDefault="5FA5399C" w:rsidP="5FA5399C">
            <w:pPr>
              <w:rPr>
                <w:rFonts w:ascii="Arial" w:hAnsi="Arial" w:cs="Arial"/>
                <w:sz w:val="20"/>
                <w:szCs w:val="20"/>
                <w:lang w:val="en-IE"/>
              </w:rPr>
            </w:pPr>
          </w:p>
        </w:tc>
        <w:tc>
          <w:tcPr>
            <w:tcW w:w="2971" w:type="dxa"/>
            <w:tcMar>
              <w:top w:w="28" w:type="dxa"/>
              <w:bottom w:w="28" w:type="dxa"/>
            </w:tcMar>
          </w:tcPr>
          <w:p w14:paraId="5E5DFB82" w14:textId="3677946E"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55BCA821" w:rsidR="0072702E" w:rsidRPr="004C0EBD" w:rsidRDefault="0072702E" w:rsidP="00094DE4">
      <w:pPr>
        <w:pStyle w:val="MH1"/>
      </w:pPr>
      <w:bookmarkStart w:id="149" w:name="_Toc176867408"/>
      <w:bookmarkStart w:id="150" w:name="_Toc176868923"/>
      <w:bookmarkStart w:id="151" w:name="_Toc180507861"/>
      <w:r>
        <w:lastRenderedPageBreak/>
        <w:t>Παράρτημα 3 — Εταιρείες εγκατάστασης, εταιρείες ΣΕΑ και φορείς υλοποίησης έργων για εταιρείες Φ/Β έργων</w:t>
      </w:r>
      <w:r>
        <w:rPr>
          <w:rStyle w:val="FootnoteReference"/>
        </w:rPr>
        <w:t>2</w:t>
      </w:r>
      <w:bookmarkEnd w:id="149"/>
      <w:bookmarkEnd w:id="150"/>
      <w:bookmarkEnd w:id="151"/>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Σημείωση: </w:t>
      </w:r>
      <w:r>
        <w:t xml:space="preserve">Ο κατάλογος που ακολουθεί δεν είναι εξαντλητικός. Δεν έχουμε πραγματοποιήσει καμία έρευνα σχετικά με την πείρα, την ποιότητα ή τις τιμές των συμβούλων που αναφέρονται παρακάτω.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Τύπος εταιρείας</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Εταιρεία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Ιστότοπος</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Ηλεκτρονικό ταχυδρομείο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Μεγάλες εταιρείες ηλεκτρολογικών και τεχνικών εγκαταστάσεων</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r>
              <w:rPr>
                <w:rFonts w:ascii="Arial" w:hAnsi="Arial"/>
                <w:sz w:val="20"/>
              </w:rPr>
              <w:t>Unica</w:t>
            </w:r>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24860473"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r>
              <w:rPr>
                <w:rFonts w:ascii="Arial" w:hAnsi="Arial"/>
                <w:sz w:val="20"/>
              </w:rPr>
              <w:t>Hoppenbrouwers</w:t>
            </w:r>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44656401"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r>
              <w:rPr>
                <w:rFonts w:ascii="Arial" w:hAnsi="Arial"/>
                <w:sz w:val="20"/>
              </w:rPr>
              <w:t>Batenburg</w:t>
            </w:r>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00BA44FF"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r>
              <w:rPr>
                <w:rFonts w:ascii="Arial" w:hAnsi="Arial"/>
                <w:sz w:val="20"/>
              </w:rPr>
              <w:t>Spie</w:t>
            </w:r>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04F59AD2"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r>
              <w:rPr>
                <w:rFonts w:ascii="Arial" w:hAnsi="Arial"/>
                <w:sz w:val="20"/>
              </w:rPr>
              <w:t>Croon Elektrotechniek</w:t>
            </w:r>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5D4115E6"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Μεγάλες εταιρείες ηλιακών εγκαταστάσεων /εταιρείες ΣΕΑ</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r>
              <w:rPr>
                <w:rFonts w:ascii="Arial" w:hAnsi="Arial"/>
                <w:sz w:val="20"/>
              </w:rPr>
              <w:t>Zonnegilde</w:t>
            </w:r>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24F1F2F4"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r>
              <w:rPr>
                <w:rFonts w:ascii="Arial" w:hAnsi="Arial"/>
                <w:sz w:val="20"/>
              </w:rPr>
              <w:t>SolarNRG</w:t>
            </w:r>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r>
              <w:rPr>
                <w:rFonts w:ascii="Arial" w:hAnsi="Arial"/>
                <w:sz w:val="20"/>
              </w:rPr>
              <w:t>Zonnestroom Nederland</w:t>
            </w:r>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71023F6C"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r>
              <w:rPr>
                <w:rFonts w:ascii="Arial" w:hAnsi="Arial"/>
                <w:sz w:val="20"/>
              </w:rPr>
              <w:t>Eigen Energie</w:t>
            </w:r>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7E4808B1"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r>
              <w:rPr>
                <w:rFonts w:ascii="Arial" w:hAnsi="Arial"/>
                <w:sz w:val="20"/>
              </w:rPr>
              <w:t>Groenleven</w:t>
            </w:r>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2C827540"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r>
              <w:rPr>
                <w:rFonts w:ascii="Arial" w:hAnsi="Arial"/>
                <w:sz w:val="20"/>
              </w:rPr>
              <w:t>Ecorus</w:t>
            </w:r>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23D8D0F9"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4FD5A730"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Solar Partners</w:t>
            </w:r>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527BC842"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r>
              <w:rPr>
                <w:rFonts w:ascii="Arial" w:hAnsi="Arial"/>
                <w:sz w:val="20"/>
              </w:rPr>
              <w:t>UniSun</w:t>
            </w:r>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410F73BA"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r>
              <w:rPr>
                <w:rFonts w:ascii="Arial" w:hAnsi="Arial"/>
                <w:sz w:val="20"/>
              </w:rPr>
              <w:t>Goldbeck</w:t>
            </w:r>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32855B61"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r>
              <w:rPr>
                <w:rFonts w:ascii="Arial" w:hAnsi="Arial"/>
                <w:sz w:val="20"/>
              </w:rPr>
              <w:t>KiesZon</w:t>
            </w:r>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71BE746D"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r>
              <w:rPr>
                <w:rFonts w:ascii="Arial" w:hAnsi="Arial"/>
                <w:sz w:val="20"/>
              </w:rPr>
              <w:t>OranjeDak</w:t>
            </w:r>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08D77819"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r>
              <w:rPr>
                <w:rFonts w:ascii="Arial" w:hAnsi="Arial"/>
                <w:sz w:val="20"/>
              </w:rPr>
              <w:t>SunProjects</w:t>
            </w:r>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23C55246"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r>
              <w:rPr>
                <w:rFonts w:ascii="Arial" w:hAnsi="Arial"/>
                <w:sz w:val="20"/>
              </w:rPr>
              <w:t>Izen</w:t>
            </w:r>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4D26FC2C"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r>
              <w:rPr>
                <w:rFonts w:ascii="Arial" w:hAnsi="Arial"/>
                <w:sz w:val="20"/>
              </w:rPr>
              <w:t>Pfzal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6BA4FA73"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r>
              <w:rPr>
                <w:rFonts w:ascii="Arial" w:hAnsi="Arial"/>
                <w:sz w:val="20"/>
              </w:rPr>
              <w:t>Engie</w:t>
            </w:r>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3328FF25"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r>
              <w:rPr>
                <w:rFonts w:ascii="Arial" w:hAnsi="Arial"/>
                <w:sz w:val="20"/>
              </w:rPr>
              <w:t>Belectric</w:t>
            </w:r>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46D10189"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r>
              <w:rPr>
                <w:rFonts w:ascii="Arial" w:hAnsi="Arial"/>
                <w:sz w:val="20"/>
              </w:rPr>
              <w:t>ProfiNRG</w:t>
            </w:r>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5B34CF77"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Φορείς υλοποίησης έργων</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r>
              <w:rPr>
                <w:rFonts w:ascii="Arial" w:hAnsi="Arial"/>
                <w:sz w:val="20"/>
              </w:rPr>
              <w:t>Groenleven</w:t>
            </w:r>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1407FB40"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r>
              <w:rPr>
                <w:rFonts w:ascii="Arial" w:hAnsi="Arial"/>
                <w:sz w:val="20"/>
              </w:rPr>
              <w:t>Klimaatfonds</w:t>
            </w:r>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113E72C3"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r>
              <w:rPr>
                <w:rFonts w:ascii="Arial" w:hAnsi="Arial"/>
                <w:sz w:val="20"/>
              </w:rPr>
              <w:t>TPSolar</w:t>
            </w:r>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63F1FA14"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r>
              <w:rPr>
                <w:rFonts w:ascii="Arial" w:hAnsi="Arial"/>
                <w:sz w:val="20"/>
              </w:rPr>
              <w:t>GreenIpp</w:t>
            </w:r>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5513C960"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r>
              <w:rPr>
                <w:rFonts w:ascii="Arial" w:hAnsi="Arial"/>
                <w:sz w:val="20"/>
              </w:rPr>
              <w:t>Encavis</w:t>
            </w:r>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7321483B"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r>
              <w:rPr>
                <w:rFonts w:ascii="Arial" w:hAnsi="Arial"/>
                <w:sz w:val="20"/>
              </w:rPr>
              <w:t>Tomorrow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5EDCEFE6"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HVC Groep</w:t>
            </w:r>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5CEC3D1E"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r>
              <w:rPr>
                <w:rFonts w:ascii="Arial" w:hAnsi="Arial"/>
                <w:sz w:val="20"/>
              </w:rPr>
              <w:t>Nara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6DF19DAF"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r>
              <w:rPr>
                <w:rFonts w:ascii="Arial" w:hAnsi="Arial"/>
                <w:sz w:val="20"/>
              </w:rPr>
              <w:t>Statskraft</w:t>
            </w:r>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693B3117"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Pure Energie</w:t>
            </w:r>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1ED73C90"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r>
              <w:rPr>
                <w:rFonts w:ascii="Arial" w:hAnsi="Arial"/>
                <w:sz w:val="20"/>
              </w:rPr>
              <w:t>Enovos</w:t>
            </w:r>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423B27CB"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r>
              <w:rPr>
                <w:rFonts w:ascii="Arial" w:hAnsi="Arial"/>
                <w:sz w:val="20"/>
              </w:rPr>
              <w:t>Lightsource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72727B86"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r>
              <w:rPr>
                <w:rFonts w:ascii="Arial" w:hAnsi="Arial"/>
                <w:sz w:val="20"/>
              </w:rPr>
              <w:t>Chint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2CF9A949"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r>
              <w:rPr>
                <w:rFonts w:ascii="Arial" w:hAnsi="Arial"/>
                <w:sz w:val="20"/>
              </w:rPr>
              <w:t>SunVest</w:t>
            </w:r>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00E014B0"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r>
              <w:rPr>
                <w:rFonts w:ascii="Arial" w:hAnsi="Arial"/>
                <w:sz w:val="20"/>
              </w:rPr>
              <w:t>SunProjects</w:t>
            </w:r>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42CB4FB6"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r>
              <w:rPr>
                <w:rFonts w:ascii="Arial" w:hAnsi="Arial"/>
                <w:sz w:val="20"/>
              </w:rPr>
              <w:t>Vattenfall</w:t>
            </w:r>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2F865C23"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r>
              <w:rPr>
                <w:rFonts w:ascii="Arial" w:hAnsi="Arial"/>
                <w:sz w:val="20"/>
              </w:rPr>
              <w:t>Ecorus</w:t>
            </w:r>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50896708"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r>
              <w:rPr>
                <w:rFonts w:ascii="Arial" w:hAnsi="Arial"/>
                <w:sz w:val="20"/>
              </w:rPr>
              <w:t>Eneco</w:t>
            </w:r>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42428BB7"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r>
              <w:rPr>
                <w:rFonts w:ascii="Arial" w:hAnsi="Arial"/>
                <w:sz w:val="20"/>
              </w:rPr>
              <w:t>Powerfield</w:t>
            </w:r>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0DF6B98F"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r>
              <w:rPr>
                <w:rFonts w:ascii="Arial" w:hAnsi="Arial"/>
                <w:sz w:val="20"/>
              </w:rPr>
              <w:t>Novar</w:t>
            </w:r>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4D3960C4"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r>
              <w:rPr>
                <w:rFonts w:ascii="Arial" w:hAnsi="Arial"/>
                <w:sz w:val="20"/>
              </w:rPr>
              <w:t>Groendus</w:t>
            </w:r>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2D42136D"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IB Vogt</w:t>
            </w:r>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5AEFF65E"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094DE4">
      <w:pPr>
        <w:pStyle w:val="MH1"/>
      </w:pPr>
      <w:bookmarkStart w:id="152" w:name="_Toc176867409"/>
      <w:bookmarkStart w:id="153" w:name="_Toc176868924"/>
      <w:bookmarkStart w:id="154" w:name="_Toc180507862"/>
      <w:r>
        <w:lastRenderedPageBreak/>
        <w:t>Παράρτημα 4 — Σύμβουλοι και πάροχοι εξειδικευμένοι σε συστήματα ενεργειακής διαχείρισης, μπαταρίες και διαχείριση ζήτησης</w:t>
      </w:r>
      <w:r>
        <w:rPr>
          <w:rStyle w:val="FootnoteReference"/>
        </w:rPr>
        <w:t>2</w:t>
      </w:r>
      <w:bookmarkEnd w:id="152"/>
      <w:bookmarkEnd w:id="153"/>
      <w:bookmarkEnd w:id="154"/>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Σημείωση: </w:t>
      </w:r>
      <w:r>
        <w:t xml:space="preserve">Ο κατάλογος που ακολουθεί δεν είναι εξαντλητικός. Δεν έχουμε πραγματοποιήσει καμία έρευνα σχετικά με την πείρα, την ποιότητα ή τις τιμές των συμβούλων που αναφέρονται παρακάτω.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2108"/>
      </w:tblGrid>
      <w:tr w:rsidR="00830EE2" w:rsidRPr="00830EE2" w14:paraId="5293B041" w14:textId="77777777" w:rsidTr="00DC1387">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Εταιρεία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Τόπος εγκατάστασης</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Υπεύθυνος επικοινωνίας </w:t>
            </w:r>
          </w:p>
        </w:tc>
        <w:tc>
          <w:tcPr>
            <w:tcW w:w="2108"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Ηλεκτρονικό ταχυδρομείο </w:t>
            </w:r>
          </w:p>
        </w:tc>
      </w:tr>
      <w:tr w:rsidR="0052536B" w:rsidRPr="004C0EBD" w14:paraId="564EA913" w14:textId="77777777" w:rsidTr="00DC1387">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Ρότερνταμ</w:t>
            </w:r>
          </w:p>
        </w:tc>
        <w:tc>
          <w:tcPr>
            <w:tcW w:w="2194" w:type="dxa"/>
            <w:tcMar>
              <w:top w:w="28" w:type="dxa"/>
              <w:bottom w:w="28" w:type="dxa"/>
            </w:tcMar>
            <w:vAlign w:val="center"/>
          </w:tcPr>
          <w:p w14:paraId="68F190C0" w14:textId="0CBDD19C"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164B0013" w14:textId="60669BFF" w:rsidR="0052536B" w:rsidRPr="00830EE2" w:rsidRDefault="0052536B" w:rsidP="5FA5399C">
            <w:pPr>
              <w:rPr>
                <w:rFonts w:ascii="Arial" w:eastAsiaTheme="minorEastAsia" w:hAnsi="Arial" w:cs="Arial"/>
                <w:sz w:val="20"/>
                <w:szCs w:val="20"/>
              </w:rPr>
            </w:pPr>
          </w:p>
        </w:tc>
      </w:tr>
      <w:tr w:rsidR="00527969" w:rsidRPr="004C0EBD" w14:paraId="55CCA169" w14:textId="77777777" w:rsidTr="00DC1387">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r>
              <w:rPr>
                <w:rFonts w:ascii="Arial" w:hAnsi="Arial"/>
                <w:sz w:val="20"/>
              </w:rPr>
              <w:t>Lyv energy</w:t>
            </w:r>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r>
              <w:rPr>
                <w:rFonts w:ascii="Arial" w:hAnsi="Arial"/>
                <w:sz w:val="20"/>
              </w:rPr>
              <w:t>Blaricum</w:t>
            </w:r>
          </w:p>
        </w:tc>
        <w:tc>
          <w:tcPr>
            <w:tcW w:w="2194" w:type="dxa"/>
            <w:tcMar>
              <w:top w:w="28" w:type="dxa"/>
              <w:bottom w:w="28" w:type="dxa"/>
            </w:tcMar>
            <w:vAlign w:val="center"/>
          </w:tcPr>
          <w:p w14:paraId="0A8A826F" w14:textId="2580FC95" w:rsidR="00527969" w:rsidRPr="00830EE2" w:rsidRDefault="00527969" w:rsidP="5FA5399C">
            <w:pPr>
              <w:rPr>
                <w:rFonts w:ascii="Arial" w:eastAsiaTheme="minorEastAsia" w:hAnsi="Arial" w:cs="Arial"/>
                <w:sz w:val="20"/>
                <w:szCs w:val="20"/>
              </w:rPr>
            </w:pPr>
          </w:p>
        </w:tc>
        <w:tc>
          <w:tcPr>
            <w:tcW w:w="2108" w:type="dxa"/>
            <w:tcMar>
              <w:top w:w="28" w:type="dxa"/>
              <w:bottom w:w="28" w:type="dxa"/>
            </w:tcMar>
            <w:vAlign w:val="center"/>
          </w:tcPr>
          <w:p w14:paraId="7EBA8D53" w14:textId="5B7B647F" w:rsidR="00527969" w:rsidRPr="00830EE2" w:rsidRDefault="00527969" w:rsidP="5FA5399C">
            <w:pPr>
              <w:rPr>
                <w:rFonts w:ascii="Arial" w:eastAsiaTheme="minorEastAsia" w:hAnsi="Arial" w:cs="Arial"/>
                <w:sz w:val="20"/>
                <w:szCs w:val="20"/>
              </w:rPr>
            </w:pPr>
          </w:p>
        </w:tc>
      </w:tr>
      <w:tr w:rsidR="0052536B" w:rsidRPr="004C0EBD" w14:paraId="4F173FF9" w14:textId="77777777" w:rsidTr="00DC1387">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r>
              <w:rPr>
                <w:rFonts w:ascii="Arial" w:hAnsi="Arial"/>
                <w:sz w:val="20"/>
              </w:rPr>
              <w:t>European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r>
              <w:rPr>
                <w:rFonts w:ascii="Arial" w:hAnsi="Arial"/>
                <w:sz w:val="20"/>
              </w:rPr>
              <w:t>Heerenveen</w:t>
            </w:r>
          </w:p>
        </w:tc>
        <w:tc>
          <w:tcPr>
            <w:tcW w:w="2194" w:type="dxa"/>
            <w:tcMar>
              <w:top w:w="28" w:type="dxa"/>
              <w:bottom w:w="28" w:type="dxa"/>
            </w:tcMar>
            <w:vAlign w:val="center"/>
          </w:tcPr>
          <w:p w14:paraId="1280BF28" w14:textId="691F1500"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70322736" w14:textId="27CB3454" w:rsidR="0052536B" w:rsidRPr="00830EE2" w:rsidRDefault="0052536B" w:rsidP="5FA5399C">
            <w:pPr>
              <w:rPr>
                <w:rFonts w:ascii="Arial" w:eastAsiaTheme="minorEastAsia" w:hAnsi="Arial" w:cs="Arial"/>
                <w:sz w:val="20"/>
                <w:szCs w:val="20"/>
              </w:rPr>
            </w:pPr>
          </w:p>
        </w:tc>
      </w:tr>
      <w:tr w:rsidR="5FA5399C" w:rsidRPr="004C0EBD" w14:paraId="469AD225" w14:textId="77777777" w:rsidTr="00DC1387">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r>
              <w:rPr>
                <w:rFonts w:ascii="Arial" w:hAnsi="Arial"/>
                <w:sz w:val="20"/>
              </w:rPr>
              <w:t>Scholt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68759E34"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4899A413" w14:textId="48B46691" w:rsidR="5FA5399C" w:rsidRPr="00830EE2" w:rsidRDefault="5FA5399C" w:rsidP="5FA5399C">
            <w:pPr>
              <w:rPr>
                <w:rFonts w:ascii="Arial" w:eastAsiaTheme="minorEastAsia" w:hAnsi="Arial" w:cs="Arial"/>
                <w:sz w:val="20"/>
                <w:szCs w:val="20"/>
              </w:rPr>
            </w:pPr>
          </w:p>
        </w:tc>
      </w:tr>
      <w:tr w:rsidR="5FA5399C" w:rsidRPr="004C0EBD" w14:paraId="4989B929" w14:textId="77777777" w:rsidTr="00DC1387">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r>
              <w:rPr>
                <w:rFonts w:ascii="Arial" w:hAnsi="Arial"/>
                <w:sz w:val="20"/>
              </w:rPr>
              <w:t>Odura</w:t>
            </w:r>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03431EBD" w:rsidR="5FA5399C" w:rsidRPr="00DC1387" w:rsidRDefault="5FA5399C" w:rsidP="5FA5399C">
            <w:pPr>
              <w:rPr>
                <w:rFonts w:ascii="Arial" w:eastAsiaTheme="minorEastAsia" w:hAnsi="Arial" w:cs="Arial"/>
                <w:sz w:val="20"/>
                <w:szCs w:val="20"/>
                <w:lang w:val="en-IE"/>
              </w:rPr>
            </w:pPr>
          </w:p>
        </w:tc>
        <w:tc>
          <w:tcPr>
            <w:tcW w:w="2108" w:type="dxa"/>
            <w:tcMar>
              <w:top w:w="28" w:type="dxa"/>
              <w:bottom w:w="28" w:type="dxa"/>
            </w:tcMar>
            <w:vAlign w:val="center"/>
          </w:tcPr>
          <w:p w14:paraId="00FBA627" w14:textId="39A34C57" w:rsidR="5FA5399C" w:rsidRPr="00830EE2" w:rsidRDefault="5FA5399C" w:rsidP="5FA5399C">
            <w:pPr>
              <w:rPr>
                <w:rFonts w:ascii="Arial" w:eastAsiaTheme="minorEastAsia" w:hAnsi="Arial" w:cs="Arial"/>
                <w:sz w:val="20"/>
                <w:szCs w:val="20"/>
              </w:rPr>
            </w:pPr>
          </w:p>
        </w:tc>
      </w:tr>
      <w:tr w:rsidR="0052536B" w:rsidRPr="004C0EBD" w14:paraId="2F25F258" w14:textId="77777777" w:rsidTr="00DC1387">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r>
              <w:rPr>
                <w:rFonts w:ascii="Arial" w:hAnsi="Arial"/>
                <w:sz w:val="20"/>
              </w:rPr>
              <w:t>StoredEnergy</w:t>
            </w:r>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r>
              <w:rPr>
                <w:rFonts w:ascii="Arial" w:hAnsi="Arial"/>
                <w:sz w:val="20"/>
              </w:rPr>
              <w:t>Schiedam</w:t>
            </w:r>
          </w:p>
        </w:tc>
        <w:tc>
          <w:tcPr>
            <w:tcW w:w="2194" w:type="dxa"/>
            <w:tcMar>
              <w:top w:w="28" w:type="dxa"/>
              <w:bottom w:w="28" w:type="dxa"/>
            </w:tcMar>
            <w:vAlign w:val="center"/>
          </w:tcPr>
          <w:p w14:paraId="69DE1BE3" w14:textId="10597983"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08E0B254" w14:textId="4BCFB506" w:rsidR="0052536B" w:rsidRPr="00830EE2" w:rsidRDefault="0052536B" w:rsidP="5FA5399C">
            <w:pPr>
              <w:rPr>
                <w:rFonts w:ascii="Arial" w:eastAsiaTheme="minorEastAsia" w:hAnsi="Arial" w:cs="Arial"/>
                <w:sz w:val="20"/>
                <w:szCs w:val="20"/>
              </w:rPr>
            </w:pPr>
          </w:p>
        </w:tc>
      </w:tr>
      <w:tr w:rsidR="0052536B" w:rsidRPr="004C0EBD" w14:paraId="7E879F35" w14:textId="77777777" w:rsidTr="00DC1387">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r>
              <w:rPr>
                <w:rFonts w:ascii="Arial" w:hAnsi="Arial"/>
                <w:sz w:val="20"/>
              </w:rPr>
              <w:t>MorePV</w:t>
            </w:r>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r>
              <w:rPr>
                <w:rFonts w:ascii="Arial" w:hAnsi="Arial"/>
                <w:sz w:val="20"/>
              </w:rPr>
              <w:t>Schoorl</w:t>
            </w:r>
          </w:p>
        </w:tc>
        <w:tc>
          <w:tcPr>
            <w:tcW w:w="2194" w:type="dxa"/>
            <w:tcMar>
              <w:top w:w="28" w:type="dxa"/>
              <w:bottom w:w="28" w:type="dxa"/>
            </w:tcMar>
            <w:vAlign w:val="center"/>
          </w:tcPr>
          <w:p w14:paraId="22548B1A" w14:textId="40FEF713" w:rsidR="0052536B" w:rsidRPr="00830EE2" w:rsidRDefault="0052536B" w:rsidP="00A3595E">
            <w:pPr>
              <w:rPr>
                <w:rFonts w:ascii="Arial" w:hAnsi="Arial" w:cs="Arial"/>
                <w:sz w:val="20"/>
                <w:szCs w:val="20"/>
              </w:rPr>
            </w:pPr>
          </w:p>
        </w:tc>
        <w:tc>
          <w:tcPr>
            <w:tcW w:w="2108" w:type="dxa"/>
            <w:tcMar>
              <w:top w:w="28" w:type="dxa"/>
              <w:bottom w:w="28" w:type="dxa"/>
            </w:tcMar>
            <w:vAlign w:val="center"/>
          </w:tcPr>
          <w:p w14:paraId="206930F3" w14:textId="7A6073AE" w:rsidR="0052536B" w:rsidRPr="00830EE2" w:rsidRDefault="0052536B" w:rsidP="00A3595E">
            <w:pPr>
              <w:rPr>
                <w:rFonts w:ascii="Arial" w:hAnsi="Arial" w:cs="Arial"/>
                <w:sz w:val="20"/>
                <w:szCs w:val="20"/>
              </w:rPr>
            </w:pPr>
          </w:p>
        </w:tc>
      </w:tr>
      <w:tr w:rsidR="5FA5399C" w:rsidRPr="004C0EBD" w14:paraId="6B67DA41" w14:textId="77777777" w:rsidTr="00DC1387">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r>
              <w:rPr>
                <w:rFonts w:ascii="Arial" w:hAnsi="Arial"/>
                <w:sz w:val="20"/>
              </w:rPr>
              <w:t>Alfen</w:t>
            </w:r>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53974665" w:rsidR="5FA5399C" w:rsidRPr="00DC1387" w:rsidRDefault="5FA5399C" w:rsidP="5FA5399C">
            <w:pPr>
              <w:rPr>
                <w:rFonts w:ascii="Arial" w:hAnsi="Arial" w:cs="Arial"/>
                <w:sz w:val="20"/>
                <w:szCs w:val="20"/>
                <w:lang w:val="en-IE"/>
              </w:rPr>
            </w:pPr>
          </w:p>
        </w:tc>
        <w:tc>
          <w:tcPr>
            <w:tcW w:w="2108" w:type="dxa"/>
            <w:tcMar>
              <w:top w:w="28" w:type="dxa"/>
              <w:bottom w:w="28" w:type="dxa"/>
            </w:tcMar>
            <w:vAlign w:val="center"/>
          </w:tcPr>
          <w:p w14:paraId="64147A1A" w14:textId="6142C582" w:rsidR="5FA5399C" w:rsidRPr="00830EE2" w:rsidRDefault="5FA5399C" w:rsidP="5FA5399C">
            <w:pPr>
              <w:rPr>
                <w:rFonts w:ascii="Arial" w:hAnsi="Arial" w:cs="Arial"/>
                <w:sz w:val="20"/>
                <w:szCs w:val="20"/>
              </w:rPr>
            </w:pPr>
          </w:p>
        </w:tc>
      </w:tr>
      <w:tr w:rsidR="5FA5399C" w:rsidRPr="004C0EBD" w14:paraId="00D67DD7" w14:textId="77777777" w:rsidTr="00DC1387">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r>
              <w:rPr>
                <w:rFonts w:ascii="Arial" w:hAnsi="Arial"/>
                <w:sz w:val="20"/>
              </w:rPr>
              <w:t>Fudura</w:t>
            </w:r>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Pr>
                <w:rFonts w:ascii="Arial" w:hAnsi="Arial"/>
                <w:sz w:val="20"/>
              </w:rPr>
              <w:t>Zwolle</w:t>
            </w:r>
          </w:p>
        </w:tc>
        <w:tc>
          <w:tcPr>
            <w:tcW w:w="2194" w:type="dxa"/>
            <w:tcMar>
              <w:top w:w="28" w:type="dxa"/>
              <w:bottom w:w="28" w:type="dxa"/>
            </w:tcMar>
            <w:vAlign w:val="center"/>
          </w:tcPr>
          <w:p w14:paraId="73C755F4" w14:textId="6D74662F" w:rsidR="5FA5399C" w:rsidRPr="00DC1387" w:rsidRDefault="5FA5399C" w:rsidP="5FA5399C">
            <w:pPr>
              <w:rPr>
                <w:rFonts w:ascii="Arial" w:hAnsi="Arial" w:cs="Arial"/>
                <w:sz w:val="20"/>
                <w:szCs w:val="20"/>
                <w:lang w:val="en-IE"/>
              </w:rPr>
            </w:pPr>
          </w:p>
        </w:tc>
        <w:tc>
          <w:tcPr>
            <w:tcW w:w="2108" w:type="dxa"/>
            <w:tcMar>
              <w:top w:w="28" w:type="dxa"/>
              <w:bottom w:w="28" w:type="dxa"/>
            </w:tcMar>
            <w:vAlign w:val="center"/>
          </w:tcPr>
          <w:p w14:paraId="0A535D25" w14:textId="599FEA43" w:rsidR="5FA5399C" w:rsidRPr="00830EE2" w:rsidRDefault="5FA5399C" w:rsidP="5FA5399C">
            <w:pPr>
              <w:rPr>
                <w:rFonts w:ascii="Arial" w:hAnsi="Arial" w:cs="Arial"/>
                <w:sz w:val="20"/>
                <w:szCs w:val="20"/>
              </w:rPr>
            </w:pPr>
          </w:p>
        </w:tc>
      </w:tr>
      <w:tr w:rsidR="00C81F79" w:rsidRPr="004C0EBD" w14:paraId="0656996A" w14:textId="77777777" w:rsidTr="00DC1387">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r>
              <w:rPr>
                <w:rFonts w:ascii="Arial" w:hAnsi="Arial"/>
                <w:sz w:val="20"/>
              </w:rPr>
              <w:t>Encon</w:t>
            </w:r>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Pr>
                <w:rFonts w:ascii="Arial" w:hAnsi="Arial"/>
                <w:sz w:val="20"/>
              </w:rPr>
              <w:t>Nijmegen, NL</w:t>
            </w:r>
          </w:p>
        </w:tc>
        <w:tc>
          <w:tcPr>
            <w:tcW w:w="2194" w:type="dxa"/>
            <w:tcMar>
              <w:top w:w="28" w:type="dxa"/>
              <w:bottom w:w="28" w:type="dxa"/>
            </w:tcMar>
            <w:vAlign w:val="center"/>
          </w:tcPr>
          <w:p w14:paraId="6628BE06" w14:textId="66EAE49A" w:rsidR="00C81F79" w:rsidRPr="00830EE2" w:rsidRDefault="00C81F79" w:rsidP="00C81F79">
            <w:pPr>
              <w:rPr>
                <w:rFonts w:ascii="Arial" w:hAnsi="Arial" w:cs="Arial"/>
                <w:sz w:val="20"/>
                <w:szCs w:val="20"/>
              </w:rPr>
            </w:pPr>
          </w:p>
        </w:tc>
        <w:tc>
          <w:tcPr>
            <w:tcW w:w="2108" w:type="dxa"/>
            <w:tcMar>
              <w:top w:w="28" w:type="dxa"/>
              <w:bottom w:w="28" w:type="dxa"/>
            </w:tcMar>
            <w:vAlign w:val="center"/>
          </w:tcPr>
          <w:p w14:paraId="440EC98A" w14:textId="5C50E719"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bookmarkStart w:id="155" w:name="_Toc176867410"/>
    <w:bookmarkStart w:id="156" w:name="_Toc176868925"/>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bookmarkEnd w:id="155"/>
      <w:bookmarkEnd w:id="156"/>
    </w:p>
    <w:p w14:paraId="554A8BB8" w14:textId="30668E91" w:rsidR="5FA5399C" w:rsidRPr="004C0EBD" w:rsidRDefault="5FA5399C">
      <w:r>
        <w:br w:type="page"/>
      </w:r>
    </w:p>
    <w:p w14:paraId="6FA05133" w14:textId="77777777" w:rsidR="006A5081" w:rsidRDefault="5FA5399C" w:rsidP="00094DE4">
      <w:pPr>
        <w:pStyle w:val="MH1"/>
      </w:pPr>
      <w:bookmarkStart w:id="157" w:name="_Toc176867411"/>
      <w:bookmarkStart w:id="158" w:name="_Toc176868926"/>
      <w:bookmarkStart w:id="159" w:name="_Toc180507863"/>
      <w:r>
        <w:lastRenderedPageBreak/>
        <w:t>Παράρτημα 5 — Εταιρείες χορήγησης δανειακών κεφαλαίων</w:t>
      </w:r>
      <w:bookmarkEnd w:id="157"/>
      <w:bookmarkEnd w:id="158"/>
      <w:bookmarkEnd w:id="159"/>
      <w:r>
        <w:t xml:space="preserve"> </w:t>
      </w:r>
    </w:p>
    <w:p w14:paraId="0F9716BC" w14:textId="72422C09" w:rsidR="00077532" w:rsidRPr="004C0EBD" w:rsidRDefault="5FA5399C" w:rsidP="00094DE4">
      <w:pPr>
        <w:pStyle w:val="MH1"/>
      </w:pPr>
      <w:bookmarkStart w:id="160" w:name="_Toc176867412"/>
      <w:bookmarkStart w:id="161" w:name="_Toc176868927"/>
      <w:bookmarkStart w:id="162" w:name="_Toc180507864"/>
      <w:r>
        <w:t>και χρηματοδότησης με ίδια κεφάλαια</w:t>
      </w:r>
      <w:r>
        <w:rPr>
          <w:rStyle w:val="FootnoteReference"/>
        </w:rPr>
        <w:t>2</w:t>
      </w:r>
      <w:bookmarkEnd w:id="160"/>
      <w:bookmarkEnd w:id="161"/>
      <w:bookmarkEnd w:id="162"/>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Σημείωση: </w:t>
      </w:r>
      <w:r>
        <w:t xml:space="preserve">Ο κατάλογος που ακολουθεί δεν είναι εξαντλητικός. Δεν έχουμε πραγματοποιήσει καμία έρευνα σχετικά με την πείρα, την ποιότητα ή τις τιμές των συμβούλων που αναφέρονται παρακάτω.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Είδος χρηματοδότησης</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Εταιρεία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Ιστότοπος</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Ηλεκτρονικό ταχυδρομείο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Δανειακό κεφάλαιο</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725F9676"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r>
              <w:rPr>
                <w:rFonts w:ascii="Arial" w:hAnsi="Arial"/>
                <w:sz w:val="20"/>
              </w:rPr>
              <w:t>KfW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65E67C35" w:rsidR="00854620" w:rsidRPr="00DC1387" w:rsidRDefault="00854620" w:rsidP="00CB76C0">
            <w:pPr>
              <w:rPr>
                <w:rFonts w:ascii="Arial" w:hAnsi="Arial" w:cs="Arial"/>
                <w:sz w:val="20"/>
                <w:szCs w:val="20"/>
                <w:lang w:val="en-IE"/>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4898A44A"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22E378A9"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r>
              <w:rPr>
                <w:rFonts w:ascii="Arial" w:hAnsi="Arial"/>
                <w:sz w:val="20"/>
              </w:rPr>
              <w:t>Triodos</w:t>
            </w:r>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0B98B3B4"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7C32BEBA"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41CBEA91"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Πληθοχρηματοδότηση (crowdfunding)</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r>
              <w:rPr>
                <w:rFonts w:ascii="Arial" w:hAnsi="Arial"/>
                <w:sz w:val="20"/>
              </w:rPr>
              <w:t>Zonnepanelen Delen</w:t>
            </w:r>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5637DF56"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r>
              <w:rPr>
                <w:rFonts w:ascii="Arial" w:hAnsi="Arial"/>
                <w:sz w:val="20"/>
              </w:rPr>
              <w:t>Duurzaaminvesteren</w:t>
            </w:r>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387FB72A"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094DE4">
      <w:pPr>
        <w:pStyle w:val="MH1"/>
      </w:pPr>
      <w:bookmarkStart w:id="163" w:name="_Toc176867413"/>
      <w:bookmarkStart w:id="164" w:name="_Toc176868928"/>
      <w:bookmarkStart w:id="165" w:name="_Toc180507865"/>
      <w:r>
        <w:lastRenderedPageBreak/>
        <w:t>Παράρτημα 6 — Επιθεωρήσεις βάσει της Ενότητας 12</w:t>
      </w:r>
      <w:r>
        <w:rPr>
          <w:rStyle w:val="FootnoteReference"/>
        </w:rPr>
        <w:t>2</w:t>
      </w:r>
      <w:bookmarkEnd w:id="163"/>
      <w:bookmarkEnd w:id="164"/>
      <w:bookmarkEnd w:id="165"/>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Σημείωση: </w:t>
      </w:r>
      <w:r>
        <w:t xml:space="preserve">Ο κατάλογος που ακολουθεί δεν είναι εξαντλητικός. Δεν έχουμε πραγματοποιήσει καμία έρευνα σχετικά με την πείρα, την ποιότητα ή τις τιμές των συμβούλων που αναφέρονται παρακάτω.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Εταιρεία</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Τόπος εγκατάστασης</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Ιστότοπος</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Ηλεκτρονικό ταχυδρομείο</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Omega Energie Techniek</w:t>
            </w:r>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Vianen,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16A2A6B2"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RJ Inspecties</w:t>
            </w:r>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78E1A55F"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Entheq Inspecties</w:t>
            </w:r>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03921BE3"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Inspecties</w:t>
            </w:r>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17447602"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GreenHero Inspecties en Opledingen</w:t>
            </w:r>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Dronten,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386FFA73"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Stroomwijs</w:t>
            </w:r>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3AE7F1CF"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Install Keur</w:t>
            </w:r>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Woerden,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6F34587B"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46334F0F"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Beverwijk,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396CCD57"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073D8E8F" w:rsidR="009F34FC" w:rsidRPr="004C0EBD" w:rsidRDefault="009F34FC" w:rsidP="00094DE4">
      <w:pPr>
        <w:pStyle w:val="MH1"/>
      </w:pPr>
      <w:bookmarkStart w:id="166" w:name="_Toc176867414"/>
      <w:bookmarkStart w:id="167" w:name="_Toc176868929"/>
      <w:bookmarkStart w:id="168" w:name="_Toc180507866"/>
      <w:r>
        <w:lastRenderedPageBreak/>
        <w:t>Παράρτημα 7 — Έλεγχοι στο εργοστάσιο και δειγματοληπτικές δοκιμές</w:t>
      </w:r>
      <w:r>
        <w:rPr>
          <w:rStyle w:val="FootnoteReference"/>
        </w:rPr>
        <w:t>2</w:t>
      </w:r>
      <w:bookmarkEnd w:id="166"/>
      <w:bookmarkEnd w:id="167"/>
      <w:bookmarkEnd w:id="168"/>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Σημείωση: </w:t>
      </w:r>
      <w:r>
        <w:t xml:space="preserve">Ο κατάλογος που ακολουθεί δεν είναι εξαντλητικός. Δεν έχουμε πραγματοποιήσει καμία έρευνα σχετικά με την πείρα, την ποιότητα ή τις τιμές των συμβούλων που αναφέρονται παρακάτω.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Εταιρεία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Τόπος εγκατάστασης</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Ιστότοπος</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Ηλεκτρονικό ταχυδρομείο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r>
              <w:rPr>
                <w:rFonts w:ascii="Arial" w:hAnsi="Arial"/>
                <w:sz w:val="20"/>
              </w:rPr>
              <w:t>Sinovoltaics</w:t>
            </w:r>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Χονγκ Κονγκ,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1E0E42BF"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Pr>
                <w:rFonts w:ascii="Arial" w:hAnsi="Arial"/>
                <w:sz w:val="20"/>
              </w:rPr>
              <w:t>Odin Spire/Sunchine</w:t>
            </w:r>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Ρότερνταμ,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24235F72"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Σανγκάη,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7C116BE1"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r>
              <w:rPr>
                <w:rFonts w:ascii="Arial" w:hAnsi="Arial"/>
                <w:sz w:val="20"/>
              </w:rPr>
              <w:t>Schinnen,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4364A447"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Σανγκάη,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03067D82"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Βερολίνο,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06FF1648"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1CFDA678" w:rsidR="00A451D4" w:rsidRPr="004C0EBD" w:rsidRDefault="00A451D4" w:rsidP="00094DE4">
      <w:pPr>
        <w:pStyle w:val="MH1"/>
      </w:pPr>
      <w:bookmarkStart w:id="169" w:name="_Toc176867415"/>
      <w:bookmarkStart w:id="170" w:name="_Toc176868930"/>
      <w:bookmarkStart w:id="171" w:name="_Toc180507867"/>
      <w:r>
        <w:lastRenderedPageBreak/>
        <w:t>Παράρτημα 8 — Παρακολούθηση, συντήρηση και επισκευές</w:t>
      </w:r>
      <w:r>
        <w:rPr>
          <w:rStyle w:val="FootnoteReference"/>
        </w:rPr>
        <w:t>2</w:t>
      </w:r>
      <w:bookmarkEnd w:id="169"/>
      <w:bookmarkEnd w:id="170"/>
      <w:bookmarkEnd w:id="171"/>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Σημείωση: </w:t>
      </w:r>
      <w:r>
        <w:t xml:space="preserve">Ο κατάλογος που ακολουθεί δεν είναι εξαντλητικός. Δεν έχουμε πραγματοποιήσει καμία έρευνα σχετικά με την πείρα, την ποιότητα ή τις τιμές των συμβούλων που αναφέρονται παρακάτω.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Εταιρεία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Τόπος εγκατάστασης</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Ιστότοπος</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Ηλεκτρονικό ταχυδρομείο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r>
              <w:rPr>
                <w:rFonts w:ascii="Arial" w:hAnsi="Arial"/>
                <w:sz w:val="20"/>
              </w:rPr>
              <w:t>Zonnepark Services Nederland</w:t>
            </w:r>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Ουτρέχτη,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2B09A44B"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r>
              <w:rPr>
                <w:rFonts w:ascii="Arial" w:hAnsi="Arial"/>
                <w:sz w:val="20"/>
              </w:rPr>
              <w:t>Solora</w:t>
            </w:r>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Pr>
                <w:rFonts w:ascii="Arial" w:hAnsi="Arial"/>
                <w:sz w:val="20"/>
              </w:rPr>
              <w:t>Hilversum,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2BF09057"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r>
              <w:rPr>
                <w:rFonts w:ascii="Arial" w:hAnsi="Arial"/>
                <w:sz w:val="20"/>
              </w:rPr>
              <w:t>Everday</w:t>
            </w:r>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r>
              <w:rPr>
                <w:rFonts w:ascii="Arial" w:hAnsi="Arial"/>
                <w:sz w:val="20"/>
              </w:rPr>
              <w:t>Rosmalen,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67B0E713" w:rsidR="00781A6E" w:rsidRPr="00DC1387" w:rsidRDefault="00781A6E" w:rsidP="5FA5399C">
            <w:pPr>
              <w:rPr>
                <w:rFonts w:ascii="Arial" w:eastAsiaTheme="minorEastAsia" w:hAnsi="Arial" w:cs="Arial"/>
                <w:sz w:val="20"/>
                <w:szCs w:val="20"/>
                <w:lang w:val="en-IE"/>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r>
              <w:rPr>
                <w:rFonts w:ascii="Arial" w:hAnsi="Arial"/>
                <w:sz w:val="20"/>
              </w:rPr>
              <w:t>Schoorl,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ά.α.</w:t>
            </w:r>
          </w:p>
        </w:tc>
        <w:tc>
          <w:tcPr>
            <w:tcW w:w="2266" w:type="dxa"/>
            <w:tcMar>
              <w:top w:w="28" w:type="dxa"/>
              <w:bottom w:w="28" w:type="dxa"/>
            </w:tcMar>
            <w:vAlign w:val="center"/>
          </w:tcPr>
          <w:p w14:paraId="0808A1C5" w14:textId="52C4EC7A"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094DE4">
      <w:pPr>
        <w:pStyle w:val="MH1"/>
      </w:pPr>
      <w:bookmarkStart w:id="172" w:name="_Toc176867416"/>
      <w:bookmarkStart w:id="173" w:name="_Toc176868931"/>
      <w:bookmarkStart w:id="174" w:name="_Toc180507868"/>
      <w:r>
        <w:lastRenderedPageBreak/>
        <w:t>Παράρτημα 9 — Επισκόπηση ασφαλιστικής κάλυψης CAR</w:t>
      </w:r>
      <w:bookmarkEnd w:id="172"/>
      <w:bookmarkEnd w:id="173"/>
      <w:bookmarkEnd w:id="174"/>
    </w:p>
    <w:p w14:paraId="6661C4AB" w14:textId="77777777" w:rsidR="00027167" w:rsidRPr="004C0EBD" w:rsidRDefault="00027167" w:rsidP="00027167"/>
    <w:p w14:paraId="163D15A6" w14:textId="1FF9D596" w:rsidR="00DE7E3C" w:rsidRPr="00536BD4" w:rsidRDefault="00DE7E3C" w:rsidP="00094DE4">
      <w:pPr>
        <w:pStyle w:val="MH3"/>
        <w:rPr>
          <w:szCs w:val="24"/>
        </w:rPr>
      </w:pPr>
      <w:bookmarkStart w:id="175" w:name="_Toc180507869"/>
      <w:r>
        <w:t>Τμήμα I: Εργασίες</w:t>
      </w:r>
      <w:bookmarkEnd w:id="175"/>
    </w:p>
    <w:p w14:paraId="6B5EFBE4" w14:textId="49E7F8F3" w:rsidR="00DE7E3C" w:rsidRPr="00536BD4" w:rsidRDefault="00DE7E3C" w:rsidP="00536BD4">
      <w:pPr>
        <w:jc w:val="both"/>
        <w:rPr>
          <w:rFonts w:ascii="Arial" w:hAnsi="Arial" w:cs="Arial"/>
          <w:color w:val="000000" w:themeColor="text1"/>
        </w:rPr>
      </w:pPr>
      <w:r>
        <w:rPr>
          <w:rFonts w:ascii="Arial" w:hAnsi="Arial"/>
          <w:color w:val="000000" w:themeColor="text1"/>
        </w:rPr>
        <w:t xml:space="preserve">Οι εργασίες είναι αυτές που συμφωνούνται στη σύμβαση κατασκευής. Το ποσό που ασφαλίζεται για τις οικοδομικές εργασίες είναι το κόστος των επισκευών για την επαναφορά στην κατάσταση προ της ζημίας. </w:t>
      </w:r>
      <w:r>
        <w:rPr>
          <w:rFonts w:ascii="Arial" w:hAnsi="Arial"/>
        </w:rPr>
        <w:t xml:space="preserve"> </w:t>
      </w:r>
      <w:r>
        <w:rPr>
          <w:rFonts w:ascii="Arial" w:hAnsi="Arial"/>
        </w:rPr>
        <w:cr/>
      </w:r>
      <w:r>
        <w:rPr>
          <w:rFonts w:ascii="Arial" w:hAnsi="Arial"/>
        </w:rPr>
        <w:br/>
      </w:r>
      <w:r>
        <w:rPr>
          <w:rFonts w:ascii="Arial" w:hAnsi="Arial"/>
          <w:color w:val="000000" w:themeColor="text1"/>
        </w:rPr>
        <w:t xml:space="preserve">Κίνδυνοι που καλύπτονται από ασφαλιστήριο CAR: πλημμύρες, άνεμοι, σεισμοί, ζημίες λόγω νερού και μούχλας, κατασκευαστικά ελαττώματα και αμέλεια. </w:t>
      </w:r>
    </w:p>
    <w:p w14:paraId="49C23B5A" w14:textId="63465452" w:rsidR="00536BD4" w:rsidRDefault="00DE7E3C" w:rsidP="00536BD4">
      <w:pPr>
        <w:jc w:val="both"/>
        <w:rPr>
          <w:rFonts w:ascii="Arial" w:hAnsi="Arial" w:cs="Arial"/>
        </w:rPr>
      </w:pPr>
      <w:r>
        <w:rPr>
          <w:rFonts w:ascii="Arial" w:hAnsi="Arial"/>
          <w:color w:val="000000" w:themeColor="text1"/>
        </w:rPr>
        <w:t xml:space="preserve">Δεν καλύπτονται φυσιολογικές φθορές και σκόπιμη αμέλεια. </w:t>
      </w:r>
      <w:r>
        <w:rPr>
          <w:rFonts w:ascii="Arial" w:hAnsi="Arial"/>
        </w:rPr>
        <w:t xml:space="preserve"> </w:t>
      </w:r>
      <w:r>
        <w:rPr>
          <w:rFonts w:ascii="Arial" w:hAnsi="Arial"/>
        </w:rPr>
        <w:cr/>
      </w:r>
      <w:r>
        <w:rPr>
          <w:rFonts w:ascii="Arial" w:hAnsi="Arial"/>
        </w:rPr>
        <w:br/>
      </w:r>
      <w:r>
        <w:rPr>
          <w:rFonts w:ascii="Arial" w:hAnsi="Arial"/>
          <w:i/>
          <w:color w:val="3DC3C6"/>
        </w:rPr>
        <w:t>Ενισχυμένη κάλυψη για διακοπή λειτουργίας (προαιρετική)</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color w:val="000000" w:themeColor="text1"/>
        </w:rPr>
        <w:t>Αυτή καλύπτει κάθε οικονομική ζημία του ασφαλισμένου που προκύπτει από τη διακοπή του προβλεπόμενου στη σύμβαση έργου, η οποία προκαλεί καθυστερήσεις στην προγραμματισμένη έναρξη των εμπορικών δραστηριοτήτων.</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Τμήμα II: Ευθύνη</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Η ρήτρα περί ευθύνης καλύπτει την ευθύνη του ασφαλισμένου</w:t>
      </w:r>
      <w:r>
        <w:rPr>
          <w:rFonts w:ascii="Arial" w:hAnsi="Arial"/>
        </w:rPr>
        <w:t xml:space="preserve"> </w:t>
      </w:r>
      <w:r>
        <w:rPr>
          <w:rFonts w:ascii="Arial" w:hAnsi="Arial"/>
          <w:b/>
          <w:color w:val="104D54"/>
        </w:rPr>
        <w:t>και άλλων μερών</w:t>
      </w:r>
      <w:r>
        <w:rPr>
          <w:rFonts w:ascii="Arial" w:hAnsi="Arial"/>
        </w:rPr>
        <w:t xml:space="preserve"> </w:t>
      </w:r>
      <w:r>
        <w:rPr>
          <w:rFonts w:ascii="Arial" w:hAnsi="Arial"/>
          <w:color w:val="000000" w:themeColor="text1"/>
        </w:rPr>
        <w:t>(για παράδειγμα των αναδόχων) έναντι τρίτων για γεγονότα που συνδέονται με την εκτέλεση του έργου, όπως:</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τραυματισμοί</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απώλεια, ζημιά ή καταστροφή υλικής περιουσίας.</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Επίσης, τα ασφαλισμένα μέρη έχουν εκατέρωθεν ευθύνη. Εάν το συμβαλλόμενο μέρος προκαλέσει ζημία στον πελάτη (και οι δύο ασφαλισμένοι βάσει του ασφαλιστηρίου συμβολαίου), το συμβαλλόμενο μέρος μπορεί να υποβάλει αξίωση βάσει του ασφαλιστηρίου, δεδομένου ότι καλύπτεται η ευθύνη του έναντι του πελάτη.</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Τμήμα III: Υφιστάμενα περιουσιακά στοιχεία του πελάτη</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Ζημία σε υφιστάμενα περιουσιακά στοιχεία του πελάτη, προκαλούμενη από τα ασφαλισμένα έργα. Επομένως, η ζημία πρέπει να αποτελεί άμεση συνέπεια των εκτελούμενων εργασιών.</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Τμήμα IV: Υλικά του αναδόχου</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Ζημία στον εξοπλισμό του αναδόχου που προκαλείται από εξωτερικά γεγονότα, όπως καταιγίδα, πυρκαγιά και κλοπή. Ο εν λόγω εξοπλισμός περιλαμβάνει ικριώματα, πλαίσια, καμπίνες, αποθήκες, εργαλεία κ.λπ., τα οποία πρέπει να βρίσκονται στο εργοτάξιο ως μέρος των εργασιών.</w:t>
      </w:r>
      <w:r>
        <w:rPr>
          <w:rFonts w:ascii="Arial" w:hAnsi="Arial"/>
          <w:color w:val="000000" w:themeColor="text1"/>
          <w:sz w:val="27"/>
        </w:rPr>
        <w:t xml:space="preserve"> </w:t>
      </w:r>
      <w:r>
        <w:rPr>
          <w:rFonts w:ascii="Arial" w:hAnsi="Arial"/>
          <w:color w:val="000000" w:themeColor="text1"/>
        </w:rPr>
        <w:t xml:space="preserve">Εξαιρούνται τα εξής: εξοπλισμός πλεύσης και πλωτός εξοπλισμός, εκσκαφείς με συρόμενο κάδο, μπουλντόζες, γερανοί και άλλα μηχανοκίνητα μεταφορικά μέσα.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Τίτλος V: Περιουσιακά στοιχεία της διοίκησης και του προσωπικού</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Ζημίες σε κινητά αγαθά που ανήκουν στη διοίκηση και στο προσωπικό του ασφαλισμένου, οι οποίες επήλθαν στο εργοτάξιο και προκλήθηκαν από εξωτερικά γεγονότα, όπως καταιγίδες και κλοπή.</w:t>
      </w:r>
      <w:r>
        <w:rPr>
          <w:rFonts w:ascii="Arial" w:hAnsi="Arial"/>
          <w:color w:val="000000" w:themeColor="text1"/>
          <w:sz w:val="27"/>
        </w:rPr>
        <w:t xml:space="preserve"> </w:t>
      </w:r>
      <w:r>
        <w:rPr>
          <w:rFonts w:ascii="Arial" w:hAnsi="Arial"/>
          <w:color w:val="000000" w:themeColor="text1"/>
        </w:rPr>
        <w:t>Εξαιρούνται τα εξής:</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μετρητά και πολύτιμα έγγραφα κ.λπ.,</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μηχανοκίνητα οχήματα.</w:t>
      </w:r>
    </w:p>
    <w:p w14:paraId="442793EF" w14:textId="1C1DCA06" w:rsidR="005F7961" w:rsidRDefault="005F7961">
      <w:pPr>
        <w:spacing w:line="240" w:lineRule="auto"/>
        <w:rPr>
          <w:rFonts w:ascii="Arial" w:hAnsi="Arial" w:cs="Arial"/>
          <w:b/>
          <w:bCs/>
          <w:color w:val="000000" w:themeColor="text1"/>
        </w:rPr>
      </w:pPr>
      <w:r>
        <w:rPr>
          <w:rFonts w:ascii="Arial" w:hAnsi="Arial" w:cs="Arial"/>
          <w:b/>
          <w:bCs/>
          <w:color w:val="000000" w:themeColor="text1"/>
        </w:rPr>
        <w:br w:type="page"/>
      </w:r>
    </w:p>
    <w:p w14:paraId="3DDC01CD"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Τμήμα VI: Μεταφορά</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Η παρούσα παράγραφος καλύπτει ζημία ή κλοπή οικοδομικών υλικών κατά τη μεταφορά.Βασικό στοιχείο για την κάλυψη στο παρόν τμήμα είναι το εξής:</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η μεταφορά πρέπει να καταλογίζεται στον ασφαλισμένο και να πραγματοποιείται υπ’ ευθύνη του·</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2"/>
          <w:headerReference w:type="default" r:id="rId23"/>
          <w:footerReference w:type="even" r:id="rId24"/>
          <w:footerReference w:type="default" r:id="rId25"/>
          <w:headerReference w:type="first" r:id="rId26"/>
          <w:footerReference w:type="first" r:id="rId27"/>
          <w:pgSz w:w="11906" w:h="16838" w:code="9"/>
          <w:pgMar w:top="1417" w:right="1417" w:bottom="1417" w:left="1417" w:header="709" w:footer="709" w:gutter="0"/>
          <w:pgNumType w:start="0"/>
          <w:cols w:space="708"/>
          <w:titlePg/>
          <w:docGrid w:linePitch="360"/>
        </w:sectPr>
      </w:pPr>
      <w:r>
        <w:rPr>
          <w:rFonts w:ascii="Arial" w:hAnsi="Arial"/>
          <w:color w:val="000000" w:themeColor="text1"/>
        </w:rPr>
        <w:t>η κάλυψη πρέπει να εκτείνεται από τη φόρτωση έως την εκφόρτωση στο εργοτάξιο.</w:t>
      </w:r>
      <w:bookmarkEnd w:id="0"/>
    </w:p>
    <w:p w14:paraId="3B1999A5" w14:textId="58907B43" w:rsidR="00026952" w:rsidRPr="007061E0" w:rsidRDefault="00026952" w:rsidP="00F42ABA">
      <w:pPr>
        <w:pStyle w:val="MH1"/>
        <w:rPr>
          <w:rFonts w:eastAsia="Aptos"/>
          <w:kern w:val="2"/>
          <w:sz w:val="16"/>
          <w:szCs w:val="16"/>
          <w14:ligatures w14:val="standardContextual"/>
        </w:rPr>
      </w:pPr>
    </w:p>
    <w:sectPr w:rsidR="00026952" w:rsidRPr="007061E0" w:rsidSect="005E0F9F">
      <w:headerReference w:type="even" r:id="rId28"/>
      <w:headerReference w:type="default" r:id="rId29"/>
      <w:headerReference w:type="first" r:id="rId30"/>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99808" w14:textId="77777777" w:rsidR="00C36793" w:rsidRDefault="00C367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6D124" w14:textId="77777777" w:rsidR="00C36793" w:rsidRDefault="00C367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Η παρούσα έκθεση αποτελεί την έκδοση 1.0 και ενδέχεται να προστεθούν και άλλα ονόματα σε μεταγενέστερο στάδιο.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Βλ. επίσης: </w:t>
      </w:r>
      <w:hyperlink r:id="rId1" w:history="1">
        <w:r>
          <w:rPr>
            <w:rFonts w:ascii="Arial" w:hAnsi="Arial"/>
            <w:color w:val="3DC3C6"/>
            <w:u w:val="single"/>
          </w:rPr>
          <w:t>UvW 2021-XX Praktische handreiking ZOW sjabloon UvW versie jan 2022.pdf (stowa.nl)</w:t>
        </w:r>
      </w:hyperlink>
      <w:r>
        <w:t>.</w:t>
      </w:r>
      <w:r>
        <w:rPr>
          <w:rFonts w:ascii="Arial" w:hAnsi="Arial"/>
          <w:color w:val="3DC3C6"/>
        </w:rPr>
        <w:t xml:space="preserve">  </w:t>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Για παράδειγμα: Tibber, ANWB Energy, NextEnergy, Eneco, EnergyZero, Zonneplan, Frank Energie, Innova.</w:t>
      </w:r>
    </w:p>
  </w:footnote>
  <w:footnote w:id="4">
    <w:p w14:paraId="26802840" w14:textId="6C0164F0" w:rsidR="00A76E5A" w:rsidRPr="00094DE4" w:rsidRDefault="00A76E5A">
      <w:pPr>
        <w:pStyle w:val="FootnoteText"/>
        <w:rPr>
          <w:lang w:val="en-US"/>
        </w:rPr>
      </w:pPr>
      <w:r>
        <w:rPr>
          <w:rStyle w:val="FootnoteReference"/>
          <w:rFonts w:ascii="Arial" w:hAnsi="Arial" w:cs="Arial"/>
        </w:rPr>
        <w:footnoteRef/>
      </w:r>
      <w:r w:rsidRPr="00094DE4">
        <w:rPr>
          <w:rFonts w:ascii="Arial" w:hAnsi="Arial"/>
          <w:lang w:val="en-US"/>
        </w:rPr>
        <w:t xml:space="preserve"> </w:t>
      </w:r>
      <w:r>
        <w:rPr>
          <w:rFonts w:ascii="Arial" w:hAnsi="Arial"/>
        </w:rPr>
        <w:t>Για</w:t>
      </w:r>
      <w:r w:rsidRPr="00094DE4">
        <w:rPr>
          <w:rFonts w:ascii="Arial" w:hAnsi="Arial"/>
          <w:lang w:val="en-US"/>
        </w:rPr>
        <w:t xml:space="preserve"> </w:t>
      </w:r>
      <w:r>
        <w:rPr>
          <w:rFonts w:ascii="Arial" w:hAnsi="Arial"/>
        </w:rPr>
        <w:t>παράδειγμα</w:t>
      </w:r>
      <w:r w:rsidRPr="00094DE4">
        <w:rPr>
          <w:rFonts w:ascii="Arial" w:hAnsi="Arial"/>
          <w:lang w:val="en-US"/>
        </w:rPr>
        <w:t>: Edmij, Energypool, Scholt, Sympower.</w:t>
      </w:r>
    </w:p>
  </w:footnote>
  <w:footnote w:id="5">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Εάν εκμισθώνετε στέγη ή γη σε φορέα υλοποίησης έργου φωτοβολταϊκών, τότε το εν λόγω μέρος θα είναι υπεύθυνο για τη χρηματοδότηση.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4E59E" w14:textId="77777777" w:rsidR="00C36793" w:rsidRDefault="00C367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5EFB600C"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1756165648" name="Picture 1756165648" descr="A blue rectangle with white border &#10; &#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t xml:space="preserve">         </w:t>
    </w:r>
    <w:r>
      <w:rPr>
        <w:rFonts w:ascii="Arial" w:hAnsi="Arial"/>
        <w:b/>
        <w:color w:val="DDE3E2"/>
      </w:rPr>
      <w:t>ΠΡΟΚΑΤΑΡΚΤΙΚΑ ΣΤΑΔΙΑ ΕΡΓΟΥ ΦΩΤΟΒΟΛΤΑΪΚΩΝ</w:t>
    </w:r>
  </w:p>
  <w:p w14:paraId="74DCA24C" w14:textId="77777777" w:rsidR="00DE36D8" w:rsidRPr="00094DE4" w:rsidRDefault="00DE36D8" w:rsidP="00DE36D8">
    <w:pPr>
      <w:pStyle w:val="Header"/>
      <w:rPr>
        <w:b/>
        <w:bCs/>
        <w:sz w:val="20"/>
        <w:szCs w:val="20"/>
        <w:lang w:val="en-US"/>
      </w:rPr>
    </w:pPr>
    <w:r w:rsidRPr="00094DE4">
      <w:rPr>
        <w:rFonts w:ascii="Arial" w:hAnsi="Arial"/>
        <w:b/>
        <w:color w:val="104D55"/>
        <w:sz w:val="20"/>
        <w:lang w:val="en-US"/>
      </w:rPr>
      <w:t xml:space="preserve">public-buyers-community.ec.europa.eu </w:t>
    </w:r>
  </w:p>
  <w:p w14:paraId="2D22713A" w14:textId="611DEBD1" w:rsidR="00DE36D8" w:rsidRPr="00094DE4" w:rsidRDefault="00DE36D8">
    <w:pPr>
      <w:pStyle w:val="Header"/>
      <w:rPr>
        <w:lang w:val="en-US"/>
      </w:rPr>
    </w:pPr>
  </w:p>
  <w:p w14:paraId="6D9C654A" w14:textId="77777777" w:rsidR="00DE36D8" w:rsidRPr="00094DE4" w:rsidRDefault="00DE36D8">
    <w:pPr>
      <w:pStyle w:val="Heade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1732151840" name="Picture 1732151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08302591"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ΠΡΟΚΑΤΑΡΚΤΙΚΑ ΣΤΑΔΙΑ ΕΡΓΟΥ ΦΩΤΟΒΟΛΤΑΪΚΩΝ</w:t>
    </w:r>
  </w:p>
  <w:p w14:paraId="587459A2" w14:textId="77777777" w:rsidR="00030397" w:rsidRPr="00094DE4" w:rsidRDefault="00030397" w:rsidP="00DE36D8">
    <w:pPr>
      <w:pStyle w:val="Header"/>
      <w:rPr>
        <w:b/>
        <w:bCs/>
        <w:sz w:val="20"/>
        <w:szCs w:val="20"/>
        <w:lang w:val="en-US"/>
      </w:rPr>
    </w:pPr>
    <w:r w:rsidRPr="00094DE4">
      <w:rPr>
        <w:rFonts w:ascii="Arial" w:hAnsi="Arial"/>
        <w:b/>
        <w:color w:val="104D55"/>
        <w:sz w:val="20"/>
        <w:lang w:val="en-US"/>
      </w:rPr>
      <w:t xml:space="preserve">public-buyers-community.ec.europa.eu </w:t>
    </w:r>
  </w:p>
  <w:p w14:paraId="029F867B" w14:textId="77777777" w:rsidR="00030397" w:rsidRPr="00094DE4" w:rsidRDefault="00030397">
    <w:pPr>
      <w:pStyle w:val="Header"/>
      <w:rPr>
        <w:lang w:val="en-US"/>
      </w:rPr>
    </w:pPr>
  </w:p>
  <w:p w14:paraId="3CF6BC01" w14:textId="77777777" w:rsidR="00030397" w:rsidRPr="00094DE4" w:rsidRDefault="00030397">
    <w:pPr>
      <w:pStyle w:val="Header"/>
      <w:rPr>
        <w:lang w:val="en-US"/>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36872"/>
    <w:rsid w:val="00042FAC"/>
    <w:rsid w:val="0005655B"/>
    <w:rsid w:val="0007288B"/>
    <w:rsid w:val="0007474D"/>
    <w:rsid w:val="000759BF"/>
    <w:rsid w:val="00077532"/>
    <w:rsid w:val="00081255"/>
    <w:rsid w:val="00082A07"/>
    <w:rsid w:val="00086957"/>
    <w:rsid w:val="00090E82"/>
    <w:rsid w:val="00094DE4"/>
    <w:rsid w:val="00096404"/>
    <w:rsid w:val="000A54DB"/>
    <w:rsid w:val="000B38A0"/>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0A97"/>
    <w:rsid w:val="00151032"/>
    <w:rsid w:val="001514E8"/>
    <w:rsid w:val="00153BC5"/>
    <w:rsid w:val="00153DD8"/>
    <w:rsid w:val="00154E4F"/>
    <w:rsid w:val="001614A7"/>
    <w:rsid w:val="00162562"/>
    <w:rsid w:val="00163606"/>
    <w:rsid w:val="00164D62"/>
    <w:rsid w:val="0017126B"/>
    <w:rsid w:val="00173273"/>
    <w:rsid w:val="00175EA5"/>
    <w:rsid w:val="00187179"/>
    <w:rsid w:val="00187D03"/>
    <w:rsid w:val="001900C0"/>
    <w:rsid w:val="00195502"/>
    <w:rsid w:val="001A0646"/>
    <w:rsid w:val="001A2ACF"/>
    <w:rsid w:val="001B06A0"/>
    <w:rsid w:val="001B0E84"/>
    <w:rsid w:val="001B4AF3"/>
    <w:rsid w:val="001B72D8"/>
    <w:rsid w:val="001C3E94"/>
    <w:rsid w:val="001D2C89"/>
    <w:rsid w:val="001D30B6"/>
    <w:rsid w:val="001D5588"/>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2D6A"/>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5F7961"/>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0E4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673F9"/>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36793"/>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1E72"/>
    <w:rsid w:val="00D164AE"/>
    <w:rsid w:val="00D16F9D"/>
    <w:rsid w:val="00D2737A"/>
    <w:rsid w:val="00D347ED"/>
    <w:rsid w:val="00D423F8"/>
    <w:rsid w:val="00D424A6"/>
    <w:rsid w:val="00D528D9"/>
    <w:rsid w:val="00D71B23"/>
    <w:rsid w:val="00D7386F"/>
    <w:rsid w:val="00D75821"/>
    <w:rsid w:val="00D825AD"/>
    <w:rsid w:val="00D948C1"/>
    <w:rsid w:val="00D96E22"/>
    <w:rsid w:val="00D972B0"/>
    <w:rsid w:val="00D97DD1"/>
    <w:rsid w:val="00DA6DB7"/>
    <w:rsid w:val="00DA7093"/>
    <w:rsid w:val="00DB3C55"/>
    <w:rsid w:val="00DB60F4"/>
    <w:rsid w:val="00DC1387"/>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0736F"/>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42AB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styleId="TOCHeading">
    <w:name w:val="TOC Heading"/>
    <w:basedOn w:val="Heading1"/>
    <w:next w:val="Normal"/>
    <w:uiPriority w:val="39"/>
    <w:unhideWhenUsed/>
    <w:qFormat/>
    <w:rsid w:val="00175EA5"/>
    <w:pPr>
      <w:outlineLvl w:val="9"/>
    </w:pPr>
    <w:rPr>
      <w:rFonts w:asciiTheme="majorHAnsi" w:hAnsiTheme="majorHAnsi" w:cstheme="majorBidi"/>
      <w:b w:val="0"/>
      <w:bCs w:val="0"/>
      <w:color w:val="2F5496" w:themeColor="accent1" w:themeShade="BF"/>
      <w:sz w:val="32"/>
      <w:szCs w:val="32"/>
      <w:lang w:val="en-US" w:eastAsia="en-US"/>
    </w:rPr>
  </w:style>
  <w:style w:type="paragraph" w:styleId="TOC3">
    <w:name w:val="toc 3"/>
    <w:basedOn w:val="Normal"/>
    <w:next w:val="Normal"/>
    <w:autoRedefine/>
    <w:uiPriority w:val="39"/>
    <w:unhideWhenUsed/>
    <w:rsid w:val="00175EA5"/>
    <w:pPr>
      <w:spacing w:after="100" w:line="259" w:lineRule="auto"/>
      <w:ind w:left="440"/>
    </w:pPr>
    <w:rPr>
      <w:rFonts w:eastAsiaTheme="minorEastAsia" w:cstheme="minorBidi"/>
      <w:kern w:val="2"/>
      <w:lang w:val="en-GB" w:eastAsia="en-GB"/>
      <w14:ligatures w14:val="standardContextual"/>
    </w:rPr>
  </w:style>
  <w:style w:type="paragraph" w:styleId="TOC4">
    <w:name w:val="toc 4"/>
    <w:basedOn w:val="Normal"/>
    <w:next w:val="Normal"/>
    <w:autoRedefine/>
    <w:uiPriority w:val="39"/>
    <w:unhideWhenUsed/>
    <w:rsid w:val="00175EA5"/>
    <w:pPr>
      <w:spacing w:after="100" w:line="259" w:lineRule="auto"/>
      <w:ind w:left="660"/>
    </w:pPr>
    <w:rPr>
      <w:rFonts w:eastAsiaTheme="minorEastAsia" w:cstheme="minorBidi"/>
      <w:kern w:val="2"/>
      <w:lang w:val="en-GB" w:eastAsia="en-GB"/>
      <w14:ligatures w14:val="standardContextual"/>
    </w:rPr>
  </w:style>
  <w:style w:type="paragraph" w:styleId="TOC5">
    <w:name w:val="toc 5"/>
    <w:basedOn w:val="Normal"/>
    <w:next w:val="Normal"/>
    <w:autoRedefine/>
    <w:uiPriority w:val="39"/>
    <w:unhideWhenUsed/>
    <w:rsid w:val="00175EA5"/>
    <w:pPr>
      <w:spacing w:after="100" w:line="259" w:lineRule="auto"/>
      <w:ind w:left="880"/>
    </w:pPr>
    <w:rPr>
      <w:rFonts w:eastAsiaTheme="minorEastAsia" w:cstheme="minorBidi"/>
      <w:kern w:val="2"/>
      <w:lang w:val="en-GB" w:eastAsia="en-GB"/>
      <w14:ligatures w14:val="standardContextual"/>
    </w:rPr>
  </w:style>
  <w:style w:type="paragraph" w:styleId="TOC6">
    <w:name w:val="toc 6"/>
    <w:basedOn w:val="Normal"/>
    <w:next w:val="Normal"/>
    <w:autoRedefine/>
    <w:uiPriority w:val="39"/>
    <w:unhideWhenUsed/>
    <w:rsid w:val="00175EA5"/>
    <w:pPr>
      <w:spacing w:after="100" w:line="259" w:lineRule="auto"/>
      <w:ind w:left="1100"/>
    </w:pPr>
    <w:rPr>
      <w:rFonts w:eastAsiaTheme="minorEastAsia" w:cstheme="minorBidi"/>
      <w:kern w:val="2"/>
      <w:lang w:val="en-GB" w:eastAsia="en-GB"/>
      <w14:ligatures w14:val="standardContextual"/>
    </w:rPr>
  </w:style>
  <w:style w:type="paragraph" w:styleId="TOC7">
    <w:name w:val="toc 7"/>
    <w:basedOn w:val="Normal"/>
    <w:next w:val="Normal"/>
    <w:autoRedefine/>
    <w:uiPriority w:val="39"/>
    <w:unhideWhenUsed/>
    <w:rsid w:val="00175EA5"/>
    <w:pPr>
      <w:spacing w:after="100" w:line="259" w:lineRule="auto"/>
      <w:ind w:left="1320"/>
    </w:pPr>
    <w:rPr>
      <w:rFonts w:eastAsiaTheme="minorEastAsia" w:cstheme="minorBidi"/>
      <w:kern w:val="2"/>
      <w:lang w:val="en-GB" w:eastAsia="en-GB"/>
      <w14:ligatures w14:val="standardContextual"/>
    </w:rPr>
  </w:style>
  <w:style w:type="paragraph" w:styleId="TOC8">
    <w:name w:val="toc 8"/>
    <w:basedOn w:val="Normal"/>
    <w:next w:val="Normal"/>
    <w:autoRedefine/>
    <w:uiPriority w:val="39"/>
    <w:unhideWhenUsed/>
    <w:rsid w:val="00175EA5"/>
    <w:pPr>
      <w:spacing w:after="100" w:line="259" w:lineRule="auto"/>
      <w:ind w:left="1540"/>
    </w:pPr>
    <w:rPr>
      <w:rFonts w:eastAsiaTheme="minorEastAsia" w:cstheme="minorBidi"/>
      <w:kern w:val="2"/>
      <w:lang w:val="en-GB" w:eastAsia="en-GB"/>
      <w14:ligatures w14:val="standardContextual"/>
    </w:rPr>
  </w:style>
  <w:style w:type="paragraph" w:styleId="TOC9">
    <w:name w:val="toc 9"/>
    <w:basedOn w:val="Normal"/>
    <w:next w:val="Normal"/>
    <w:autoRedefine/>
    <w:uiPriority w:val="39"/>
    <w:unhideWhenUsed/>
    <w:rsid w:val="00175EA5"/>
    <w:pPr>
      <w:spacing w:after="100" w:line="259" w:lineRule="auto"/>
      <w:ind w:left="1760"/>
    </w:pPr>
    <w:rPr>
      <w:rFonts w:eastAsiaTheme="minorEastAsia" w:cstheme="minorBidi"/>
      <w:kern w:val="2"/>
      <w:lang w:val="en-GB" w:eastAsia="en-GB"/>
      <w14:ligatures w14:val="standardContextual"/>
    </w:rPr>
  </w:style>
  <w:style w:type="paragraph" w:customStyle="1" w:styleId="MH1">
    <w:name w:val="MH1"/>
    <w:basedOn w:val="Style2"/>
    <w:link w:val="MH1Char"/>
    <w:qFormat/>
    <w:rsid w:val="00094DE4"/>
  </w:style>
  <w:style w:type="character" w:customStyle="1" w:styleId="Style2Char">
    <w:name w:val="Style2 Char"/>
    <w:basedOn w:val="Heading1Char"/>
    <w:link w:val="Style2"/>
    <w:rsid w:val="00094DE4"/>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094DE4"/>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094DE4"/>
    <w:pPr>
      <w:ind w:left="-851"/>
    </w:pPr>
  </w:style>
  <w:style w:type="character" w:customStyle="1" w:styleId="SUB1Char">
    <w:name w:val="SUB1 Char"/>
    <w:basedOn w:val="DefaultParagraphFont"/>
    <w:link w:val="SUB1"/>
    <w:rsid w:val="00094DE4"/>
    <w:rPr>
      <w:rFonts w:ascii="Arial" w:eastAsia="Times New Roman" w:hAnsi="Arial" w:cs="Arial"/>
      <w:b/>
      <w:color w:val="104D54"/>
      <w:sz w:val="36"/>
      <w:szCs w:val="36"/>
      <w:lang w:eastAsia="nl-NL"/>
    </w:rPr>
  </w:style>
  <w:style w:type="character" w:customStyle="1" w:styleId="MH2Char">
    <w:name w:val="MH2 Char"/>
    <w:basedOn w:val="SUB1Char"/>
    <w:link w:val="MH2"/>
    <w:rsid w:val="00094DE4"/>
    <w:rPr>
      <w:rFonts w:ascii="Arial" w:eastAsia="Times New Roman" w:hAnsi="Arial" w:cs="Arial"/>
      <w:b/>
      <w:color w:val="104D54"/>
      <w:sz w:val="36"/>
      <w:szCs w:val="36"/>
      <w:lang w:eastAsia="nl-NL"/>
    </w:rPr>
  </w:style>
  <w:style w:type="paragraph" w:customStyle="1" w:styleId="MH3">
    <w:name w:val="MH3"/>
    <w:basedOn w:val="SUB2"/>
    <w:link w:val="MH3Char"/>
    <w:qFormat/>
    <w:rsid w:val="00094DE4"/>
  </w:style>
  <w:style w:type="character" w:customStyle="1" w:styleId="SUB2Char">
    <w:name w:val="SUB2 Char"/>
    <w:basedOn w:val="DefaultParagraphFont"/>
    <w:link w:val="SUB2"/>
    <w:rsid w:val="00094DE4"/>
    <w:rPr>
      <w:rFonts w:ascii="Arial" w:eastAsia="Times New Roman" w:hAnsi="Arial" w:cs="Arial"/>
      <w:b/>
      <w:color w:val="104D54"/>
      <w:sz w:val="28"/>
      <w:szCs w:val="28"/>
      <w:lang w:eastAsia="nl-NL"/>
    </w:rPr>
  </w:style>
  <w:style w:type="character" w:customStyle="1" w:styleId="MH3Char">
    <w:name w:val="MH3 Char"/>
    <w:basedOn w:val="SUB2Char"/>
    <w:link w:val="MH3"/>
    <w:rsid w:val="00094DE4"/>
    <w:rPr>
      <w:rFonts w:ascii="Arial" w:eastAsia="Times New Roman" w:hAnsi="Arial" w:cs="Arial"/>
      <w:b/>
      <w:color w:val="104D54"/>
      <w:sz w:val="28"/>
      <w:szCs w:val="2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www.pianoo.nl/nl/regelgeving/drempelbedragen-europees-aanbesteden"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mailto:info.nl@encon.eu" TargetMode="Externa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inkoopproces/aanbestedingsprocedures/nationale-procedures/circulaire-grensbedragen-rijksoverheid"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tenderned.nl/cms/" TargetMode="External"/><Relationship Id="rId20" Type="http://schemas.openxmlformats.org/officeDocument/2006/relationships/hyperlink" Target="http://www.zonopwater.nl/"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footer" Target="footer1.xm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etten.overheid.nl/BWBR0032203/2022-03-02/0" TargetMode="External"/><Relationship Id="rId23" Type="http://schemas.openxmlformats.org/officeDocument/2006/relationships/header" Target="header2.xml"/><Relationship Id="rId28" Type="http://schemas.openxmlformats.org/officeDocument/2006/relationships/header" Target="header4.xml"/><Relationship Id="rId10" Type="http://schemas.openxmlformats.org/officeDocument/2006/relationships/diagramData" Target="diagrams/data1.xml"/><Relationship Id="rId19" Type="http://schemas.openxmlformats.org/officeDocument/2006/relationships/hyperlink" Target="https://zoninlandschap.nl/u/files/ZonneparkenBeterOntwerpTNOV2.pdf"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header" Target="header6.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el-GR" sz="900"/>
            <a:t>I.</a:t>
          </a:r>
          <a:r>
            <a:rPr lang="en-US" sz="900"/>
            <a:t> </a:t>
          </a:r>
          <a:r>
            <a:rPr lang="el-GR" sz="900"/>
            <a:t>Προκαταρκτική μελέτη</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el-GR" sz="900"/>
            <a:t>II. Πρόσκληση υποβολής προσφορών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el-GR" sz="900"/>
            <a:t>III.</a:t>
          </a:r>
          <a:r>
            <a:rPr lang="en-US" sz="900"/>
            <a:t> </a:t>
          </a:r>
          <a:r>
            <a:rPr lang="el-GR" sz="900"/>
            <a:t>Υλοποίηση του έργου φωτοβολταϊκών</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el-GR" sz="900"/>
            <a:t>IV.</a:t>
          </a:r>
          <a:r>
            <a:rPr lang="en-US" sz="900"/>
            <a:t> </a:t>
          </a:r>
          <a:r>
            <a:rPr lang="el-GR" sz="900"/>
            <a:t>Στάδιο λειτουργίας</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el-GR" sz="900"/>
            <a:t>V.</a:t>
          </a:r>
          <a:r>
            <a:rPr lang="en-US" sz="900"/>
            <a:t> </a:t>
          </a:r>
          <a:r>
            <a:rPr lang="el-GR" sz="900"/>
            <a:t>Τέλος του κύκλου ζωής / αποσυναρμολόγηση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custScaleX="155809" custScaleY="147326">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custScaleX="133603" custScaleY="147326">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64203" custScaleY="151362">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custScaleX="139208" custScaleY="151362">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custScaleX="139789" custScaleY="155399">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2068" y="210505"/>
          <a:ext cx="1430413" cy="541013"/>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l-GR" sz="900" kern="1200"/>
            <a:t>I.</a:t>
          </a:r>
          <a:r>
            <a:rPr lang="en-US" sz="900" kern="1200"/>
            <a:t> </a:t>
          </a:r>
          <a:r>
            <a:rPr lang="el-GR" sz="900" kern="1200"/>
            <a:t>Προκαταρκτική μελέτη</a:t>
          </a:r>
        </a:p>
      </dsp:txBody>
      <dsp:txXfrm>
        <a:off x="272575" y="210505"/>
        <a:ext cx="889400" cy="541013"/>
      </dsp:txXfrm>
    </dsp:sp>
    <dsp:sp modelId="{9A067135-72E2-794D-BCB2-752032BD9271}">
      <dsp:nvSpPr>
        <dsp:cNvPr id="0" name=""/>
        <dsp:cNvSpPr/>
      </dsp:nvSpPr>
      <dsp:spPr>
        <a:xfrm>
          <a:off x="1340676" y="210505"/>
          <a:ext cx="1226549" cy="541013"/>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l-GR" sz="900" kern="1200"/>
            <a:t>II. Πρόσκληση υποβολής προσφορών   </a:t>
          </a:r>
        </a:p>
      </dsp:txBody>
      <dsp:txXfrm>
        <a:off x="1611183" y="210505"/>
        <a:ext cx="685536" cy="541013"/>
      </dsp:txXfrm>
    </dsp:sp>
    <dsp:sp modelId="{4AC28A52-AC5D-3B43-827E-D39A5F5EA8B8}">
      <dsp:nvSpPr>
        <dsp:cNvPr id="0" name=""/>
        <dsp:cNvSpPr/>
      </dsp:nvSpPr>
      <dsp:spPr>
        <a:xfrm>
          <a:off x="2475420" y="203095"/>
          <a:ext cx="1507474" cy="555834"/>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l-GR" sz="900" kern="1200"/>
            <a:t>III.</a:t>
          </a:r>
          <a:r>
            <a:rPr lang="en-US" sz="900" kern="1200"/>
            <a:t> </a:t>
          </a:r>
          <a:r>
            <a:rPr lang="el-GR" sz="900" kern="1200"/>
            <a:t>Υλοποίηση του έργου φωτοβολταϊκών</a:t>
          </a:r>
        </a:p>
      </dsp:txBody>
      <dsp:txXfrm>
        <a:off x="2753337" y="203095"/>
        <a:ext cx="951640" cy="555834"/>
      </dsp:txXfrm>
    </dsp:sp>
    <dsp:sp modelId="{7D2A7A69-8690-F645-ABD1-78DFAFAB70C5}">
      <dsp:nvSpPr>
        <dsp:cNvPr id="0" name=""/>
        <dsp:cNvSpPr/>
      </dsp:nvSpPr>
      <dsp:spPr>
        <a:xfrm>
          <a:off x="3891089" y="203095"/>
          <a:ext cx="1278006" cy="555834"/>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l-GR" sz="900" kern="1200"/>
            <a:t>IV.</a:t>
          </a:r>
          <a:r>
            <a:rPr lang="en-US" sz="900" kern="1200"/>
            <a:t> </a:t>
          </a:r>
          <a:r>
            <a:rPr lang="el-GR" sz="900" kern="1200"/>
            <a:t>Στάδιο λειτουργίας</a:t>
          </a:r>
        </a:p>
      </dsp:txBody>
      <dsp:txXfrm>
        <a:off x="4169006" y="203095"/>
        <a:ext cx="722172" cy="555834"/>
      </dsp:txXfrm>
    </dsp:sp>
    <dsp:sp modelId="{5F2ED416-0001-8B4C-A422-4C9DF4DA7663}">
      <dsp:nvSpPr>
        <dsp:cNvPr id="0" name=""/>
        <dsp:cNvSpPr/>
      </dsp:nvSpPr>
      <dsp:spPr>
        <a:xfrm>
          <a:off x="5077290" y="195682"/>
          <a:ext cx="1283340" cy="570659"/>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el-GR" sz="900" kern="1200"/>
            <a:t>V.</a:t>
          </a:r>
          <a:r>
            <a:rPr lang="en-US" sz="900" kern="1200"/>
            <a:t> </a:t>
          </a:r>
          <a:r>
            <a:rPr lang="el-GR" sz="900" kern="1200"/>
            <a:t>Τέλος του κύκλου ζωής / αποσυναρμολόγηση </a:t>
          </a:r>
        </a:p>
      </dsp:txBody>
      <dsp:txXfrm>
        <a:off x="5362620" y="195682"/>
        <a:ext cx="712681" cy="570659"/>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42</Pages>
  <Words>8970</Words>
  <Characters>54723</Characters>
  <Application>Microsoft Office Word</Application>
  <DocSecurity>0</DocSecurity>
  <Lines>3219</Lines>
  <Paragraphs>950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62743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2024-09-17T12:53:00Z</dcterms:created>
  <dcterms:modified xsi:type="dcterms:W3CDTF">2024-10-22T14:43:00Z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