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6E1674">
      <w:pPr>
        <w:pStyle w:val="NoSpacing"/>
        <w:spacing w:before="1540" w:after="240"/>
        <w:rPr>
          <w:color w:val="4472C4" w:themeColor="accent1"/>
        </w:rPr>
      </w:pPr>
      <w:bookmarkStart w:id="0" w:name="_Hlk170999612"/>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5C9F3026">
                <wp:simplePos x="0" y="0"/>
                <wp:positionH relativeFrom="margin">
                  <wp:posOffset>-422910</wp:posOffset>
                </wp:positionH>
                <wp:positionV relativeFrom="margin">
                  <wp:posOffset>2399665</wp:posOffset>
                </wp:positionV>
                <wp:extent cx="6774180" cy="3853180"/>
                <wp:effectExtent l="0" t="0" r="26670" b="1397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774180" cy="3853180"/>
                        </a:xfrm>
                        <a:prstGeom prst="rect">
                          <a:avLst/>
                        </a:prstGeom>
                        <a:noFill/>
                        <a:ln w="6350">
                          <a:solidFill>
                            <a:schemeClr val="accent1"/>
                          </a:solidFill>
                        </a:ln>
                      </wps:spPr>
                      <wps:txbx>
                        <w:txbxContent>
                          <w:p w14:paraId="433801F0" w14:textId="447F274C" w:rsidR="006E1674" w:rsidRPr="008843D6" w:rsidRDefault="006E1674" w:rsidP="006E1674">
                            <w:pPr>
                              <w:pStyle w:val="Style2"/>
                              <w:rPr>
                                <w:sz w:val="32"/>
                                <w:szCs w:val="32"/>
                              </w:rPr>
                            </w:pPr>
                            <w:r>
                              <w:t xml:space="preserve">   </w:t>
                            </w:r>
                            <w:bookmarkStart w:id="1" w:name="_Toc176854431"/>
                            <w:bookmarkStart w:id="2" w:name="_Toc176854530"/>
                            <w:bookmarkStart w:id="3" w:name="_Toc176855486"/>
                            <w:r w:rsidRPr="00644DBC">
                              <w:rPr>
                                <w:color w:val="FFFFFF" w:themeColor="background1"/>
                                <w:sz w:val="52"/>
                                <w:szCs w:val="52"/>
                              </w:rPr>
                              <w:t>Preliminarne faze fotonaponskog projekta</w:t>
                            </w:r>
                            <w:r>
                              <w:rPr>
                                <w:color w:val="FFFFFF" w:themeColor="background1"/>
                                <w:sz w:val="44"/>
                              </w:rPr>
                              <w:br/>
                            </w:r>
                            <w:r>
                              <w:rPr>
                                <w:sz w:val="44"/>
                              </w:rPr>
                              <w:br/>
                            </w:r>
                            <w:r>
                              <w:rPr>
                                <w:b w:val="0"/>
                                <w:color w:val="104D54"/>
                                <w:sz w:val="44"/>
                              </w:rPr>
                              <w:t xml:space="preserve">   </w:t>
                            </w:r>
                            <w:r>
                              <w:rPr>
                                <w:b w:val="0"/>
                                <w:color w:val="104D54"/>
                                <w:sz w:val="32"/>
                              </w:rPr>
                              <w:t>Sažeti vodič za:</w:t>
                            </w:r>
                            <w:bookmarkEnd w:id="1"/>
                            <w:bookmarkEnd w:id="2"/>
                            <w:bookmarkEnd w:id="3"/>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4" w:name="_Toc176854432"/>
                            <w:bookmarkStart w:id="5" w:name="_Toc176854531"/>
                            <w:bookmarkStart w:id="6" w:name="_Toc176855487"/>
                            <w:r>
                              <w:rPr>
                                <w:b w:val="0"/>
                                <w:color w:val="FFFFFF" w:themeColor="background1"/>
                                <w:sz w:val="32"/>
                              </w:rPr>
                              <w:t>projekte s više od 100 solarnih ploča</w:t>
                            </w:r>
                            <w:bookmarkEnd w:id="4"/>
                            <w:bookmarkEnd w:id="5"/>
                            <w:bookmarkEnd w:id="6"/>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7" w:name="_Toc176854433"/>
                            <w:bookmarkStart w:id="8" w:name="_Toc176854532"/>
                            <w:bookmarkStart w:id="9" w:name="_Toc176855488"/>
                            <w:r>
                              <w:rPr>
                                <w:b w:val="0"/>
                                <w:color w:val="FFFFFF" w:themeColor="background1"/>
                                <w:sz w:val="32"/>
                              </w:rPr>
                              <w:t>organizacije javnog sektora i privatne organizacije</w:t>
                            </w:r>
                            <w:bookmarkEnd w:id="7"/>
                            <w:bookmarkEnd w:id="8"/>
                            <w:bookmarkEnd w:id="9"/>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0" w:name="_Toc176854434"/>
                            <w:bookmarkStart w:id="11" w:name="_Toc176854533"/>
                            <w:bookmarkStart w:id="12" w:name="_Toc176855489"/>
                            <w:r>
                              <w:rPr>
                                <w:color w:val="104D54"/>
                                <w:sz w:val="28"/>
                              </w:rPr>
                              <w:t>Kako osigurati dobar omjer cijene i kvalitete</w:t>
                            </w:r>
                            <w:bookmarkEnd w:id="10"/>
                            <w:bookmarkEnd w:id="11"/>
                            <w:bookmarkEnd w:id="12"/>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3" w:name="_Toc176854435"/>
                            <w:bookmarkStart w:id="14" w:name="_Toc176854534"/>
                            <w:bookmarkStart w:id="15" w:name="_Toc176855490"/>
                            <w:r>
                              <w:rPr>
                                <w:color w:val="104D54"/>
                                <w:sz w:val="28"/>
                              </w:rPr>
                              <w:t>Sigurnost i zaštita od požara</w:t>
                            </w:r>
                            <w:bookmarkEnd w:id="13"/>
                            <w:bookmarkEnd w:id="14"/>
                            <w:bookmarkEnd w:id="15"/>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6" w:name="_Toc176854436"/>
                            <w:bookmarkStart w:id="17" w:name="_Toc176854535"/>
                            <w:bookmarkStart w:id="18" w:name="_Toc176855491"/>
                            <w:r>
                              <w:rPr>
                                <w:color w:val="104D54"/>
                                <w:sz w:val="28"/>
                              </w:rPr>
                              <w:t>Mogućnosti održivosti</w:t>
                            </w:r>
                            <w:bookmarkEnd w:id="16"/>
                            <w:bookmarkEnd w:id="17"/>
                            <w:bookmarkEnd w:id="18"/>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19" w:name="_Toc176854437"/>
                            <w:bookmarkStart w:id="20" w:name="_Toc176854536"/>
                            <w:bookmarkStart w:id="21" w:name="_Toc176855492"/>
                            <w:r>
                              <w:rPr>
                                <w:color w:val="104D54"/>
                                <w:sz w:val="28"/>
                              </w:rPr>
                              <w:t>Praktični savjeti s imenima</w:t>
                            </w:r>
                            <w:bookmarkEnd w:id="19"/>
                            <w:bookmarkEnd w:id="20"/>
                            <w:bookmarkEnd w:id="21"/>
                          </w:p>
                          <w:p w14:paraId="5EAD48E1" w14:textId="7E551FD0" w:rsidR="006E1674" w:rsidRPr="00282220" w:rsidRDefault="006E1674" w:rsidP="00282220">
                            <w:pPr>
                              <w:pStyle w:val="Style2"/>
                              <w:ind w:left="360" w:firstLine="348"/>
                              <w:rPr>
                                <w:bCs/>
                                <w:color w:val="104D54"/>
                                <w:sz w:val="28"/>
                                <w:szCs w:val="28"/>
                              </w:rPr>
                            </w:pPr>
                            <w:bookmarkStart w:id="22" w:name="_Toc176854438"/>
                            <w:bookmarkStart w:id="23" w:name="_Toc176854537"/>
                            <w:bookmarkStart w:id="24" w:name="_Toc176855493"/>
                            <w:r>
                              <w:rPr>
                                <w:color w:val="104D54"/>
                                <w:sz w:val="28"/>
                              </w:rPr>
                              <w:t>poduzeća za tehničko savjetovanje</w:t>
                            </w:r>
                            <w:bookmarkEnd w:id="22"/>
                            <w:bookmarkEnd w:id="23"/>
                            <w:bookmarkEnd w:id="24"/>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33.3pt;margin-top:188.95pt;width:533.4pt;height:303.4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" filled="f" strokecolor="#4472c4 [3204]" strokeweight=".5pt">
                <v:path arrowok="t"/>
                <v:textbox>
                  <w:txbxContent>
                    <w:p w14:paraId="433801F0" w14:textId="447F274C" w:rsidR="006E1674" w:rsidRPr="008843D6" w:rsidRDefault="006E1674" w:rsidP="006E1674">
                      <w:pPr>
                        <w:pStyle w:val="Style2"/>
                        <w:rPr>
                          <w:sz w:val="32"/>
                          <w:szCs w:val="32"/>
                        </w:rPr>
                      </w:pPr>
                      <w:r>
                        <w:t xml:space="preserve">   </w:t>
                      </w:r>
                      <w:bookmarkStart w:id="25" w:name="_Toc176854431"/>
                      <w:bookmarkStart w:id="26" w:name="_Toc176854530"/>
                      <w:bookmarkStart w:id="27" w:name="_Toc176855486"/>
                      <w:r w:rsidRPr="00644DBC">
                        <w:rPr>
                          <w:color w:val="FFFFFF" w:themeColor="background1"/>
                          <w:sz w:val="52"/>
                          <w:szCs w:val="52"/>
                        </w:rPr>
                        <w:t>Preliminarne faze fotonaponskog projekta</w:t>
                      </w:r>
                      <w:r>
                        <w:rPr>
                          <w:color w:val="FFFFFF" w:themeColor="background1"/>
                          <w:sz w:val="44"/>
                        </w:rPr>
                        <w:br/>
                      </w:r>
                      <w:r>
                        <w:rPr>
                          <w:sz w:val="44"/>
                        </w:rPr>
                        <w:br/>
                      </w:r>
                      <w:r>
                        <w:rPr>
                          <w:b w:val="0"/>
                          <w:color w:val="104D54"/>
                          <w:sz w:val="44"/>
                        </w:rPr>
                        <w:t xml:space="preserve">   </w:t>
                      </w:r>
                      <w:r>
                        <w:rPr>
                          <w:b w:val="0"/>
                          <w:color w:val="104D54"/>
                          <w:sz w:val="32"/>
                        </w:rPr>
                        <w:t>Sažeti vodič za:</w:t>
                      </w:r>
                      <w:bookmarkEnd w:id="25"/>
                      <w:bookmarkEnd w:id="26"/>
                      <w:bookmarkEnd w:id="27"/>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28" w:name="_Toc176854432"/>
                      <w:bookmarkStart w:id="29" w:name="_Toc176854531"/>
                      <w:bookmarkStart w:id="30" w:name="_Toc176855487"/>
                      <w:r>
                        <w:rPr>
                          <w:b w:val="0"/>
                          <w:color w:val="FFFFFF" w:themeColor="background1"/>
                          <w:sz w:val="32"/>
                        </w:rPr>
                        <w:t>projekte s više od 100 solarnih ploča</w:t>
                      </w:r>
                      <w:bookmarkEnd w:id="28"/>
                      <w:bookmarkEnd w:id="29"/>
                      <w:bookmarkEnd w:id="30"/>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31" w:name="_Toc176854433"/>
                      <w:bookmarkStart w:id="32" w:name="_Toc176854532"/>
                      <w:bookmarkStart w:id="33" w:name="_Toc176855488"/>
                      <w:r>
                        <w:rPr>
                          <w:b w:val="0"/>
                          <w:color w:val="FFFFFF" w:themeColor="background1"/>
                          <w:sz w:val="32"/>
                        </w:rPr>
                        <w:t>organizacije javnog sektora i privatne organizacije</w:t>
                      </w:r>
                      <w:bookmarkEnd w:id="31"/>
                      <w:bookmarkEnd w:id="32"/>
                      <w:bookmarkEnd w:id="33"/>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34" w:name="_Toc176854434"/>
                      <w:bookmarkStart w:id="35" w:name="_Toc176854533"/>
                      <w:bookmarkStart w:id="36" w:name="_Toc176855489"/>
                      <w:r>
                        <w:rPr>
                          <w:color w:val="104D54"/>
                          <w:sz w:val="28"/>
                        </w:rPr>
                        <w:t>Kako osigurati dobar omjer cijene i kvalitete</w:t>
                      </w:r>
                      <w:bookmarkEnd w:id="34"/>
                      <w:bookmarkEnd w:id="35"/>
                      <w:bookmarkEnd w:id="36"/>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37" w:name="_Toc176854435"/>
                      <w:bookmarkStart w:id="38" w:name="_Toc176854534"/>
                      <w:bookmarkStart w:id="39" w:name="_Toc176855490"/>
                      <w:r>
                        <w:rPr>
                          <w:color w:val="104D54"/>
                          <w:sz w:val="28"/>
                        </w:rPr>
                        <w:t>Sigurnost i zaštita od požara</w:t>
                      </w:r>
                      <w:bookmarkEnd w:id="37"/>
                      <w:bookmarkEnd w:id="38"/>
                      <w:bookmarkEnd w:id="39"/>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40" w:name="_Toc176854436"/>
                      <w:bookmarkStart w:id="41" w:name="_Toc176854535"/>
                      <w:bookmarkStart w:id="42" w:name="_Toc176855491"/>
                      <w:r>
                        <w:rPr>
                          <w:color w:val="104D54"/>
                          <w:sz w:val="28"/>
                        </w:rPr>
                        <w:t>Mogućnosti održivosti</w:t>
                      </w:r>
                      <w:bookmarkEnd w:id="40"/>
                      <w:bookmarkEnd w:id="41"/>
                      <w:bookmarkEnd w:id="42"/>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43" w:name="_Toc176854437"/>
                      <w:bookmarkStart w:id="44" w:name="_Toc176854536"/>
                      <w:bookmarkStart w:id="45" w:name="_Toc176855492"/>
                      <w:r>
                        <w:rPr>
                          <w:color w:val="104D54"/>
                          <w:sz w:val="28"/>
                        </w:rPr>
                        <w:t>Praktični savjeti s imenima</w:t>
                      </w:r>
                      <w:bookmarkEnd w:id="43"/>
                      <w:bookmarkEnd w:id="44"/>
                      <w:bookmarkEnd w:id="45"/>
                    </w:p>
                    <w:p w14:paraId="5EAD48E1" w14:textId="7E551FD0" w:rsidR="006E1674" w:rsidRPr="00282220" w:rsidRDefault="006E1674" w:rsidP="00282220">
                      <w:pPr>
                        <w:pStyle w:val="Style2"/>
                        <w:ind w:left="360" w:firstLine="348"/>
                        <w:rPr>
                          <w:bCs/>
                          <w:color w:val="104D54"/>
                          <w:sz w:val="28"/>
                          <w:szCs w:val="28"/>
                        </w:rPr>
                      </w:pPr>
                      <w:bookmarkStart w:id="46" w:name="_Toc176854438"/>
                      <w:bookmarkStart w:id="47" w:name="_Toc176854537"/>
                      <w:bookmarkStart w:id="48" w:name="_Toc176855493"/>
                      <w:r>
                        <w:rPr>
                          <w:color w:val="104D54"/>
                          <w:sz w:val="28"/>
                        </w:rPr>
                        <w:t>poduzeća za tehničko savjetovanje</w:t>
                      </w:r>
                      <w:bookmarkEnd w:id="46"/>
                      <w:bookmarkEnd w:id="47"/>
                      <w:bookmarkEnd w:id="48"/>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31B7517D">
                <wp:simplePos x="0" y="0"/>
                <wp:positionH relativeFrom="margin">
                  <wp:posOffset>-340995</wp:posOffset>
                </wp:positionH>
                <wp:positionV relativeFrom="page">
                  <wp:posOffset>7950200</wp:posOffset>
                </wp:positionV>
                <wp:extent cx="4940300" cy="1346200"/>
                <wp:effectExtent l="0" t="0" r="508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346200"/>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Inicijativa: </w:t>
                            </w:r>
                            <w:r>
                              <w:rPr>
                                <w:rFonts w:ascii="Arial" w:hAnsi="Arial"/>
                                <w:b/>
                                <w:color w:val="104D54"/>
                              </w:rPr>
                              <w:t xml:space="preserve">RVO i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Verzija: 0.99 (nacrt)</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Autori: Michiel Mensink i Marcello Passaro, </w:t>
                            </w:r>
                            <w:r>
                              <w:rPr>
                                <w:rFonts w:ascii="Arial" w:hAnsi="Arial"/>
                                <w:color w:val="104D54"/>
                              </w:rPr>
                              <w:br/>
                              <w:t>nositelj autorskih prava: Rijksdienst voor Ondernemend Nederland,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Datum objave: 5. rujna 2023.</w:t>
                            </w:r>
                          </w:p>
                          <w:p w14:paraId="7696FCCA" w14:textId="77777777" w:rsidR="006E1674" w:rsidRPr="00644DBC" w:rsidRDefault="006E1674" w:rsidP="006E1674">
                            <w:pPr>
                              <w:rPr>
                                <w:rFonts w:ascii="Arial" w:hAnsi="Arial" w:cs="Arial"/>
                                <w:b/>
                                <w:bCs/>
                                <w:color w:val="104D54"/>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85pt;margin-top:626pt;width:389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" fillcolor="window" stroked="f" strokeweight=".5pt">
                <v:textbo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Inicijativa: </w:t>
                      </w:r>
                      <w:r>
                        <w:rPr>
                          <w:rFonts w:ascii="Arial" w:hAnsi="Arial"/>
                          <w:b/>
                          <w:color w:val="104D54"/>
                        </w:rPr>
                        <w:t xml:space="preserve">RVO i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Verzija: 0.99 (nacrt)</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Autori: Michiel Mensink i Marcello Passaro, </w:t>
                      </w:r>
                      <w:r>
                        <w:rPr>
                          <w:rFonts w:ascii="Arial" w:hAnsi="Arial"/>
                          <w:color w:val="104D54"/>
                        </w:rPr>
                        <w:br/>
                        <w:t>nositelj autorskih prava: Rijksdienst voor Ondernemend Nederland,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Datum objave: 5. rujna 2023.</w:t>
                      </w:r>
                    </w:p>
                    <w:p w14:paraId="7696FCCA" w14:textId="77777777" w:rsidR="006E1674" w:rsidRPr="00644DBC" w:rsidRDefault="006E1674" w:rsidP="006E1674">
                      <w:pPr>
                        <w:rPr>
                          <w:rFonts w:ascii="Arial" w:hAnsi="Arial" w:cs="Arial"/>
                          <w:b/>
                          <w:bCs/>
                          <w:color w:val="104D54"/>
                          <w:sz w:val="32"/>
                          <w:szCs w:val="32"/>
                        </w:rPr>
                      </w:pPr>
                    </w:p>
                  </w:txbxContent>
                </v:textbox>
                <w10:wrap anchorx="margin" anchory="page"/>
                <w10:anchorlock/>
              </v:shape>
            </w:pict>
          </mc:Fallback>
        </mc:AlternateContent>
      </w:r>
      <w:r>
        <w:br w:type="page"/>
      </w:r>
    </w:p>
    <w:p w14:paraId="47F55D33" w14:textId="77777777" w:rsidR="00845A98" w:rsidRPr="006E1674" w:rsidRDefault="0029348A" w:rsidP="00904945">
      <w:pPr>
        <w:pStyle w:val="MH1"/>
      </w:pPr>
      <w:bookmarkStart w:id="49" w:name="_Toc176854538"/>
      <w:bookmarkStart w:id="50" w:name="_Toc180568524"/>
      <w:r>
        <w:lastRenderedPageBreak/>
        <w:t>Sadržaj</w:t>
      </w:r>
      <w:bookmarkEnd w:id="49"/>
      <w:bookmarkEnd w:id="50"/>
    </w:p>
    <w:p w14:paraId="053C2B11" w14:textId="77777777" w:rsidR="00845A98" w:rsidRPr="004C0EBD" w:rsidRDefault="00845A98" w:rsidP="00A3595E"/>
    <w:p w14:paraId="2BCE4A6D" w14:textId="77777777" w:rsidR="00845A98" w:rsidRPr="004C0EBD" w:rsidRDefault="00845A98" w:rsidP="00A3595E"/>
    <w:p w14:paraId="5A8363D3" w14:textId="7C822482" w:rsidR="00B42E33" w:rsidRDefault="00904945">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rPr>
        <w:fldChar w:fldCharType="begin"/>
      </w:r>
      <w:r>
        <w:rPr>
          <w:rFonts w:cs="Arial"/>
        </w:rPr>
        <w:instrText xml:space="preserve"> TOC \t "MH1,1,MH2,2,MH3,3" </w:instrText>
      </w:r>
      <w:r>
        <w:rPr>
          <w:rFonts w:cs="Arial"/>
        </w:rPr>
        <w:fldChar w:fldCharType="separate"/>
      </w:r>
      <w:r w:rsidR="00B42E33">
        <w:rPr>
          <w:noProof/>
        </w:rPr>
        <w:t>Sadržaj</w:t>
      </w:r>
      <w:r w:rsidR="00B42E33">
        <w:rPr>
          <w:noProof/>
        </w:rPr>
        <w:tab/>
      </w:r>
      <w:r w:rsidR="00B42E33">
        <w:rPr>
          <w:noProof/>
        </w:rPr>
        <w:fldChar w:fldCharType="begin"/>
      </w:r>
      <w:r w:rsidR="00B42E33">
        <w:rPr>
          <w:noProof/>
        </w:rPr>
        <w:instrText xml:space="preserve"> PAGEREF _Toc180568524 \h </w:instrText>
      </w:r>
      <w:r w:rsidR="00B42E33">
        <w:rPr>
          <w:noProof/>
        </w:rPr>
      </w:r>
      <w:r w:rsidR="00B42E33">
        <w:rPr>
          <w:noProof/>
        </w:rPr>
        <w:fldChar w:fldCharType="separate"/>
      </w:r>
      <w:r w:rsidR="00B42E33">
        <w:rPr>
          <w:noProof/>
        </w:rPr>
        <w:t>1</w:t>
      </w:r>
      <w:r w:rsidR="00B42E33">
        <w:rPr>
          <w:noProof/>
        </w:rPr>
        <w:fldChar w:fldCharType="end"/>
      </w:r>
    </w:p>
    <w:p w14:paraId="7D998D29" w14:textId="34F4D765" w:rsidR="00B42E33" w:rsidRDefault="00B42E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Objective of and background  to this guide</w:t>
      </w:r>
      <w:r>
        <w:rPr>
          <w:noProof/>
        </w:rPr>
        <w:tab/>
      </w:r>
      <w:r>
        <w:rPr>
          <w:noProof/>
        </w:rPr>
        <w:fldChar w:fldCharType="begin"/>
      </w:r>
      <w:r>
        <w:rPr>
          <w:noProof/>
        </w:rPr>
        <w:instrText xml:space="preserve"> PAGEREF _Toc180568525 \h </w:instrText>
      </w:r>
      <w:r>
        <w:rPr>
          <w:noProof/>
        </w:rPr>
      </w:r>
      <w:r>
        <w:rPr>
          <w:noProof/>
        </w:rPr>
        <w:fldChar w:fldCharType="separate"/>
      </w:r>
      <w:r>
        <w:rPr>
          <w:noProof/>
        </w:rPr>
        <w:t>3</w:t>
      </w:r>
      <w:r>
        <w:rPr>
          <w:noProof/>
        </w:rPr>
        <w:fldChar w:fldCharType="end"/>
      </w:r>
    </w:p>
    <w:p w14:paraId="06C9533C" w14:textId="4C718604"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Why</w:t>
      </w:r>
      <w:r>
        <w:rPr>
          <w:noProof/>
        </w:rPr>
        <w:tab/>
      </w:r>
      <w:r>
        <w:rPr>
          <w:noProof/>
        </w:rPr>
        <w:fldChar w:fldCharType="begin"/>
      </w:r>
      <w:r>
        <w:rPr>
          <w:noProof/>
        </w:rPr>
        <w:instrText xml:space="preserve"> PAGEREF _Toc180568526 \h </w:instrText>
      </w:r>
      <w:r>
        <w:rPr>
          <w:noProof/>
        </w:rPr>
      </w:r>
      <w:r>
        <w:rPr>
          <w:noProof/>
        </w:rPr>
        <w:fldChar w:fldCharType="separate"/>
      </w:r>
      <w:r>
        <w:rPr>
          <w:noProof/>
        </w:rPr>
        <w:t>3</w:t>
      </w:r>
      <w:r>
        <w:rPr>
          <w:noProof/>
        </w:rPr>
        <w:fldChar w:fldCharType="end"/>
      </w:r>
    </w:p>
    <w:p w14:paraId="748AE9A7" w14:textId="2DF38798"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Edits requested!  Please send us an email to” bigbuyers@eurocities.eu</w:t>
      </w:r>
      <w:r>
        <w:rPr>
          <w:noProof/>
        </w:rPr>
        <w:tab/>
      </w:r>
      <w:r>
        <w:rPr>
          <w:noProof/>
        </w:rPr>
        <w:fldChar w:fldCharType="begin"/>
      </w:r>
      <w:r>
        <w:rPr>
          <w:noProof/>
        </w:rPr>
        <w:instrText xml:space="preserve"> PAGEREF _Toc180568527 \h </w:instrText>
      </w:r>
      <w:r>
        <w:rPr>
          <w:noProof/>
        </w:rPr>
      </w:r>
      <w:r>
        <w:rPr>
          <w:noProof/>
        </w:rPr>
        <w:fldChar w:fldCharType="separate"/>
      </w:r>
      <w:r>
        <w:rPr>
          <w:noProof/>
        </w:rPr>
        <w:t>3</w:t>
      </w:r>
      <w:r>
        <w:rPr>
          <w:noProof/>
        </w:rPr>
        <w:fldChar w:fldCharType="end"/>
      </w:r>
    </w:p>
    <w:p w14:paraId="1032A91A" w14:textId="509129BD"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Responsibility</w:t>
      </w:r>
      <w:r>
        <w:rPr>
          <w:noProof/>
        </w:rPr>
        <w:tab/>
      </w:r>
      <w:r>
        <w:rPr>
          <w:noProof/>
        </w:rPr>
        <w:fldChar w:fldCharType="begin"/>
      </w:r>
      <w:r>
        <w:rPr>
          <w:noProof/>
        </w:rPr>
        <w:instrText xml:space="preserve"> PAGEREF _Toc180568528 \h </w:instrText>
      </w:r>
      <w:r>
        <w:rPr>
          <w:noProof/>
        </w:rPr>
      </w:r>
      <w:r>
        <w:rPr>
          <w:noProof/>
        </w:rPr>
        <w:fldChar w:fldCharType="separate"/>
      </w:r>
      <w:r>
        <w:rPr>
          <w:noProof/>
        </w:rPr>
        <w:t>4</w:t>
      </w:r>
      <w:r>
        <w:rPr>
          <w:noProof/>
        </w:rPr>
        <w:fldChar w:fldCharType="end"/>
      </w:r>
    </w:p>
    <w:p w14:paraId="028E009F" w14:textId="4B9877DD"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Disclaimer</w:t>
      </w:r>
      <w:r>
        <w:rPr>
          <w:noProof/>
        </w:rPr>
        <w:tab/>
      </w:r>
      <w:r>
        <w:rPr>
          <w:noProof/>
        </w:rPr>
        <w:fldChar w:fldCharType="begin"/>
      </w:r>
      <w:r>
        <w:rPr>
          <w:noProof/>
        </w:rPr>
        <w:instrText xml:space="preserve"> PAGEREF _Toc180568529 \h </w:instrText>
      </w:r>
      <w:r>
        <w:rPr>
          <w:noProof/>
        </w:rPr>
      </w:r>
      <w:r>
        <w:rPr>
          <w:noProof/>
        </w:rPr>
        <w:fldChar w:fldCharType="separate"/>
      </w:r>
      <w:r>
        <w:rPr>
          <w:noProof/>
        </w:rPr>
        <w:t>4</w:t>
      </w:r>
      <w:r>
        <w:rPr>
          <w:noProof/>
        </w:rPr>
        <w:fldChar w:fldCharType="end"/>
      </w:r>
    </w:p>
    <w:p w14:paraId="1CBA93C1" w14:textId="3D9E9EE6" w:rsidR="00B42E33" w:rsidRDefault="00B42E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Uvod</w:t>
      </w:r>
      <w:r>
        <w:rPr>
          <w:noProof/>
        </w:rPr>
        <w:tab/>
      </w:r>
      <w:r>
        <w:rPr>
          <w:noProof/>
        </w:rPr>
        <w:fldChar w:fldCharType="begin"/>
      </w:r>
      <w:r>
        <w:rPr>
          <w:noProof/>
        </w:rPr>
        <w:instrText xml:space="preserve"> PAGEREF _Toc180568530 \h </w:instrText>
      </w:r>
      <w:r>
        <w:rPr>
          <w:noProof/>
        </w:rPr>
      </w:r>
      <w:r>
        <w:rPr>
          <w:noProof/>
        </w:rPr>
        <w:fldChar w:fldCharType="separate"/>
      </w:r>
      <w:r>
        <w:rPr>
          <w:noProof/>
        </w:rPr>
        <w:t>5</w:t>
      </w:r>
      <w:r>
        <w:rPr>
          <w:noProof/>
        </w:rPr>
        <w:fldChar w:fldCharType="end"/>
      </w:r>
    </w:p>
    <w:p w14:paraId="3CC30B3D" w14:textId="531EF496" w:rsidR="00B42E33" w:rsidRDefault="00B42E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Preliminarna studija</w:t>
      </w:r>
      <w:r>
        <w:rPr>
          <w:noProof/>
        </w:rPr>
        <w:tab/>
      </w:r>
      <w:r>
        <w:rPr>
          <w:noProof/>
        </w:rPr>
        <w:fldChar w:fldCharType="begin"/>
      </w:r>
      <w:r>
        <w:rPr>
          <w:noProof/>
        </w:rPr>
        <w:instrText xml:space="preserve"> PAGEREF _Toc180568531 \h </w:instrText>
      </w:r>
      <w:r>
        <w:rPr>
          <w:noProof/>
        </w:rPr>
      </w:r>
      <w:r>
        <w:rPr>
          <w:noProof/>
        </w:rPr>
        <w:fldChar w:fldCharType="separate"/>
      </w:r>
      <w:r>
        <w:rPr>
          <w:noProof/>
        </w:rPr>
        <w:t>6</w:t>
      </w:r>
      <w:r>
        <w:rPr>
          <w:noProof/>
        </w:rPr>
        <w:fldChar w:fldCharType="end"/>
      </w:r>
    </w:p>
    <w:p w14:paraId="2192EF84" w14:textId="34CB9D98" w:rsidR="00B42E33" w:rsidRDefault="00B42E33">
      <w:pPr>
        <w:pStyle w:val="TOC2"/>
        <w:tabs>
          <w:tab w:val="right" w:leader="dot" w:pos="9062"/>
        </w:tabs>
        <w:rPr>
          <w:rFonts w:eastAsiaTheme="minorEastAsia" w:cstheme="minorBidi"/>
          <w:noProof/>
          <w:kern w:val="2"/>
          <w:lang w:val="en-IE" w:eastAsia="en-IE"/>
          <w14:ligatures w14:val="standardContextual"/>
        </w:rPr>
      </w:pPr>
      <w:r>
        <w:rPr>
          <w:noProof/>
        </w:rPr>
        <w:t>Prvi korak: pregled stanja</w:t>
      </w:r>
      <w:r>
        <w:rPr>
          <w:noProof/>
        </w:rPr>
        <w:tab/>
      </w:r>
      <w:r>
        <w:rPr>
          <w:noProof/>
        </w:rPr>
        <w:fldChar w:fldCharType="begin"/>
      </w:r>
      <w:r>
        <w:rPr>
          <w:noProof/>
        </w:rPr>
        <w:instrText xml:space="preserve"> PAGEREF _Toc180568532 \h </w:instrText>
      </w:r>
      <w:r>
        <w:rPr>
          <w:noProof/>
        </w:rPr>
      </w:r>
      <w:r>
        <w:rPr>
          <w:noProof/>
        </w:rPr>
        <w:fldChar w:fldCharType="separate"/>
      </w:r>
      <w:r>
        <w:rPr>
          <w:noProof/>
        </w:rPr>
        <w:t>7</w:t>
      </w:r>
      <w:r>
        <w:rPr>
          <w:noProof/>
        </w:rPr>
        <w:fldChar w:fldCharType="end"/>
      </w:r>
    </w:p>
    <w:p w14:paraId="1CFB51F4" w14:textId="1F517985"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1.1. Općenito</w:t>
      </w:r>
      <w:r>
        <w:rPr>
          <w:noProof/>
        </w:rPr>
        <w:tab/>
      </w:r>
      <w:r>
        <w:rPr>
          <w:noProof/>
        </w:rPr>
        <w:fldChar w:fldCharType="begin"/>
      </w:r>
      <w:r>
        <w:rPr>
          <w:noProof/>
        </w:rPr>
        <w:instrText xml:space="preserve"> PAGEREF _Toc180568533 \h </w:instrText>
      </w:r>
      <w:r>
        <w:rPr>
          <w:noProof/>
        </w:rPr>
      </w:r>
      <w:r>
        <w:rPr>
          <w:noProof/>
        </w:rPr>
        <w:fldChar w:fldCharType="separate"/>
      </w:r>
      <w:r>
        <w:rPr>
          <w:noProof/>
        </w:rPr>
        <w:t>7</w:t>
      </w:r>
      <w:r>
        <w:rPr>
          <w:noProof/>
        </w:rPr>
        <w:fldChar w:fldCharType="end"/>
      </w:r>
    </w:p>
    <w:p w14:paraId="7083BD8D" w14:textId="12AEAC04"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1.2. Pitanja povezana s električnom energijom</w:t>
      </w:r>
      <w:r>
        <w:rPr>
          <w:noProof/>
        </w:rPr>
        <w:tab/>
      </w:r>
      <w:r>
        <w:rPr>
          <w:noProof/>
        </w:rPr>
        <w:fldChar w:fldCharType="begin"/>
      </w:r>
      <w:r>
        <w:rPr>
          <w:noProof/>
        </w:rPr>
        <w:instrText xml:space="preserve"> PAGEREF _Toc180568534 \h </w:instrText>
      </w:r>
      <w:r>
        <w:rPr>
          <w:noProof/>
        </w:rPr>
      </w:r>
      <w:r>
        <w:rPr>
          <w:noProof/>
        </w:rPr>
        <w:fldChar w:fldCharType="separate"/>
      </w:r>
      <w:r>
        <w:rPr>
          <w:noProof/>
        </w:rPr>
        <w:t>7</w:t>
      </w:r>
      <w:r>
        <w:rPr>
          <w:noProof/>
        </w:rPr>
        <w:fldChar w:fldCharType="end"/>
      </w:r>
    </w:p>
    <w:p w14:paraId="090BC81B" w14:textId="25CE2E73"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1.3. Fotografije i karte</w:t>
      </w:r>
      <w:r>
        <w:rPr>
          <w:noProof/>
        </w:rPr>
        <w:tab/>
      </w:r>
      <w:r>
        <w:rPr>
          <w:noProof/>
        </w:rPr>
        <w:fldChar w:fldCharType="begin"/>
      </w:r>
      <w:r>
        <w:rPr>
          <w:noProof/>
        </w:rPr>
        <w:instrText xml:space="preserve"> PAGEREF _Toc180568535 \h </w:instrText>
      </w:r>
      <w:r>
        <w:rPr>
          <w:noProof/>
        </w:rPr>
      </w:r>
      <w:r>
        <w:rPr>
          <w:noProof/>
        </w:rPr>
        <w:fldChar w:fldCharType="separate"/>
      </w:r>
      <w:r>
        <w:rPr>
          <w:noProof/>
        </w:rPr>
        <w:t>7</w:t>
      </w:r>
      <w:r>
        <w:rPr>
          <w:noProof/>
        </w:rPr>
        <w:fldChar w:fldCharType="end"/>
      </w:r>
    </w:p>
    <w:p w14:paraId="24086D48" w14:textId="09B1F864"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1.4. Planiranje</w:t>
      </w:r>
      <w:r>
        <w:rPr>
          <w:noProof/>
        </w:rPr>
        <w:tab/>
      </w:r>
      <w:r>
        <w:rPr>
          <w:noProof/>
        </w:rPr>
        <w:fldChar w:fldCharType="begin"/>
      </w:r>
      <w:r>
        <w:rPr>
          <w:noProof/>
        </w:rPr>
        <w:instrText xml:space="preserve"> PAGEREF _Toc180568536 \h </w:instrText>
      </w:r>
      <w:r>
        <w:rPr>
          <w:noProof/>
        </w:rPr>
      </w:r>
      <w:r>
        <w:rPr>
          <w:noProof/>
        </w:rPr>
        <w:fldChar w:fldCharType="separate"/>
      </w:r>
      <w:r>
        <w:rPr>
          <w:noProof/>
        </w:rPr>
        <w:t>7</w:t>
      </w:r>
      <w:r>
        <w:rPr>
          <w:noProof/>
        </w:rPr>
        <w:fldChar w:fldCharType="end"/>
      </w:r>
    </w:p>
    <w:p w14:paraId="725522D8" w14:textId="0B513EEC"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1.5. Opterećenje krova</w:t>
      </w:r>
      <w:r>
        <w:rPr>
          <w:noProof/>
        </w:rPr>
        <w:tab/>
      </w:r>
      <w:r>
        <w:rPr>
          <w:noProof/>
        </w:rPr>
        <w:fldChar w:fldCharType="begin"/>
      </w:r>
      <w:r>
        <w:rPr>
          <w:noProof/>
        </w:rPr>
        <w:instrText xml:space="preserve"> PAGEREF _Toc180568537 \h </w:instrText>
      </w:r>
      <w:r>
        <w:rPr>
          <w:noProof/>
        </w:rPr>
      </w:r>
      <w:r>
        <w:rPr>
          <w:noProof/>
        </w:rPr>
        <w:fldChar w:fldCharType="separate"/>
      </w:r>
      <w:r>
        <w:rPr>
          <w:noProof/>
        </w:rPr>
        <w:t>7</w:t>
      </w:r>
      <w:r>
        <w:rPr>
          <w:noProof/>
        </w:rPr>
        <w:fldChar w:fldCharType="end"/>
      </w:r>
    </w:p>
    <w:p w14:paraId="4726A171" w14:textId="574CE7B7" w:rsidR="00B42E33" w:rsidRDefault="00B42E33">
      <w:pPr>
        <w:pStyle w:val="TOC2"/>
        <w:tabs>
          <w:tab w:val="right" w:leader="dot" w:pos="9062"/>
        </w:tabs>
        <w:rPr>
          <w:rFonts w:eastAsiaTheme="minorEastAsia" w:cstheme="minorBidi"/>
          <w:noProof/>
          <w:kern w:val="2"/>
          <w:lang w:val="en-IE" w:eastAsia="en-IE"/>
          <w14:ligatures w14:val="standardContextual"/>
        </w:rPr>
      </w:pPr>
      <w:r>
        <w:rPr>
          <w:noProof/>
        </w:rPr>
        <w:t>Drugi korak: indikativni inženjering</w:t>
      </w:r>
      <w:r>
        <w:rPr>
          <w:noProof/>
        </w:rPr>
        <w:tab/>
      </w:r>
      <w:r>
        <w:rPr>
          <w:noProof/>
        </w:rPr>
        <w:fldChar w:fldCharType="begin"/>
      </w:r>
      <w:r>
        <w:rPr>
          <w:noProof/>
        </w:rPr>
        <w:instrText xml:space="preserve"> PAGEREF _Toc180568538 \h </w:instrText>
      </w:r>
      <w:r>
        <w:rPr>
          <w:noProof/>
        </w:rPr>
      </w:r>
      <w:r>
        <w:rPr>
          <w:noProof/>
        </w:rPr>
        <w:fldChar w:fldCharType="separate"/>
      </w:r>
      <w:r>
        <w:rPr>
          <w:noProof/>
        </w:rPr>
        <w:t>8</w:t>
      </w:r>
      <w:r>
        <w:rPr>
          <w:noProof/>
        </w:rPr>
        <w:fldChar w:fldCharType="end"/>
      </w:r>
    </w:p>
    <w:p w14:paraId="300C5853" w14:textId="3C9BBC69"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2.1. Određivanje maksimalnog broja solarnih ploča i maksimalne proizvodnje energije</w:t>
      </w:r>
      <w:r>
        <w:rPr>
          <w:noProof/>
        </w:rPr>
        <w:tab/>
      </w:r>
      <w:r>
        <w:rPr>
          <w:noProof/>
        </w:rPr>
        <w:fldChar w:fldCharType="begin"/>
      </w:r>
      <w:r>
        <w:rPr>
          <w:noProof/>
        </w:rPr>
        <w:instrText xml:space="preserve"> PAGEREF _Toc180568539 \h </w:instrText>
      </w:r>
      <w:r>
        <w:rPr>
          <w:noProof/>
        </w:rPr>
      </w:r>
      <w:r>
        <w:rPr>
          <w:noProof/>
        </w:rPr>
        <w:fldChar w:fldCharType="separate"/>
      </w:r>
      <w:r>
        <w:rPr>
          <w:noProof/>
        </w:rPr>
        <w:t>8</w:t>
      </w:r>
      <w:r>
        <w:rPr>
          <w:noProof/>
        </w:rPr>
        <w:fldChar w:fldCharType="end"/>
      </w:r>
    </w:p>
    <w:p w14:paraId="64A52DAF" w14:textId="6D452F60"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2.2. Izrada osnovnih odrednica poslovnog slučaja</w:t>
      </w:r>
      <w:r>
        <w:rPr>
          <w:noProof/>
        </w:rPr>
        <w:tab/>
      </w:r>
      <w:r>
        <w:rPr>
          <w:noProof/>
        </w:rPr>
        <w:fldChar w:fldCharType="begin"/>
      </w:r>
      <w:r>
        <w:rPr>
          <w:noProof/>
        </w:rPr>
        <w:instrText xml:space="preserve"> PAGEREF _Toc180568540 \h </w:instrText>
      </w:r>
      <w:r>
        <w:rPr>
          <w:noProof/>
        </w:rPr>
      </w:r>
      <w:r>
        <w:rPr>
          <w:noProof/>
        </w:rPr>
        <w:fldChar w:fldCharType="separate"/>
      </w:r>
      <w:r>
        <w:rPr>
          <w:noProof/>
        </w:rPr>
        <w:t>8</w:t>
      </w:r>
      <w:r>
        <w:rPr>
          <w:noProof/>
        </w:rPr>
        <w:fldChar w:fldCharType="end"/>
      </w:r>
    </w:p>
    <w:p w14:paraId="2FD681FE" w14:textId="53715FF8"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2.3. Određivanje okvirne proizvodnje energije, troškova projekta i broja solarnih ploča</w:t>
      </w:r>
      <w:r>
        <w:rPr>
          <w:noProof/>
        </w:rPr>
        <w:tab/>
      </w:r>
      <w:r>
        <w:rPr>
          <w:noProof/>
        </w:rPr>
        <w:fldChar w:fldCharType="begin"/>
      </w:r>
      <w:r>
        <w:rPr>
          <w:noProof/>
        </w:rPr>
        <w:instrText xml:space="preserve"> PAGEREF _Toc180568541 \h </w:instrText>
      </w:r>
      <w:r>
        <w:rPr>
          <w:noProof/>
        </w:rPr>
      </w:r>
      <w:r>
        <w:rPr>
          <w:noProof/>
        </w:rPr>
        <w:fldChar w:fldCharType="separate"/>
      </w:r>
      <w:r>
        <w:rPr>
          <w:noProof/>
        </w:rPr>
        <w:t>9</w:t>
      </w:r>
      <w:r>
        <w:rPr>
          <w:noProof/>
        </w:rPr>
        <w:fldChar w:fldCharType="end"/>
      </w:r>
    </w:p>
    <w:p w14:paraId="5345CAEF" w14:textId="590EFF77"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2.4. Nije obvezno</w:t>
      </w:r>
      <w:r>
        <w:rPr>
          <w:noProof/>
        </w:rPr>
        <w:tab/>
      </w:r>
      <w:r>
        <w:rPr>
          <w:noProof/>
        </w:rPr>
        <w:fldChar w:fldCharType="begin"/>
      </w:r>
      <w:r>
        <w:rPr>
          <w:noProof/>
        </w:rPr>
        <w:instrText xml:space="preserve"> PAGEREF _Toc180568542 \h </w:instrText>
      </w:r>
      <w:r>
        <w:rPr>
          <w:noProof/>
        </w:rPr>
      </w:r>
      <w:r>
        <w:rPr>
          <w:noProof/>
        </w:rPr>
        <w:fldChar w:fldCharType="separate"/>
      </w:r>
      <w:r>
        <w:rPr>
          <w:noProof/>
        </w:rPr>
        <w:t>9</w:t>
      </w:r>
      <w:r>
        <w:rPr>
          <w:noProof/>
        </w:rPr>
        <w:fldChar w:fldCharType="end"/>
      </w:r>
    </w:p>
    <w:p w14:paraId="37870E9D" w14:textId="4773E7F5" w:rsidR="00B42E33" w:rsidRDefault="00B42E33">
      <w:pPr>
        <w:pStyle w:val="TOC2"/>
        <w:tabs>
          <w:tab w:val="right" w:leader="dot" w:pos="9062"/>
        </w:tabs>
        <w:rPr>
          <w:rFonts w:eastAsiaTheme="minorEastAsia" w:cstheme="minorBidi"/>
          <w:noProof/>
          <w:kern w:val="2"/>
          <w:lang w:val="en-IE" w:eastAsia="en-IE"/>
          <w14:ligatures w14:val="standardContextual"/>
        </w:rPr>
      </w:pPr>
      <w:r>
        <w:rPr>
          <w:noProof/>
        </w:rPr>
        <w:t>Treći korak: vlasništvo i objava poziva  na dostavu ponuda / nabavu</w:t>
      </w:r>
      <w:r>
        <w:rPr>
          <w:noProof/>
        </w:rPr>
        <w:tab/>
      </w:r>
      <w:r>
        <w:rPr>
          <w:noProof/>
        </w:rPr>
        <w:fldChar w:fldCharType="begin"/>
      </w:r>
      <w:r>
        <w:rPr>
          <w:noProof/>
        </w:rPr>
        <w:instrText xml:space="preserve"> PAGEREF _Toc180568543 \h </w:instrText>
      </w:r>
      <w:r>
        <w:rPr>
          <w:noProof/>
        </w:rPr>
      </w:r>
      <w:r>
        <w:rPr>
          <w:noProof/>
        </w:rPr>
        <w:fldChar w:fldCharType="separate"/>
      </w:r>
      <w:r>
        <w:rPr>
          <w:noProof/>
        </w:rPr>
        <w:t>9</w:t>
      </w:r>
      <w:r>
        <w:rPr>
          <w:noProof/>
        </w:rPr>
        <w:fldChar w:fldCharType="end"/>
      </w:r>
    </w:p>
    <w:p w14:paraId="53486411" w14:textId="22F0246B"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3.1. Vlasnik ili najmoprimac?</w:t>
      </w:r>
      <w:r>
        <w:rPr>
          <w:noProof/>
        </w:rPr>
        <w:tab/>
      </w:r>
      <w:r>
        <w:rPr>
          <w:noProof/>
        </w:rPr>
        <w:fldChar w:fldCharType="begin"/>
      </w:r>
      <w:r>
        <w:rPr>
          <w:noProof/>
        </w:rPr>
        <w:instrText xml:space="preserve"> PAGEREF _Toc180568544 \h </w:instrText>
      </w:r>
      <w:r>
        <w:rPr>
          <w:noProof/>
        </w:rPr>
      </w:r>
      <w:r>
        <w:rPr>
          <w:noProof/>
        </w:rPr>
        <w:fldChar w:fldCharType="separate"/>
      </w:r>
      <w:r>
        <w:rPr>
          <w:noProof/>
        </w:rPr>
        <w:t>9</w:t>
      </w:r>
      <w:r>
        <w:rPr>
          <w:noProof/>
        </w:rPr>
        <w:fldChar w:fldCharType="end"/>
      </w:r>
    </w:p>
    <w:p w14:paraId="1B33C183" w14:textId="0E84B97A"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3.2. Za javne organizacije: javna nabava ili izravna dodjela?</w:t>
      </w:r>
      <w:r>
        <w:rPr>
          <w:noProof/>
        </w:rPr>
        <w:tab/>
      </w:r>
      <w:r>
        <w:rPr>
          <w:noProof/>
        </w:rPr>
        <w:fldChar w:fldCharType="begin"/>
      </w:r>
      <w:r>
        <w:rPr>
          <w:noProof/>
        </w:rPr>
        <w:instrText xml:space="preserve"> PAGEREF _Toc180568545 \h </w:instrText>
      </w:r>
      <w:r>
        <w:rPr>
          <w:noProof/>
        </w:rPr>
      </w:r>
      <w:r>
        <w:rPr>
          <w:noProof/>
        </w:rPr>
        <w:fldChar w:fldCharType="separate"/>
      </w:r>
      <w:r>
        <w:rPr>
          <w:noProof/>
        </w:rPr>
        <w:t>9</w:t>
      </w:r>
      <w:r>
        <w:rPr>
          <w:noProof/>
        </w:rPr>
        <w:fldChar w:fldCharType="end"/>
      </w:r>
    </w:p>
    <w:p w14:paraId="2B937032" w14:textId="7F05C49A" w:rsidR="00B42E33" w:rsidRDefault="00B42E33">
      <w:pPr>
        <w:pStyle w:val="TOC2"/>
        <w:tabs>
          <w:tab w:val="right" w:leader="dot" w:pos="9062"/>
        </w:tabs>
        <w:rPr>
          <w:rFonts w:eastAsiaTheme="minorEastAsia" w:cstheme="minorBidi"/>
          <w:noProof/>
          <w:kern w:val="2"/>
          <w:lang w:val="en-IE" w:eastAsia="en-IE"/>
          <w14:ligatures w14:val="standardContextual"/>
        </w:rPr>
      </w:pPr>
      <w:r>
        <w:rPr>
          <w:noProof/>
        </w:rPr>
        <w:t>Četvrti korak: dozvole i priključenje na mrežu</w:t>
      </w:r>
      <w:r>
        <w:rPr>
          <w:noProof/>
        </w:rPr>
        <w:tab/>
      </w:r>
      <w:r>
        <w:rPr>
          <w:noProof/>
        </w:rPr>
        <w:fldChar w:fldCharType="begin"/>
      </w:r>
      <w:r>
        <w:rPr>
          <w:noProof/>
        </w:rPr>
        <w:instrText xml:space="preserve"> PAGEREF _Toc180568546 \h </w:instrText>
      </w:r>
      <w:r>
        <w:rPr>
          <w:noProof/>
        </w:rPr>
      </w:r>
      <w:r>
        <w:rPr>
          <w:noProof/>
        </w:rPr>
        <w:fldChar w:fldCharType="separate"/>
      </w:r>
      <w:r>
        <w:rPr>
          <w:noProof/>
        </w:rPr>
        <w:t>12</w:t>
      </w:r>
      <w:r>
        <w:rPr>
          <w:noProof/>
        </w:rPr>
        <w:fldChar w:fldCharType="end"/>
      </w:r>
    </w:p>
    <w:p w14:paraId="5243EB14" w14:textId="1EBA2544"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4.1. Dozvole</w:t>
      </w:r>
      <w:r>
        <w:rPr>
          <w:noProof/>
        </w:rPr>
        <w:tab/>
      </w:r>
      <w:r>
        <w:rPr>
          <w:noProof/>
        </w:rPr>
        <w:fldChar w:fldCharType="begin"/>
      </w:r>
      <w:r>
        <w:rPr>
          <w:noProof/>
        </w:rPr>
        <w:instrText xml:space="preserve"> PAGEREF _Toc180568547 \h </w:instrText>
      </w:r>
      <w:r>
        <w:rPr>
          <w:noProof/>
        </w:rPr>
      </w:r>
      <w:r>
        <w:rPr>
          <w:noProof/>
        </w:rPr>
        <w:fldChar w:fldCharType="separate"/>
      </w:r>
      <w:r>
        <w:rPr>
          <w:noProof/>
        </w:rPr>
        <w:t>12</w:t>
      </w:r>
      <w:r>
        <w:rPr>
          <w:noProof/>
        </w:rPr>
        <w:fldChar w:fldCharType="end"/>
      </w:r>
    </w:p>
    <w:p w14:paraId="129E51F5" w14:textId="777D2E67"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4.2. Priključak na mrežu: mogućnosti i razmatranja</w:t>
      </w:r>
      <w:r>
        <w:rPr>
          <w:noProof/>
        </w:rPr>
        <w:tab/>
      </w:r>
      <w:r>
        <w:rPr>
          <w:noProof/>
        </w:rPr>
        <w:fldChar w:fldCharType="begin"/>
      </w:r>
      <w:r>
        <w:rPr>
          <w:noProof/>
        </w:rPr>
        <w:instrText xml:space="preserve"> PAGEREF _Toc180568548 \h </w:instrText>
      </w:r>
      <w:r>
        <w:rPr>
          <w:noProof/>
        </w:rPr>
      </w:r>
      <w:r>
        <w:rPr>
          <w:noProof/>
        </w:rPr>
        <w:fldChar w:fldCharType="separate"/>
      </w:r>
      <w:r>
        <w:rPr>
          <w:noProof/>
        </w:rPr>
        <w:t>12</w:t>
      </w:r>
      <w:r>
        <w:rPr>
          <w:noProof/>
        </w:rPr>
        <w:fldChar w:fldCharType="end"/>
      </w:r>
    </w:p>
    <w:p w14:paraId="5EBAE8DD" w14:textId="2E8F18DE" w:rsidR="00B42E33" w:rsidRDefault="00B42E33">
      <w:pPr>
        <w:pStyle w:val="TOC2"/>
        <w:tabs>
          <w:tab w:val="right" w:leader="dot" w:pos="9062"/>
        </w:tabs>
        <w:rPr>
          <w:rFonts w:eastAsiaTheme="minorEastAsia" w:cstheme="minorBidi"/>
          <w:noProof/>
          <w:kern w:val="2"/>
          <w:lang w:val="en-IE" w:eastAsia="en-IE"/>
          <w14:ligatures w14:val="standardContextual"/>
        </w:rPr>
      </w:pPr>
      <w:r>
        <w:rPr>
          <w:noProof/>
        </w:rPr>
        <w:t>Peti korak: promet, subvencije, financiranje i osiguranje</w:t>
      </w:r>
      <w:r>
        <w:rPr>
          <w:noProof/>
        </w:rPr>
        <w:tab/>
      </w:r>
      <w:r>
        <w:rPr>
          <w:noProof/>
        </w:rPr>
        <w:fldChar w:fldCharType="begin"/>
      </w:r>
      <w:r>
        <w:rPr>
          <w:noProof/>
        </w:rPr>
        <w:instrText xml:space="preserve"> PAGEREF _Toc180568549 \h </w:instrText>
      </w:r>
      <w:r>
        <w:rPr>
          <w:noProof/>
        </w:rPr>
      </w:r>
      <w:r>
        <w:rPr>
          <w:noProof/>
        </w:rPr>
        <w:fldChar w:fldCharType="separate"/>
      </w:r>
      <w:r>
        <w:rPr>
          <w:noProof/>
        </w:rPr>
        <w:t>14</w:t>
      </w:r>
      <w:r>
        <w:rPr>
          <w:noProof/>
        </w:rPr>
        <w:fldChar w:fldCharType="end"/>
      </w:r>
    </w:p>
    <w:p w14:paraId="43843D5A" w14:textId="4A3E50B2"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5.1. Promet od povrata električne energije u mrežu</w:t>
      </w:r>
      <w:r>
        <w:rPr>
          <w:noProof/>
        </w:rPr>
        <w:tab/>
      </w:r>
      <w:r>
        <w:rPr>
          <w:noProof/>
        </w:rPr>
        <w:fldChar w:fldCharType="begin"/>
      </w:r>
      <w:r>
        <w:rPr>
          <w:noProof/>
        </w:rPr>
        <w:instrText xml:space="preserve"> PAGEREF _Toc180568550 \h </w:instrText>
      </w:r>
      <w:r>
        <w:rPr>
          <w:noProof/>
        </w:rPr>
      </w:r>
      <w:r>
        <w:rPr>
          <w:noProof/>
        </w:rPr>
        <w:fldChar w:fldCharType="separate"/>
      </w:r>
      <w:r>
        <w:rPr>
          <w:noProof/>
        </w:rPr>
        <w:t>14</w:t>
      </w:r>
      <w:r>
        <w:rPr>
          <w:noProof/>
        </w:rPr>
        <w:fldChar w:fldCharType="end"/>
      </w:r>
    </w:p>
    <w:p w14:paraId="43328215" w14:textId="0FAFF773"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5.1. Subvencije</w:t>
      </w:r>
      <w:r>
        <w:rPr>
          <w:noProof/>
        </w:rPr>
        <w:tab/>
      </w:r>
      <w:r>
        <w:rPr>
          <w:noProof/>
        </w:rPr>
        <w:fldChar w:fldCharType="begin"/>
      </w:r>
      <w:r>
        <w:rPr>
          <w:noProof/>
        </w:rPr>
        <w:instrText xml:space="preserve"> PAGEREF _Toc180568551 \h </w:instrText>
      </w:r>
      <w:r>
        <w:rPr>
          <w:noProof/>
        </w:rPr>
      </w:r>
      <w:r>
        <w:rPr>
          <w:noProof/>
        </w:rPr>
        <w:fldChar w:fldCharType="separate"/>
      </w:r>
      <w:r>
        <w:rPr>
          <w:noProof/>
        </w:rPr>
        <w:t>15</w:t>
      </w:r>
      <w:r>
        <w:rPr>
          <w:noProof/>
        </w:rPr>
        <w:fldChar w:fldCharType="end"/>
      </w:r>
    </w:p>
    <w:p w14:paraId="03B5380C" w14:textId="76345D59"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5.2. Financiranje</w:t>
      </w:r>
      <w:r>
        <w:rPr>
          <w:noProof/>
        </w:rPr>
        <w:tab/>
      </w:r>
      <w:r>
        <w:rPr>
          <w:noProof/>
        </w:rPr>
        <w:fldChar w:fldCharType="begin"/>
      </w:r>
      <w:r>
        <w:rPr>
          <w:noProof/>
        </w:rPr>
        <w:instrText xml:space="preserve"> PAGEREF _Toc180568552 \h </w:instrText>
      </w:r>
      <w:r>
        <w:rPr>
          <w:noProof/>
        </w:rPr>
      </w:r>
      <w:r>
        <w:rPr>
          <w:noProof/>
        </w:rPr>
        <w:fldChar w:fldCharType="separate"/>
      </w:r>
      <w:r>
        <w:rPr>
          <w:noProof/>
        </w:rPr>
        <w:t>16</w:t>
      </w:r>
      <w:r>
        <w:rPr>
          <w:noProof/>
        </w:rPr>
        <w:fldChar w:fldCharType="end"/>
      </w:r>
    </w:p>
    <w:p w14:paraId="5A33E4B9" w14:textId="498848C4"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5.3. Osiguranje</w:t>
      </w:r>
      <w:r>
        <w:rPr>
          <w:noProof/>
        </w:rPr>
        <w:tab/>
      </w:r>
      <w:r>
        <w:rPr>
          <w:noProof/>
        </w:rPr>
        <w:fldChar w:fldCharType="begin"/>
      </w:r>
      <w:r>
        <w:rPr>
          <w:noProof/>
        </w:rPr>
        <w:instrText xml:space="preserve"> PAGEREF _Toc180568553 \h </w:instrText>
      </w:r>
      <w:r>
        <w:rPr>
          <w:noProof/>
        </w:rPr>
      </w:r>
      <w:r>
        <w:rPr>
          <w:noProof/>
        </w:rPr>
        <w:fldChar w:fldCharType="separate"/>
      </w:r>
      <w:r>
        <w:rPr>
          <w:noProof/>
        </w:rPr>
        <w:t>17</w:t>
      </w:r>
      <w:r>
        <w:rPr>
          <w:noProof/>
        </w:rPr>
        <w:fldChar w:fldCharType="end"/>
      </w:r>
    </w:p>
    <w:p w14:paraId="13DA682C" w14:textId="30E9E6D3" w:rsidR="00B42E33" w:rsidRDefault="00B42E33">
      <w:pPr>
        <w:pStyle w:val="TOC2"/>
        <w:tabs>
          <w:tab w:val="right" w:leader="dot" w:pos="9062"/>
        </w:tabs>
        <w:rPr>
          <w:rFonts w:eastAsiaTheme="minorEastAsia" w:cstheme="minorBidi"/>
          <w:noProof/>
          <w:kern w:val="2"/>
          <w:lang w:val="en-IE" w:eastAsia="en-IE"/>
          <w14:ligatures w14:val="standardContextual"/>
        </w:rPr>
      </w:pPr>
      <w:r>
        <w:rPr>
          <w:noProof/>
        </w:rPr>
        <w:lastRenderedPageBreak/>
        <w:t>Šesti korak: aspekti održivosti</w:t>
      </w:r>
      <w:r>
        <w:rPr>
          <w:noProof/>
        </w:rPr>
        <w:tab/>
      </w:r>
      <w:r>
        <w:rPr>
          <w:noProof/>
        </w:rPr>
        <w:fldChar w:fldCharType="begin"/>
      </w:r>
      <w:r>
        <w:rPr>
          <w:noProof/>
        </w:rPr>
        <w:instrText xml:space="preserve"> PAGEREF _Toc180568554 \h </w:instrText>
      </w:r>
      <w:r>
        <w:rPr>
          <w:noProof/>
        </w:rPr>
      </w:r>
      <w:r>
        <w:rPr>
          <w:noProof/>
        </w:rPr>
        <w:fldChar w:fldCharType="separate"/>
      </w:r>
      <w:r>
        <w:rPr>
          <w:noProof/>
        </w:rPr>
        <w:t>18</w:t>
      </w:r>
      <w:r>
        <w:rPr>
          <w:noProof/>
        </w:rPr>
        <w:fldChar w:fldCharType="end"/>
      </w:r>
    </w:p>
    <w:p w14:paraId="3CDB2718" w14:textId="01D4BD51"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6.1. Aspekti održivosti solarnih ploča</w:t>
      </w:r>
      <w:r>
        <w:rPr>
          <w:noProof/>
        </w:rPr>
        <w:tab/>
      </w:r>
      <w:r>
        <w:rPr>
          <w:noProof/>
        </w:rPr>
        <w:fldChar w:fldCharType="begin"/>
      </w:r>
      <w:r>
        <w:rPr>
          <w:noProof/>
        </w:rPr>
        <w:instrText xml:space="preserve"> PAGEREF _Toc180568555 \h </w:instrText>
      </w:r>
      <w:r>
        <w:rPr>
          <w:noProof/>
        </w:rPr>
      </w:r>
      <w:r>
        <w:rPr>
          <w:noProof/>
        </w:rPr>
        <w:fldChar w:fldCharType="separate"/>
      </w:r>
      <w:r>
        <w:rPr>
          <w:noProof/>
        </w:rPr>
        <w:t>19</w:t>
      </w:r>
      <w:r>
        <w:rPr>
          <w:noProof/>
        </w:rPr>
        <w:fldChar w:fldCharType="end"/>
      </w:r>
    </w:p>
    <w:p w14:paraId="3E7785A8" w14:textId="137D65C6"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6.2. Okolišni aspekti uključeni u Sunce na zemlji i  Sunce na vodi</w:t>
      </w:r>
      <w:r>
        <w:rPr>
          <w:noProof/>
        </w:rPr>
        <w:tab/>
      </w:r>
      <w:r>
        <w:rPr>
          <w:noProof/>
        </w:rPr>
        <w:fldChar w:fldCharType="begin"/>
      </w:r>
      <w:r>
        <w:rPr>
          <w:noProof/>
        </w:rPr>
        <w:instrText xml:space="preserve"> PAGEREF _Toc180568556 \h </w:instrText>
      </w:r>
      <w:r>
        <w:rPr>
          <w:noProof/>
        </w:rPr>
      </w:r>
      <w:r>
        <w:rPr>
          <w:noProof/>
        </w:rPr>
        <w:fldChar w:fldCharType="separate"/>
      </w:r>
      <w:r>
        <w:rPr>
          <w:noProof/>
        </w:rPr>
        <w:t>20</w:t>
      </w:r>
      <w:r>
        <w:rPr>
          <w:noProof/>
        </w:rPr>
        <w:fldChar w:fldCharType="end"/>
      </w:r>
    </w:p>
    <w:p w14:paraId="0A4F51E1" w14:textId="53BF5962" w:rsidR="00B42E33" w:rsidRDefault="00B42E33">
      <w:pPr>
        <w:pStyle w:val="TOC2"/>
        <w:tabs>
          <w:tab w:val="right" w:leader="dot" w:pos="9062"/>
        </w:tabs>
        <w:rPr>
          <w:rFonts w:eastAsiaTheme="minorEastAsia" w:cstheme="minorBidi"/>
          <w:noProof/>
          <w:kern w:val="2"/>
          <w:lang w:val="en-IE" w:eastAsia="en-IE"/>
          <w14:ligatures w14:val="standardContextual"/>
        </w:rPr>
      </w:pPr>
      <w:r>
        <w:rPr>
          <w:noProof/>
        </w:rPr>
        <w:t>Sedmi korak: provedba i isporuka</w:t>
      </w:r>
      <w:r>
        <w:rPr>
          <w:noProof/>
        </w:rPr>
        <w:tab/>
      </w:r>
      <w:r>
        <w:rPr>
          <w:noProof/>
        </w:rPr>
        <w:fldChar w:fldCharType="begin"/>
      </w:r>
      <w:r>
        <w:rPr>
          <w:noProof/>
        </w:rPr>
        <w:instrText xml:space="preserve"> PAGEREF _Toc180568557 \h </w:instrText>
      </w:r>
      <w:r>
        <w:rPr>
          <w:noProof/>
        </w:rPr>
      </w:r>
      <w:r>
        <w:rPr>
          <w:noProof/>
        </w:rPr>
        <w:fldChar w:fldCharType="separate"/>
      </w:r>
      <w:r>
        <w:rPr>
          <w:noProof/>
        </w:rPr>
        <w:t>21</w:t>
      </w:r>
      <w:r>
        <w:rPr>
          <w:noProof/>
        </w:rPr>
        <w:fldChar w:fldCharType="end"/>
      </w:r>
    </w:p>
    <w:p w14:paraId="2004E208" w14:textId="33F81A11"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7.1. Vremenski rokovi</w:t>
      </w:r>
      <w:r>
        <w:rPr>
          <w:noProof/>
        </w:rPr>
        <w:tab/>
      </w:r>
      <w:r>
        <w:rPr>
          <w:noProof/>
        </w:rPr>
        <w:fldChar w:fldCharType="begin"/>
      </w:r>
      <w:r>
        <w:rPr>
          <w:noProof/>
        </w:rPr>
        <w:instrText xml:space="preserve"> PAGEREF _Toc180568558 \h </w:instrText>
      </w:r>
      <w:r>
        <w:rPr>
          <w:noProof/>
        </w:rPr>
      </w:r>
      <w:r>
        <w:rPr>
          <w:noProof/>
        </w:rPr>
        <w:fldChar w:fldCharType="separate"/>
      </w:r>
      <w:r>
        <w:rPr>
          <w:noProof/>
        </w:rPr>
        <w:t>21</w:t>
      </w:r>
      <w:r>
        <w:rPr>
          <w:noProof/>
        </w:rPr>
        <w:fldChar w:fldCharType="end"/>
      </w:r>
    </w:p>
    <w:p w14:paraId="766016B5" w14:textId="5B29FB81"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7.2. Inspekcije i završna inspekcija</w:t>
      </w:r>
      <w:r>
        <w:rPr>
          <w:noProof/>
        </w:rPr>
        <w:tab/>
      </w:r>
      <w:r>
        <w:rPr>
          <w:noProof/>
        </w:rPr>
        <w:fldChar w:fldCharType="begin"/>
      </w:r>
      <w:r>
        <w:rPr>
          <w:noProof/>
        </w:rPr>
        <w:instrText xml:space="preserve"> PAGEREF _Toc180568559 \h </w:instrText>
      </w:r>
      <w:r>
        <w:rPr>
          <w:noProof/>
        </w:rPr>
      </w:r>
      <w:r>
        <w:rPr>
          <w:noProof/>
        </w:rPr>
        <w:fldChar w:fldCharType="separate"/>
      </w:r>
      <w:r>
        <w:rPr>
          <w:noProof/>
        </w:rPr>
        <w:t>21</w:t>
      </w:r>
      <w:r>
        <w:rPr>
          <w:noProof/>
        </w:rPr>
        <w:fldChar w:fldCharType="end"/>
      </w:r>
    </w:p>
    <w:p w14:paraId="5F541ABC" w14:textId="4B8F9BBA" w:rsidR="00B42E33" w:rsidRDefault="00B42E33">
      <w:pPr>
        <w:pStyle w:val="TOC2"/>
        <w:tabs>
          <w:tab w:val="right" w:leader="dot" w:pos="9062"/>
        </w:tabs>
        <w:rPr>
          <w:rFonts w:eastAsiaTheme="minorEastAsia" w:cstheme="minorBidi"/>
          <w:noProof/>
          <w:kern w:val="2"/>
          <w:lang w:val="en-IE" w:eastAsia="en-IE"/>
          <w14:ligatures w14:val="standardContextual"/>
        </w:rPr>
      </w:pPr>
      <w:r>
        <w:rPr>
          <w:noProof/>
        </w:rPr>
        <w:t>Osmi korak: održavanje, praćenje i kraj životnog vijeka</w:t>
      </w:r>
      <w:r>
        <w:rPr>
          <w:noProof/>
        </w:rPr>
        <w:tab/>
      </w:r>
      <w:r>
        <w:rPr>
          <w:noProof/>
        </w:rPr>
        <w:fldChar w:fldCharType="begin"/>
      </w:r>
      <w:r>
        <w:rPr>
          <w:noProof/>
        </w:rPr>
        <w:instrText xml:space="preserve"> PAGEREF _Toc180568560 \h </w:instrText>
      </w:r>
      <w:r>
        <w:rPr>
          <w:noProof/>
        </w:rPr>
      </w:r>
      <w:r>
        <w:rPr>
          <w:noProof/>
        </w:rPr>
        <w:fldChar w:fldCharType="separate"/>
      </w:r>
      <w:r>
        <w:rPr>
          <w:noProof/>
        </w:rPr>
        <w:t>23</w:t>
      </w:r>
      <w:r>
        <w:rPr>
          <w:noProof/>
        </w:rPr>
        <w:fldChar w:fldCharType="end"/>
      </w:r>
    </w:p>
    <w:p w14:paraId="3892773D" w14:textId="4C8FC95E" w:rsidR="00B42E33" w:rsidRDefault="00B42E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Kratice i pokrate</w:t>
      </w:r>
      <w:r>
        <w:rPr>
          <w:noProof/>
        </w:rPr>
        <w:tab/>
      </w:r>
      <w:r>
        <w:rPr>
          <w:noProof/>
        </w:rPr>
        <w:fldChar w:fldCharType="begin"/>
      </w:r>
      <w:r>
        <w:rPr>
          <w:noProof/>
        </w:rPr>
        <w:instrText xml:space="preserve"> PAGEREF _Toc180568561 \h </w:instrText>
      </w:r>
      <w:r>
        <w:rPr>
          <w:noProof/>
        </w:rPr>
      </w:r>
      <w:r>
        <w:rPr>
          <w:noProof/>
        </w:rPr>
        <w:fldChar w:fldCharType="separate"/>
      </w:r>
      <w:r>
        <w:rPr>
          <w:noProof/>
        </w:rPr>
        <w:t>25</w:t>
      </w:r>
      <w:r>
        <w:rPr>
          <w:noProof/>
        </w:rPr>
        <w:fldChar w:fldCharType="end"/>
      </w:r>
    </w:p>
    <w:p w14:paraId="65F529F0" w14:textId="04775CB7" w:rsidR="00B42E33" w:rsidRDefault="00B42E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Prilog 1. – Tehnički savjetnici</w:t>
      </w:r>
      <w:r>
        <w:rPr>
          <w:noProof/>
        </w:rPr>
        <w:tab/>
      </w:r>
      <w:r>
        <w:rPr>
          <w:noProof/>
        </w:rPr>
        <w:fldChar w:fldCharType="begin"/>
      </w:r>
      <w:r>
        <w:rPr>
          <w:noProof/>
        </w:rPr>
        <w:instrText xml:space="preserve"> PAGEREF _Toc180568562 \h </w:instrText>
      </w:r>
      <w:r>
        <w:rPr>
          <w:noProof/>
        </w:rPr>
      </w:r>
      <w:r>
        <w:rPr>
          <w:noProof/>
        </w:rPr>
        <w:fldChar w:fldCharType="separate"/>
      </w:r>
      <w:r>
        <w:rPr>
          <w:noProof/>
        </w:rPr>
        <w:t>27</w:t>
      </w:r>
      <w:r>
        <w:rPr>
          <w:noProof/>
        </w:rPr>
        <w:fldChar w:fldCharType="end"/>
      </w:r>
    </w:p>
    <w:p w14:paraId="0956C0AC" w14:textId="5DFEC932" w:rsidR="00B42E33" w:rsidRDefault="00B42E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Prilog 2. – Savjetnici za građevinsku fiziku, građevinski inženjeri specijalizirani za opterećenje krova</w:t>
      </w:r>
      <w:r>
        <w:rPr>
          <w:noProof/>
        </w:rPr>
        <w:tab/>
      </w:r>
      <w:r>
        <w:rPr>
          <w:noProof/>
        </w:rPr>
        <w:fldChar w:fldCharType="begin"/>
      </w:r>
      <w:r>
        <w:rPr>
          <w:noProof/>
        </w:rPr>
        <w:instrText xml:space="preserve"> PAGEREF _Toc180568563 \h </w:instrText>
      </w:r>
      <w:r>
        <w:rPr>
          <w:noProof/>
        </w:rPr>
      </w:r>
      <w:r>
        <w:rPr>
          <w:noProof/>
        </w:rPr>
        <w:fldChar w:fldCharType="separate"/>
      </w:r>
      <w:r>
        <w:rPr>
          <w:noProof/>
        </w:rPr>
        <w:t>28</w:t>
      </w:r>
      <w:r>
        <w:rPr>
          <w:noProof/>
        </w:rPr>
        <w:fldChar w:fldCharType="end"/>
      </w:r>
    </w:p>
    <w:p w14:paraId="602A29D9" w14:textId="357891E8" w:rsidR="00B42E33" w:rsidRDefault="00B42E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Prilog 3. – Poduzeća za ugradnju  EPC-ovi i nositelji projekata  za poduzeća koja se bave fotonaponskom tehnologijom</w:t>
      </w:r>
      <w:r>
        <w:rPr>
          <w:noProof/>
        </w:rPr>
        <w:tab/>
      </w:r>
      <w:r>
        <w:rPr>
          <w:noProof/>
        </w:rPr>
        <w:fldChar w:fldCharType="begin"/>
      </w:r>
      <w:r>
        <w:rPr>
          <w:noProof/>
        </w:rPr>
        <w:instrText xml:space="preserve"> PAGEREF _Toc180568564 \h </w:instrText>
      </w:r>
      <w:r>
        <w:rPr>
          <w:noProof/>
        </w:rPr>
      </w:r>
      <w:r>
        <w:rPr>
          <w:noProof/>
        </w:rPr>
        <w:fldChar w:fldCharType="separate"/>
      </w:r>
      <w:r>
        <w:rPr>
          <w:noProof/>
        </w:rPr>
        <w:t>29</w:t>
      </w:r>
      <w:r>
        <w:rPr>
          <w:noProof/>
        </w:rPr>
        <w:fldChar w:fldCharType="end"/>
      </w:r>
    </w:p>
    <w:p w14:paraId="4C945FD8" w14:textId="0A51417D" w:rsidR="00B42E33" w:rsidRDefault="00B42E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Prilog 4. – Savjetnici i pružatelji usluga specijalizirani za sustave upravljanja energijom, baterije i upravljanje potražnjom</w:t>
      </w:r>
      <w:r>
        <w:rPr>
          <w:noProof/>
        </w:rPr>
        <w:tab/>
      </w:r>
      <w:r>
        <w:rPr>
          <w:noProof/>
        </w:rPr>
        <w:fldChar w:fldCharType="begin"/>
      </w:r>
      <w:r>
        <w:rPr>
          <w:noProof/>
        </w:rPr>
        <w:instrText xml:space="preserve"> PAGEREF _Toc180568565 \h </w:instrText>
      </w:r>
      <w:r>
        <w:rPr>
          <w:noProof/>
        </w:rPr>
      </w:r>
      <w:r>
        <w:rPr>
          <w:noProof/>
        </w:rPr>
        <w:fldChar w:fldCharType="separate"/>
      </w:r>
      <w:r>
        <w:rPr>
          <w:noProof/>
        </w:rPr>
        <w:t>31</w:t>
      </w:r>
      <w:r>
        <w:rPr>
          <w:noProof/>
        </w:rPr>
        <w:fldChar w:fldCharType="end"/>
      </w:r>
    </w:p>
    <w:p w14:paraId="732DBE87" w14:textId="0C72425A" w:rsidR="00B42E33" w:rsidRDefault="00B42E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Prilog 5. – Kreditni kapital</w:t>
      </w:r>
      <w:r>
        <w:rPr>
          <w:noProof/>
        </w:rPr>
        <w:tab/>
      </w:r>
      <w:r>
        <w:rPr>
          <w:noProof/>
        </w:rPr>
        <w:fldChar w:fldCharType="begin"/>
      </w:r>
      <w:r>
        <w:rPr>
          <w:noProof/>
        </w:rPr>
        <w:instrText xml:space="preserve"> PAGEREF _Toc180568566 \h </w:instrText>
      </w:r>
      <w:r>
        <w:rPr>
          <w:noProof/>
        </w:rPr>
      </w:r>
      <w:r>
        <w:rPr>
          <w:noProof/>
        </w:rPr>
        <w:fldChar w:fldCharType="separate"/>
      </w:r>
      <w:r>
        <w:rPr>
          <w:noProof/>
        </w:rPr>
        <w:t>32</w:t>
      </w:r>
      <w:r>
        <w:rPr>
          <w:noProof/>
        </w:rPr>
        <w:fldChar w:fldCharType="end"/>
      </w:r>
    </w:p>
    <w:p w14:paraId="3CF331D0" w14:textId="3CFC668D" w:rsidR="00B42E33" w:rsidRDefault="00B42E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i davatelji kapitala</w:t>
      </w:r>
      <w:r>
        <w:rPr>
          <w:noProof/>
        </w:rPr>
        <w:tab/>
      </w:r>
      <w:r>
        <w:rPr>
          <w:noProof/>
        </w:rPr>
        <w:fldChar w:fldCharType="begin"/>
      </w:r>
      <w:r>
        <w:rPr>
          <w:noProof/>
        </w:rPr>
        <w:instrText xml:space="preserve"> PAGEREF _Toc180568567 \h </w:instrText>
      </w:r>
      <w:r>
        <w:rPr>
          <w:noProof/>
        </w:rPr>
      </w:r>
      <w:r>
        <w:rPr>
          <w:noProof/>
        </w:rPr>
        <w:fldChar w:fldCharType="separate"/>
      </w:r>
      <w:r>
        <w:rPr>
          <w:noProof/>
        </w:rPr>
        <w:t>32</w:t>
      </w:r>
      <w:r>
        <w:rPr>
          <w:noProof/>
        </w:rPr>
        <w:fldChar w:fldCharType="end"/>
      </w:r>
    </w:p>
    <w:p w14:paraId="58CABA46" w14:textId="66FEDB03" w:rsidR="00B42E33" w:rsidRDefault="00B42E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Prilog 6. – Inspekcija Scope 12</w:t>
      </w:r>
      <w:r>
        <w:rPr>
          <w:noProof/>
        </w:rPr>
        <w:tab/>
      </w:r>
      <w:r>
        <w:rPr>
          <w:noProof/>
        </w:rPr>
        <w:fldChar w:fldCharType="begin"/>
      </w:r>
      <w:r>
        <w:rPr>
          <w:noProof/>
        </w:rPr>
        <w:instrText xml:space="preserve"> PAGEREF _Toc180568568 \h </w:instrText>
      </w:r>
      <w:r>
        <w:rPr>
          <w:noProof/>
        </w:rPr>
      </w:r>
      <w:r>
        <w:rPr>
          <w:noProof/>
        </w:rPr>
        <w:fldChar w:fldCharType="separate"/>
      </w:r>
      <w:r>
        <w:rPr>
          <w:noProof/>
        </w:rPr>
        <w:t>33</w:t>
      </w:r>
      <w:r>
        <w:rPr>
          <w:noProof/>
        </w:rPr>
        <w:fldChar w:fldCharType="end"/>
      </w:r>
    </w:p>
    <w:p w14:paraId="7458F4BB" w14:textId="57C87E9A" w:rsidR="00B42E33" w:rsidRDefault="00B42E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Prilog 7. – Tvornička revizija  i ispitivanje uzoraka</w:t>
      </w:r>
      <w:r>
        <w:rPr>
          <w:noProof/>
        </w:rPr>
        <w:tab/>
      </w:r>
      <w:r>
        <w:rPr>
          <w:noProof/>
        </w:rPr>
        <w:fldChar w:fldCharType="begin"/>
      </w:r>
      <w:r>
        <w:rPr>
          <w:noProof/>
        </w:rPr>
        <w:instrText xml:space="preserve"> PAGEREF _Toc180568569 \h </w:instrText>
      </w:r>
      <w:r>
        <w:rPr>
          <w:noProof/>
        </w:rPr>
      </w:r>
      <w:r>
        <w:rPr>
          <w:noProof/>
        </w:rPr>
        <w:fldChar w:fldCharType="separate"/>
      </w:r>
      <w:r>
        <w:rPr>
          <w:noProof/>
        </w:rPr>
        <w:t>34</w:t>
      </w:r>
      <w:r>
        <w:rPr>
          <w:noProof/>
        </w:rPr>
        <w:fldChar w:fldCharType="end"/>
      </w:r>
    </w:p>
    <w:p w14:paraId="13B199F4" w14:textId="2554A2DC" w:rsidR="00B42E33" w:rsidRDefault="00B42E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Prilog 8. – Praćenje, održavanje  i popravci</w:t>
      </w:r>
      <w:r>
        <w:rPr>
          <w:noProof/>
        </w:rPr>
        <w:tab/>
      </w:r>
      <w:r>
        <w:rPr>
          <w:noProof/>
        </w:rPr>
        <w:fldChar w:fldCharType="begin"/>
      </w:r>
      <w:r>
        <w:rPr>
          <w:noProof/>
        </w:rPr>
        <w:instrText xml:space="preserve"> PAGEREF _Toc180568570 \h </w:instrText>
      </w:r>
      <w:r>
        <w:rPr>
          <w:noProof/>
        </w:rPr>
      </w:r>
      <w:r>
        <w:rPr>
          <w:noProof/>
        </w:rPr>
        <w:fldChar w:fldCharType="separate"/>
      </w:r>
      <w:r>
        <w:rPr>
          <w:noProof/>
        </w:rPr>
        <w:t>35</w:t>
      </w:r>
      <w:r>
        <w:rPr>
          <w:noProof/>
        </w:rPr>
        <w:fldChar w:fldCharType="end"/>
      </w:r>
    </w:p>
    <w:p w14:paraId="1F6BEE66" w14:textId="29AAB3CA" w:rsidR="00B42E33" w:rsidRDefault="00B42E33">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Prilog 9. – Pregled pokrića osiguranja CAR</w:t>
      </w:r>
      <w:r>
        <w:rPr>
          <w:noProof/>
        </w:rPr>
        <w:tab/>
      </w:r>
      <w:r>
        <w:rPr>
          <w:noProof/>
        </w:rPr>
        <w:fldChar w:fldCharType="begin"/>
      </w:r>
      <w:r>
        <w:rPr>
          <w:noProof/>
        </w:rPr>
        <w:instrText xml:space="preserve"> PAGEREF _Toc180568571 \h </w:instrText>
      </w:r>
      <w:r>
        <w:rPr>
          <w:noProof/>
        </w:rPr>
      </w:r>
      <w:r>
        <w:rPr>
          <w:noProof/>
        </w:rPr>
        <w:fldChar w:fldCharType="separate"/>
      </w:r>
      <w:r>
        <w:rPr>
          <w:noProof/>
        </w:rPr>
        <w:t>36</w:t>
      </w:r>
      <w:r>
        <w:rPr>
          <w:noProof/>
        </w:rPr>
        <w:fldChar w:fldCharType="end"/>
      </w:r>
    </w:p>
    <w:p w14:paraId="0AA580D8" w14:textId="38625C87" w:rsidR="00B42E33" w:rsidRDefault="00B42E33">
      <w:pPr>
        <w:pStyle w:val="TOC3"/>
        <w:tabs>
          <w:tab w:val="right" w:leader="dot" w:pos="9062"/>
        </w:tabs>
        <w:rPr>
          <w:rFonts w:eastAsiaTheme="minorEastAsia" w:cstheme="minorBidi"/>
          <w:noProof/>
          <w:kern w:val="2"/>
          <w:lang w:val="en-IE" w:eastAsia="en-IE"/>
          <w14:ligatures w14:val="standardContextual"/>
        </w:rPr>
      </w:pPr>
      <w:r>
        <w:rPr>
          <w:noProof/>
        </w:rPr>
        <w:t>Odjeljak I.: Radovi</w:t>
      </w:r>
      <w:r>
        <w:rPr>
          <w:noProof/>
        </w:rPr>
        <w:tab/>
      </w:r>
      <w:r>
        <w:rPr>
          <w:noProof/>
        </w:rPr>
        <w:fldChar w:fldCharType="begin"/>
      </w:r>
      <w:r>
        <w:rPr>
          <w:noProof/>
        </w:rPr>
        <w:instrText xml:space="preserve"> PAGEREF _Toc180568572 \h </w:instrText>
      </w:r>
      <w:r>
        <w:rPr>
          <w:noProof/>
        </w:rPr>
      </w:r>
      <w:r>
        <w:rPr>
          <w:noProof/>
        </w:rPr>
        <w:fldChar w:fldCharType="separate"/>
      </w:r>
      <w:r>
        <w:rPr>
          <w:noProof/>
        </w:rPr>
        <w:t>36</w:t>
      </w:r>
      <w:r>
        <w:rPr>
          <w:noProof/>
        </w:rPr>
        <w:fldChar w:fldCharType="end"/>
      </w:r>
    </w:p>
    <w:p w14:paraId="1A6D9B65" w14:textId="65DB5513" w:rsidR="004E584B" w:rsidRPr="004C0EBD" w:rsidRDefault="00904945" w:rsidP="00A31B93">
      <w:pPr>
        <w:spacing w:line="360" w:lineRule="auto"/>
      </w:pPr>
      <w:r>
        <w:rPr>
          <w:rFonts w:ascii="Arial" w:hAnsi="Arial" w:cs="Arial"/>
        </w:rPr>
        <w:fldChar w:fldCharType="end"/>
      </w:r>
      <w:r w:rsidR="00B42E33">
        <w:t xml:space="preserve"> </w:t>
      </w:r>
      <w:r w:rsidR="004E584B">
        <w:br w:type="page"/>
      </w:r>
    </w:p>
    <w:p w14:paraId="652A77CB" w14:textId="77777777" w:rsidR="00DE36D8" w:rsidRDefault="00DE36D8" w:rsidP="00904945">
      <w:pPr>
        <w:pStyle w:val="MH1"/>
      </w:pPr>
    </w:p>
    <w:p w14:paraId="74E73924" w14:textId="77777777" w:rsidR="00B42E33" w:rsidRDefault="00B42E33" w:rsidP="00B42E33">
      <w:pPr>
        <w:pStyle w:val="MH1"/>
      </w:pPr>
      <w:bookmarkStart w:id="51" w:name="_Toc180568525"/>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and</w:t>
      </w:r>
      <w:proofErr w:type="spellEnd"/>
      <w:r w:rsidRPr="004C0EBD">
        <w:t xml:space="preserve"> </w:t>
      </w:r>
      <w:proofErr w:type="spellStart"/>
      <w:r w:rsidRPr="004C0EBD">
        <w:t>background</w:t>
      </w:r>
      <w:proofErr w:type="spellEnd"/>
      <w:r w:rsidRPr="004C0EBD">
        <w:t xml:space="preserve"> </w:t>
      </w:r>
      <w:r>
        <w:br/>
      </w:r>
      <w:r w:rsidRPr="004C0EBD">
        <w:t xml:space="preserve">to </w:t>
      </w:r>
      <w:proofErr w:type="spellStart"/>
      <w:r w:rsidRPr="004C0EBD">
        <w:t>this</w:t>
      </w:r>
      <w:proofErr w:type="spellEnd"/>
      <w:r>
        <w:t xml:space="preserve"> </w:t>
      </w:r>
      <w:proofErr w:type="spellStart"/>
      <w:r w:rsidRPr="004C0EBD">
        <w:t>guide</w:t>
      </w:r>
      <w:bookmarkEnd w:id="51"/>
      <w:proofErr w:type="spellEnd"/>
    </w:p>
    <w:p w14:paraId="6588164F" w14:textId="77777777" w:rsidR="00B42E33" w:rsidRPr="004C0EBD" w:rsidRDefault="00B42E33" w:rsidP="00B42E33">
      <w:pPr>
        <w:pStyle w:val="MH1"/>
      </w:pPr>
    </w:p>
    <w:p w14:paraId="30CCB4D5" w14:textId="77777777" w:rsidR="00B42E33" w:rsidRPr="00DE36D8" w:rsidRDefault="00B42E33" w:rsidP="00B42E33">
      <w:pPr>
        <w:pStyle w:val="BodyText1"/>
      </w:pPr>
      <w:proofErr w:type="spellStart"/>
      <w:r w:rsidRPr="00DE36D8">
        <w:t>Many</w:t>
      </w:r>
      <w:proofErr w:type="spellEnd"/>
      <w:r w:rsidRPr="00DE36D8">
        <w:t xml:space="preserve"> </w:t>
      </w:r>
      <w:proofErr w:type="spellStart"/>
      <w:r w:rsidRPr="00DE36D8">
        <w:t>organisations</w:t>
      </w:r>
      <w:proofErr w:type="spellEnd"/>
      <w:r w:rsidRPr="00DE36D8">
        <w:t xml:space="preserve"> </w:t>
      </w:r>
      <w:proofErr w:type="spellStart"/>
      <w:r w:rsidRPr="00DE36D8">
        <w:t>want</w:t>
      </w:r>
      <w:proofErr w:type="spellEnd"/>
      <w:r w:rsidRPr="00DE36D8">
        <w:t xml:space="preserve"> to </w:t>
      </w:r>
      <w:proofErr w:type="spellStart"/>
      <w:r w:rsidRPr="00DE36D8">
        <w:t>implement</w:t>
      </w:r>
      <w:proofErr w:type="spellEnd"/>
      <w:r w:rsidRPr="00DE36D8">
        <w:t xml:space="preserve"> PV </w:t>
      </w:r>
      <w:proofErr w:type="spellStart"/>
      <w:r w:rsidRPr="00DE36D8">
        <w:t>projects</w:t>
      </w:r>
      <w:proofErr w:type="spellEnd"/>
      <w:r w:rsidRPr="00DE36D8">
        <w:t xml:space="preserve"> on </w:t>
      </w:r>
      <w:proofErr w:type="spellStart"/>
      <w:r w:rsidRPr="00DE36D8">
        <w:t>roofs</w:t>
      </w:r>
      <w:proofErr w:type="spellEnd"/>
      <w:r w:rsidRPr="00DE36D8">
        <w:t xml:space="preserve"> </w:t>
      </w:r>
      <w:proofErr w:type="spellStart"/>
      <w:r w:rsidRPr="00DE36D8">
        <w:t>or</w:t>
      </w:r>
      <w:proofErr w:type="spellEnd"/>
      <w:r w:rsidRPr="00DE36D8">
        <w:t xml:space="preserve"> </w:t>
      </w:r>
      <w:proofErr w:type="spellStart"/>
      <w:r w:rsidRPr="00DE36D8">
        <w:t>land</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will</w:t>
      </w:r>
      <w:proofErr w:type="spellEnd"/>
      <w:r w:rsidRPr="00DE36D8">
        <w:t xml:space="preserve"> take </w:t>
      </w:r>
      <w:proofErr w:type="spellStart"/>
      <w:r w:rsidRPr="00DE36D8">
        <w:t>you</w:t>
      </w:r>
      <w:proofErr w:type="spellEnd"/>
      <w:r w:rsidRPr="00DE36D8">
        <w:t xml:space="preserve"> </w:t>
      </w:r>
      <w:proofErr w:type="spellStart"/>
      <w:r w:rsidRPr="00DE36D8">
        <w:t>through</w:t>
      </w:r>
      <w:proofErr w:type="spellEnd"/>
      <w:r w:rsidRPr="00DE36D8">
        <w:t xml:space="preserve"> </w:t>
      </w:r>
      <w:proofErr w:type="spellStart"/>
      <w:r w:rsidRPr="00DE36D8">
        <w:t>the</w:t>
      </w:r>
      <w:proofErr w:type="spellEnd"/>
      <w:r w:rsidRPr="00DE36D8">
        <w:t xml:space="preserv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w:t>
      </w:r>
      <w:proofErr w:type="spellStart"/>
      <w:r w:rsidRPr="00DE36D8">
        <w:t>out</w:t>
      </w:r>
      <w:proofErr w:type="spellEnd"/>
      <w:r w:rsidRPr="00DE36D8">
        <w:t xml:space="preserve"> </w:t>
      </w:r>
      <w:proofErr w:type="spellStart"/>
      <w:r w:rsidRPr="00DE36D8">
        <w:t>steps</w:t>
      </w:r>
      <w:proofErr w:type="spellEnd"/>
      <w:r w:rsidRPr="00DE36D8">
        <w:t xml:space="preserve"> </w:t>
      </w:r>
      <w:proofErr w:type="spellStart"/>
      <w:r w:rsidRPr="00DE36D8">
        <w:t>and</w:t>
      </w:r>
      <w:proofErr w:type="spellEnd"/>
      <w:r w:rsidRPr="00DE36D8">
        <w:t xml:space="preserve"> </w:t>
      </w:r>
      <w:proofErr w:type="spellStart"/>
      <w:r w:rsidRPr="00DE36D8">
        <w:t>choices</w:t>
      </w:r>
      <w:proofErr w:type="spellEnd"/>
      <w:r w:rsidRPr="00DE36D8">
        <w:t xml:space="preserve">, </w:t>
      </w:r>
      <w:proofErr w:type="spellStart"/>
      <w:r w:rsidRPr="00DE36D8">
        <w:t>and</w:t>
      </w:r>
      <w:proofErr w:type="spellEnd"/>
      <w:r w:rsidRPr="00DE36D8">
        <w:t xml:space="preserve"> </w:t>
      </w:r>
      <w:proofErr w:type="spellStart"/>
      <w:r w:rsidRPr="00DE36D8">
        <w:t>providing</w:t>
      </w:r>
      <w:proofErr w:type="spellEnd"/>
      <w:r w:rsidRPr="00DE36D8">
        <w:t xml:space="preserve"> </w:t>
      </w:r>
      <w:proofErr w:type="spellStart"/>
      <w:r w:rsidRPr="00DE36D8">
        <w:t>lists</w:t>
      </w:r>
      <w:proofErr w:type="spellEnd"/>
      <w:r w:rsidRPr="00DE36D8">
        <w:t xml:space="preserve"> </w:t>
      </w:r>
      <w:proofErr w:type="spellStart"/>
      <w:r w:rsidRPr="00DE36D8">
        <w:t>of</w:t>
      </w:r>
      <w:proofErr w:type="spellEnd"/>
      <w:r w:rsidRPr="00DE36D8">
        <w:t xml:space="preserve"> </w:t>
      </w:r>
      <w:proofErr w:type="spellStart"/>
      <w:r w:rsidRPr="00DE36D8">
        <w:t>consultants</w:t>
      </w:r>
      <w:proofErr w:type="spellEnd"/>
      <w:r w:rsidRPr="00DE36D8">
        <w:t xml:space="preserve"> </w:t>
      </w:r>
      <w:proofErr w:type="spellStart"/>
      <w:r w:rsidRPr="00DE36D8">
        <w:t>that</w:t>
      </w:r>
      <w:proofErr w:type="spellEnd"/>
      <w:r w:rsidRPr="00DE36D8">
        <w:t xml:space="preserve"> </w:t>
      </w:r>
      <w:proofErr w:type="spellStart"/>
      <w:r w:rsidRPr="00DE36D8">
        <w:t>can</w:t>
      </w:r>
      <w:proofErr w:type="spellEnd"/>
      <w:r w:rsidRPr="00DE36D8">
        <w:t xml:space="preserve"> </w:t>
      </w:r>
      <w:proofErr w:type="spellStart"/>
      <w:r w:rsidRPr="00DE36D8">
        <w:t>assist</w:t>
      </w:r>
      <w:proofErr w:type="spellEnd"/>
      <w:r w:rsidRPr="00DE36D8">
        <w:t xml:space="preserve"> </w:t>
      </w:r>
      <w:proofErr w:type="spellStart"/>
      <w:r w:rsidRPr="00DE36D8">
        <w:t>you</w:t>
      </w:r>
      <w:proofErr w:type="spellEnd"/>
      <w:r w:rsidRPr="00DE36D8">
        <w:t xml:space="preserve">. </w:t>
      </w:r>
    </w:p>
    <w:p w14:paraId="38422AF1" w14:textId="77777777" w:rsidR="00B42E33" w:rsidRPr="00DE36D8" w:rsidRDefault="00B42E33" w:rsidP="00B42E33">
      <w:pPr>
        <w:pStyle w:val="BodyText1"/>
      </w:pPr>
    </w:p>
    <w:p w14:paraId="5D76380A" w14:textId="77777777" w:rsidR="00B42E33" w:rsidRPr="00DE36D8" w:rsidRDefault="00B42E33" w:rsidP="00B42E33">
      <w:pPr>
        <w:pStyle w:val="BodyText1"/>
      </w:pP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is</w:t>
      </w:r>
      <w:proofErr w:type="spellEnd"/>
      <w:r w:rsidRPr="00DE36D8">
        <w:t xml:space="preserve"> one </w:t>
      </w:r>
      <w:proofErr w:type="spellStart"/>
      <w:r w:rsidRPr="00DE36D8">
        <w:t>of</w:t>
      </w:r>
      <w:proofErr w:type="spellEnd"/>
      <w:r w:rsidRPr="00DE36D8">
        <w:t xml:space="preserve">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proofErr w:type="spellStart"/>
      <w:r w:rsidRPr="00DE36D8">
        <w:t>the</w:t>
      </w:r>
      <w:proofErr w:type="spellEnd"/>
      <w:r>
        <w:t xml:space="preserve"> ‘</w:t>
      </w:r>
      <w:r w:rsidRPr="00374EC8">
        <w:rPr>
          <w:i/>
          <w:iCs/>
        </w:rPr>
        <w:t xml:space="preserve">Template for </w:t>
      </w:r>
      <w:proofErr w:type="spellStart"/>
      <w:r w:rsidRPr="00374EC8">
        <w:rPr>
          <w:i/>
          <w:iCs/>
        </w:rPr>
        <w:t>purchase</w:t>
      </w:r>
      <w:proofErr w:type="spellEnd"/>
      <w:r w:rsidRPr="00374EC8">
        <w:rPr>
          <w:i/>
          <w:iCs/>
        </w:rPr>
        <w:t xml:space="preserve"> </w:t>
      </w:r>
      <w:proofErr w:type="spellStart"/>
      <w:r w:rsidRPr="00374EC8">
        <w:rPr>
          <w:i/>
          <w:iCs/>
        </w:rPr>
        <w:t>requirements</w:t>
      </w:r>
      <w:proofErr w:type="spellEnd"/>
      <w:r w:rsidRPr="00374EC8">
        <w:rPr>
          <w:i/>
          <w:iCs/>
        </w:rPr>
        <w:t xml:space="preserve"> </w:t>
      </w:r>
      <w:proofErr w:type="spellStart"/>
      <w:r w:rsidRPr="00374EC8">
        <w:rPr>
          <w:i/>
          <w:iCs/>
        </w:rPr>
        <w:t>and</w:t>
      </w:r>
      <w:proofErr w:type="spellEnd"/>
      <w:r w:rsidRPr="00374EC8">
        <w:rPr>
          <w:i/>
          <w:iCs/>
        </w:rPr>
        <w:t xml:space="preserve"> </w:t>
      </w:r>
      <w:proofErr w:type="spellStart"/>
      <w:r w:rsidRPr="00374EC8">
        <w:rPr>
          <w:i/>
          <w:iCs/>
        </w:rPr>
        <w:t>award</w:t>
      </w:r>
      <w:proofErr w:type="spellEnd"/>
      <w:r w:rsidRPr="00374EC8">
        <w:rPr>
          <w:i/>
          <w:iCs/>
        </w:rPr>
        <w:t xml:space="preserve"> </w:t>
      </w:r>
      <w:proofErr w:type="spellStart"/>
      <w:r w:rsidRPr="00374EC8">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B42E33" w:rsidRPr="00DE36D8" w14:paraId="04AEFE5D" w14:textId="77777777" w:rsidTr="00374EC8">
        <w:trPr>
          <w:trHeight w:val="32"/>
        </w:trPr>
        <w:tc>
          <w:tcPr>
            <w:tcW w:w="9448" w:type="dxa"/>
          </w:tcPr>
          <w:p w14:paraId="1B50C555" w14:textId="77777777" w:rsidR="00B42E33" w:rsidRPr="00DE36D8" w:rsidRDefault="00B42E33" w:rsidP="00374EC8">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of</w:t>
            </w:r>
            <w:proofErr w:type="spellEnd"/>
            <w:r w:rsidRPr="00DE36D8">
              <w:t xml:space="preserve"> a PV </w:t>
            </w:r>
            <w:proofErr w:type="spellStart"/>
            <w:r w:rsidRPr="00DE36D8">
              <w:t>project</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w:t>
            </w:r>
          </w:p>
        </w:tc>
      </w:tr>
      <w:tr w:rsidR="00B42E33" w:rsidRPr="00DE36D8" w14:paraId="462140B2" w14:textId="77777777" w:rsidTr="00374EC8">
        <w:trPr>
          <w:trHeight w:val="33"/>
        </w:trPr>
        <w:tc>
          <w:tcPr>
            <w:tcW w:w="9448" w:type="dxa"/>
          </w:tcPr>
          <w:p w14:paraId="4860D6E7" w14:textId="77777777" w:rsidR="00B42E33" w:rsidRPr="00DE36D8" w:rsidRDefault="00B42E33" w:rsidP="00374EC8">
            <w:pPr>
              <w:pStyle w:val="BodyText1"/>
              <w:rPr>
                <w:sz w:val="24"/>
                <w:szCs w:val="24"/>
              </w:rPr>
            </w:pPr>
            <w:r w:rsidRPr="00DE36D8">
              <w:t xml:space="preserve">II. </w:t>
            </w:r>
            <w:proofErr w:type="spellStart"/>
            <w:r>
              <w:t>Preparing</w:t>
            </w:r>
            <w:proofErr w:type="spellEnd"/>
            <w:r>
              <w:t xml:space="preserve"> a </w:t>
            </w:r>
            <w:r w:rsidRPr="00DE36D8">
              <w:t xml:space="preserve">tender for a PV </w:t>
            </w:r>
            <w:proofErr w:type="spellStart"/>
            <w:r w:rsidRPr="00DE36D8">
              <w:t>project</w:t>
            </w:r>
            <w:proofErr w:type="spellEnd"/>
            <w:r>
              <w:t>,</w:t>
            </w:r>
            <w:r w:rsidRPr="00DE36D8">
              <w:t xml:space="preserve"> </w:t>
            </w:r>
            <w:proofErr w:type="spellStart"/>
            <w:r w:rsidRPr="00DE36D8">
              <w:t>and</w:t>
            </w:r>
            <w:proofErr w:type="spellEnd"/>
            <w:r w:rsidRPr="00DE36D8">
              <w:t xml:space="preserve"> </w:t>
            </w:r>
            <w:proofErr w:type="spellStart"/>
            <w:r w:rsidRPr="00DE36D8">
              <w:t>explanation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w:t>
            </w:r>
            <w:r>
              <w:t>T</w:t>
            </w:r>
            <w:r w:rsidRPr="00DE36D8">
              <w:t>emplate</w:t>
            </w:r>
          </w:p>
        </w:tc>
      </w:tr>
      <w:tr w:rsidR="00B42E33" w:rsidRPr="00DE36D8" w14:paraId="347E603B" w14:textId="77777777" w:rsidTr="00374EC8">
        <w:trPr>
          <w:trHeight w:val="33"/>
        </w:trPr>
        <w:tc>
          <w:tcPr>
            <w:tcW w:w="9448" w:type="dxa"/>
          </w:tcPr>
          <w:p w14:paraId="04BBD245" w14:textId="77777777" w:rsidR="00B42E33" w:rsidRPr="00DE36D8" w:rsidRDefault="00B42E33" w:rsidP="00374EC8">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w:t>
            </w:r>
            <w:proofErr w:type="spellStart"/>
            <w:r w:rsidRPr="00DE36D8">
              <w:t>and</w:t>
            </w:r>
            <w:proofErr w:type="spellEnd"/>
            <w:r w:rsidRPr="00DE36D8">
              <w:t xml:space="preserve"> market </w:t>
            </w:r>
            <w:proofErr w:type="spellStart"/>
            <w:r w:rsidRPr="00DE36D8">
              <w:t>scan</w:t>
            </w:r>
            <w:proofErr w:type="spellEnd"/>
            <w:r w:rsidRPr="00DE36D8">
              <w:t xml:space="preserve"> </w:t>
            </w:r>
            <w:proofErr w:type="spellStart"/>
            <w:r w:rsidRPr="00DE36D8">
              <w:t>of</w:t>
            </w:r>
            <w:proofErr w:type="spellEnd"/>
            <w:r w:rsidRPr="00DE36D8">
              <w:t xml:space="preserve"> </w:t>
            </w:r>
            <w:proofErr w:type="spellStart"/>
            <w:r w:rsidRPr="00DE36D8">
              <w:t>the</w:t>
            </w:r>
            <w:proofErr w:type="spellEnd"/>
            <w:r w:rsidRPr="00DE36D8">
              <w:t xml:space="preserve"> more </w:t>
            </w:r>
            <w:proofErr w:type="spellStart"/>
            <w:r w:rsidRPr="00DE36D8">
              <w:t>sustainable</w:t>
            </w:r>
            <w:proofErr w:type="spellEnd"/>
            <w:r w:rsidRPr="00DE36D8">
              <w:t xml:space="preserve"> solar </w:t>
            </w:r>
            <w:proofErr w:type="spellStart"/>
            <w:r w:rsidRPr="00DE36D8">
              <w:t>panels</w:t>
            </w:r>
            <w:proofErr w:type="spellEnd"/>
          </w:p>
        </w:tc>
      </w:tr>
    </w:tbl>
    <w:p w14:paraId="6F3E95FE" w14:textId="77777777" w:rsidR="00B42E33" w:rsidRPr="0088732B" w:rsidRDefault="00B42E33" w:rsidP="00B42E33">
      <w:pPr>
        <w:pStyle w:val="BodyText1"/>
        <w:rPr>
          <w:rStyle w:val="SubtleEmphasis"/>
          <w:b w:val="0"/>
          <w:bCs w:val="0"/>
          <w:color w:val="auto"/>
        </w:rPr>
      </w:pPr>
      <w:r>
        <w:rPr>
          <w:rStyle w:val="SubtleEmphasis"/>
          <w:b w:val="0"/>
          <w:bCs w:val="0"/>
          <w:color w:val="auto"/>
        </w:rPr>
        <w:t xml:space="preserve">A draft </w:t>
      </w:r>
      <w:proofErr w:type="spellStart"/>
      <w:r>
        <w:rPr>
          <w:rStyle w:val="SubtleEmphasis"/>
          <w:b w:val="0"/>
          <w:bCs w:val="0"/>
          <w:color w:val="auto"/>
        </w:rPr>
        <w:t>of</w:t>
      </w:r>
      <w:proofErr w:type="spellEnd"/>
      <w:r>
        <w:rPr>
          <w:rStyle w:val="SubtleEmphasis"/>
          <w:b w:val="0"/>
          <w:bCs w:val="0"/>
          <w:color w:val="auto"/>
        </w:rPr>
        <w:t xml:space="preserve"> </w:t>
      </w:r>
      <w:proofErr w:type="spellStart"/>
      <w:r>
        <w:rPr>
          <w:rStyle w:val="SubtleEmphasis"/>
          <w:b w:val="0"/>
          <w:bCs w:val="0"/>
          <w:color w:val="auto"/>
        </w:rPr>
        <w:t>t</w:t>
      </w:r>
      <w:r w:rsidRPr="00374EC8">
        <w:rPr>
          <w:rStyle w:val="SubtleEmphasis"/>
          <w:b w:val="0"/>
          <w:bCs w:val="0"/>
          <w:color w:val="auto"/>
        </w:rPr>
        <w:t>he</w:t>
      </w:r>
      <w:proofErr w:type="spellEnd"/>
      <w:r w:rsidRPr="00374EC8">
        <w:rPr>
          <w:rStyle w:val="SubtleEmphasis"/>
          <w:b w:val="0"/>
          <w:bCs w:val="0"/>
          <w:color w:val="auto"/>
        </w:rPr>
        <w:t xml:space="preserve"> </w:t>
      </w:r>
      <w:r>
        <w:rPr>
          <w:rStyle w:val="SubtleEmphasis"/>
          <w:b w:val="0"/>
          <w:bCs w:val="0"/>
          <w:color w:val="auto"/>
        </w:rPr>
        <w:t>‘</w:t>
      </w:r>
      <w:r w:rsidRPr="00417768">
        <w:rPr>
          <w:i/>
          <w:iCs/>
        </w:rPr>
        <w:t xml:space="preserve">Template for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w:t>
      </w:r>
      <w:proofErr w:type="spellStart"/>
      <w:r w:rsidRPr="00417768">
        <w:rPr>
          <w:i/>
          <w:iCs/>
        </w:rPr>
        <w:t>and</w:t>
      </w:r>
      <w:proofErr w:type="spellEnd"/>
      <w:r w:rsidRPr="00417768">
        <w:rPr>
          <w:i/>
          <w:iCs/>
        </w:rPr>
        <w:t xml:space="preserve">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proofErr w:type="spellStart"/>
      <w:r>
        <w:t>is</w:t>
      </w:r>
      <w:proofErr w:type="spellEnd"/>
      <w:r>
        <w:t xml:space="preserve"> </w:t>
      </w:r>
      <w:proofErr w:type="spellStart"/>
      <w:r>
        <w:t>also</w:t>
      </w:r>
      <w:proofErr w:type="spellEnd"/>
      <w:r>
        <w:t xml:space="preserve"> </w:t>
      </w:r>
      <w:proofErr w:type="spellStart"/>
      <w:r>
        <w:t>available</w:t>
      </w:r>
      <w:proofErr w:type="spellEnd"/>
      <w:r>
        <w:t xml:space="preserve">. </w:t>
      </w:r>
      <w:proofErr w:type="spellStart"/>
      <w:r>
        <w:t>It</w:t>
      </w:r>
      <w:proofErr w:type="spellEnd"/>
      <w:r>
        <w:t xml:space="preserve"> </w:t>
      </w:r>
      <w:proofErr w:type="spellStart"/>
      <w:r>
        <w:t>is</w:t>
      </w:r>
      <w:proofErr w:type="spellEnd"/>
      <w:r>
        <w:t xml:space="preserve"> </w:t>
      </w:r>
      <w:proofErr w:type="spellStart"/>
      <w:r>
        <w:t>created</w:t>
      </w:r>
      <w:proofErr w:type="spellEnd"/>
      <w:r>
        <w:t xml:space="preserve"> as a </w:t>
      </w:r>
      <w:proofErr w:type="spellStart"/>
      <w:r>
        <w:t>spreadsheet</w:t>
      </w:r>
      <w:proofErr w:type="spellEnd"/>
      <w:r>
        <w:t xml:space="preserve"> </w:t>
      </w:r>
      <w:proofErr w:type="spellStart"/>
      <w:r>
        <w:t>that</w:t>
      </w:r>
      <w:proofErr w:type="spellEnd"/>
      <w:r>
        <w:t xml:space="preserve"> </w:t>
      </w:r>
      <w:proofErr w:type="spellStart"/>
      <w:r>
        <w:t>can</w:t>
      </w:r>
      <w:proofErr w:type="spellEnd"/>
      <w:r>
        <w:t xml:space="preserve"> </w:t>
      </w:r>
      <w:proofErr w:type="spellStart"/>
      <w:r>
        <w:t>be</w:t>
      </w:r>
      <w:proofErr w:type="spellEnd"/>
      <w:r>
        <w:t xml:space="preserve"> </w:t>
      </w:r>
      <w:proofErr w:type="spellStart"/>
      <w:r>
        <w:t>attached</w:t>
      </w:r>
      <w:proofErr w:type="spellEnd"/>
      <w:r>
        <w:t xml:space="preserve"> as </w:t>
      </w:r>
      <w:proofErr w:type="spellStart"/>
      <w:r>
        <w:t>in</w:t>
      </w:r>
      <w:proofErr w:type="spellEnd"/>
      <w:r>
        <w:t xml:space="preserve"> tender/RFQ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w:t>
      </w:r>
      <w:proofErr w:type="spellStart"/>
      <w:r>
        <w:t>of</w:t>
      </w:r>
      <w:proofErr w:type="spellEnd"/>
      <w:r>
        <w:t xml:space="preserve">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4F0D13F4" w14:textId="77777777" w:rsidR="00B42E33" w:rsidRPr="00374EC8" w:rsidRDefault="00B42E33" w:rsidP="00B42E33">
      <w:pPr>
        <w:pStyle w:val="BodyText1"/>
        <w:rPr>
          <w:rStyle w:val="SubtleEmphasis"/>
          <w:b w:val="0"/>
          <w:bCs w:val="0"/>
          <w:color w:val="auto"/>
        </w:rPr>
      </w:pPr>
    </w:p>
    <w:p w14:paraId="43C35A06" w14:textId="77777777" w:rsidR="00B42E33" w:rsidRPr="00C42EE6" w:rsidRDefault="00B42E33" w:rsidP="00B42E33">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of</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guide</w:t>
      </w:r>
      <w:proofErr w:type="spellEnd"/>
    </w:p>
    <w:p w14:paraId="38615E9D" w14:textId="77777777" w:rsidR="00B42E33" w:rsidRPr="004C0EBD" w:rsidRDefault="00B42E33" w:rsidP="00B42E33">
      <w:pPr>
        <w:pStyle w:val="BodyText1"/>
      </w:pPr>
      <w:r w:rsidRPr="006B1209">
        <w:rPr>
          <w:color w:val="104D54"/>
          <w:sz w:val="36"/>
          <w:szCs w:val="36"/>
        </w:rPr>
        <w:t xml:space="preserve"> </w:t>
      </w:r>
      <w:r w:rsidRPr="004C0EBD">
        <w:br/>
      </w:r>
      <w:proofErr w:type="spellStart"/>
      <w:r w:rsidRPr="004C0EBD">
        <w:t>The</w:t>
      </w:r>
      <w:proofErr w:type="spellEnd"/>
      <w:r w:rsidRPr="004C0EBD">
        <w:t xml:space="preserve"> </w:t>
      </w:r>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to </w:t>
      </w:r>
      <w:proofErr w:type="spellStart"/>
      <w:r w:rsidRPr="004C0EBD">
        <w:t>help</w:t>
      </w:r>
      <w:proofErr w:type="spellEnd"/>
      <w:r w:rsidRPr="004C0EBD">
        <w:t xml:space="preserve"> </w:t>
      </w:r>
      <w:proofErr w:type="spellStart"/>
      <w:r>
        <w:t>users</w:t>
      </w:r>
      <w:proofErr w:type="spellEnd"/>
      <w:r w:rsidRPr="004C0EBD">
        <w:t xml:space="preserve"> </w:t>
      </w:r>
      <w:proofErr w:type="spellStart"/>
      <w:r w:rsidRPr="004C0EBD">
        <w:t>carry</w:t>
      </w:r>
      <w:proofErr w:type="spellEnd"/>
      <w:r w:rsidRPr="004C0EBD">
        <w:t xml:space="preserve"> </w:t>
      </w:r>
      <w:proofErr w:type="spellStart"/>
      <w:r w:rsidRPr="004C0EBD">
        <w:t>out</w:t>
      </w:r>
      <w:proofErr w:type="spellEnd"/>
      <w:r w:rsidRPr="004C0EBD">
        <w:t xml:space="preserve"> PV </w:t>
      </w:r>
      <w:proofErr w:type="spellStart"/>
      <w:r w:rsidRPr="004C0EBD">
        <w:t>projects</w:t>
      </w:r>
      <w:proofErr w:type="spellEnd"/>
      <w:r w:rsidRPr="004C0EBD">
        <w:t xml:space="preserve"> </w:t>
      </w:r>
      <w:proofErr w:type="spellStart"/>
      <w:r w:rsidRPr="004C0EBD">
        <w:t>offering</w:t>
      </w:r>
      <w:proofErr w:type="spellEnd"/>
      <w:r w:rsidRPr="004C0EBD">
        <w:t>:</w:t>
      </w:r>
    </w:p>
    <w:p w14:paraId="0A777CFD" w14:textId="77777777" w:rsidR="00B42E33" w:rsidRPr="004C0EBD" w:rsidRDefault="00B42E33" w:rsidP="00B42E33">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2502A21F" w14:textId="77777777" w:rsidR="00B42E33" w:rsidRPr="004C0EBD" w:rsidRDefault="00B42E33" w:rsidP="00B42E33">
      <w:pPr>
        <w:pStyle w:val="BodyText1"/>
        <w:numPr>
          <w:ilvl w:val="0"/>
          <w:numId w:val="10"/>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w:t>
      </w:r>
      <w:proofErr w:type="spellStart"/>
      <w:r w:rsidRPr="004C0EBD">
        <w:t>life</w:t>
      </w:r>
      <w:proofErr w:type="spellEnd"/>
    </w:p>
    <w:p w14:paraId="7112392E" w14:textId="77777777" w:rsidR="00B42E33" w:rsidRPr="006B1209" w:rsidRDefault="00B42E33" w:rsidP="00B42E33">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63288335" w14:textId="77777777" w:rsidR="00B42E33" w:rsidRPr="004C0EBD" w:rsidRDefault="00B42E33" w:rsidP="00B42E33">
      <w:pPr>
        <w:pStyle w:val="ListParagraph"/>
        <w:ind w:left="709"/>
        <w:rPr>
          <w:sz w:val="21"/>
          <w:szCs w:val="21"/>
        </w:rPr>
      </w:pPr>
    </w:p>
    <w:p w14:paraId="243E7EDE" w14:textId="77777777" w:rsidR="00B42E33" w:rsidRPr="001079C7" w:rsidRDefault="00B42E33" w:rsidP="00B42E33">
      <w:pPr>
        <w:pStyle w:val="MH3"/>
        <w:rPr>
          <w:rStyle w:val="SubtleEmphasis"/>
          <w:b/>
          <w:bCs w:val="0"/>
          <w:color w:val="104D54"/>
        </w:rPr>
      </w:pPr>
      <w:bookmarkStart w:id="52" w:name="_Toc180568526"/>
      <w:proofErr w:type="spellStart"/>
      <w:r>
        <w:rPr>
          <w:rStyle w:val="SubtleEmphasis"/>
          <w:b/>
          <w:bCs w:val="0"/>
          <w:color w:val="104D54"/>
        </w:rPr>
        <w:t>Why</w:t>
      </w:r>
      <w:bookmarkEnd w:id="52"/>
      <w:proofErr w:type="spellEnd"/>
      <w:r w:rsidRPr="001079C7">
        <w:rPr>
          <w:rStyle w:val="SubtleEmphasis"/>
          <w:b/>
          <w:bCs w:val="0"/>
          <w:color w:val="104D54"/>
        </w:rPr>
        <w:t xml:space="preserve"> </w:t>
      </w:r>
    </w:p>
    <w:p w14:paraId="0C95D2BC" w14:textId="77777777" w:rsidR="00B42E33" w:rsidRPr="006B1209" w:rsidRDefault="00B42E33" w:rsidP="00B42E33">
      <w:pPr>
        <w:pStyle w:val="BodyText1"/>
      </w:pPr>
      <w:r w:rsidRPr="006B1209">
        <w:t xml:space="preserve">PV </w:t>
      </w:r>
      <w:proofErr w:type="spellStart"/>
      <w:r w:rsidRPr="006B1209">
        <w:t>projects</w:t>
      </w:r>
      <w:proofErr w:type="spellEnd"/>
      <w:r w:rsidRPr="006B1209">
        <w:t xml:space="preserve"> are </w:t>
      </w:r>
      <w:proofErr w:type="spellStart"/>
      <w:r w:rsidRPr="006B1209">
        <w:t>all</w:t>
      </w:r>
      <w:proofErr w:type="spellEnd"/>
      <w:r w:rsidRPr="006B1209">
        <w:t xml:space="preserve">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for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w:t>
      </w:r>
      <w:proofErr w:type="spellStart"/>
      <w:r w:rsidRPr="006B1209">
        <w:t>of</w:t>
      </w:r>
      <w:proofErr w:type="spellEnd"/>
      <w:r w:rsidRPr="006B1209">
        <w:t xml:space="preserve"> solar </w:t>
      </w:r>
      <w:proofErr w:type="spellStart"/>
      <w:r w:rsidRPr="006B1209">
        <w:t>panels</w:t>
      </w:r>
      <w:proofErr w:type="spellEnd"/>
      <w:r w:rsidRPr="006B1209">
        <w:t xml:space="preserve"> </w:t>
      </w:r>
      <w:proofErr w:type="spellStart"/>
      <w:r w:rsidRPr="006B1209">
        <w:t>themselves</w:t>
      </w:r>
      <w:proofErr w:type="spellEnd"/>
      <w:r w:rsidRPr="006B1209">
        <w:t xml:space="preserve"> are </w:t>
      </w:r>
      <w:proofErr w:type="spellStart"/>
      <w:r w:rsidRPr="006B1209">
        <w:t>often</w:t>
      </w:r>
      <w:proofErr w:type="spellEnd"/>
      <w:r w:rsidRPr="006B1209">
        <w:t xml:space="preserve"> </w:t>
      </w:r>
      <w:proofErr w:type="spellStart"/>
      <w:r w:rsidRPr="006B1209">
        <w:t>not</w:t>
      </w:r>
      <w:proofErr w:type="spellEnd"/>
      <w:r w:rsidRPr="006B1209">
        <w:t xml:space="preserve">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w:t>
      </w:r>
      <w:proofErr w:type="spellStart"/>
      <w:r w:rsidRPr="006B1209">
        <w:t>of</w:t>
      </w:r>
      <w:proofErr w:type="spellEnd"/>
      <w:r w:rsidRPr="006B1209">
        <w:t xml:space="preserve"> </w:t>
      </w:r>
      <w:proofErr w:type="spellStart"/>
      <w:r w:rsidRPr="006B1209">
        <w:t>the</w:t>
      </w:r>
      <w:proofErr w:type="spellEnd"/>
      <w:r w:rsidRPr="006B1209">
        <w:t xml:space="preserve"> use </w:t>
      </w:r>
      <w:proofErr w:type="spellStart"/>
      <w:r w:rsidRPr="006B1209">
        <w:t>of</w:t>
      </w:r>
      <w:proofErr w:type="spellEnd"/>
      <w:r w:rsidRPr="006B1209">
        <w:t xml:space="preserve"> PFAS </w:t>
      </w:r>
      <w:proofErr w:type="spellStart"/>
      <w:r w:rsidRPr="006B1209">
        <w:t>and</w:t>
      </w:r>
      <w:proofErr w:type="spellEnd"/>
      <w:r w:rsidRPr="006B1209">
        <w:t xml:space="preserve">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w:t>
      </w:r>
      <w:proofErr w:type="spellStart"/>
      <w:r w:rsidRPr="006B1209">
        <w:t>the</w:t>
      </w:r>
      <w:proofErr w:type="spellEnd"/>
      <w:r w:rsidRPr="006B1209">
        <w:t xml:space="preserve"> </w:t>
      </w:r>
      <w:proofErr w:type="spellStart"/>
      <w:r w:rsidRPr="006B1209">
        <w:t>technical</w:t>
      </w:r>
      <w:proofErr w:type="spellEnd"/>
      <w:r w:rsidRPr="006B1209">
        <w:t xml:space="preserve"> </w:t>
      </w:r>
      <w:proofErr w:type="spellStart"/>
      <w:r w:rsidRPr="006B1209">
        <w:t>working</w:t>
      </w:r>
      <w:proofErr w:type="spellEnd"/>
      <w:r w:rsidRPr="006B1209">
        <w:t xml:space="preserve"> </w:t>
      </w:r>
      <w:proofErr w:type="spellStart"/>
      <w:r w:rsidRPr="006B1209">
        <w:t>life</w:t>
      </w:r>
      <w:proofErr w:type="spellEnd"/>
      <w:r w:rsidRPr="006B1209">
        <w:t xml:space="preserve">, </w:t>
      </w:r>
      <w:proofErr w:type="spellStart"/>
      <w:r w:rsidRPr="006B1209">
        <w:t>the</w:t>
      </w:r>
      <w:proofErr w:type="spellEnd"/>
      <w:r w:rsidRPr="006B1209">
        <w:t xml:space="preserv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w:t>
      </w:r>
      <w:proofErr w:type="spellStart"/>
      <w:r w:rsidRPr="006B1209">
        <w:t>and</w:t>
      </w:r>
      <w:proofErr w:type="spellEnd"/>
      <w:r w:rsidRPr="006B1209">
        <w:t xml:space="preserve">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6AC21FBB" w14:textId="77777777" w:rsidR="00B42E33" w:rsidRPr="006B1209" w:rsidRDefault="00B42E33" w:rsidP="00B42E33">
      <w:pPr>
        <w:pStyle w:val="BodyText1"/>
      </w:pPr>
    </w:p>
    <w:p w14:paraId="344833EF" w14:textId="77777777" w:rsidR="00B42E33" w:rsidRPr="004C0EBD" w:rsidRDefault="00B42E33" w:rsidP="00B42E33"/>
    <w:p w14:paraId="50FD19FC" w14:textId="77777777" w:rsidR="00B42E33" w:rsidRPr="001079C7" w:rsidRDefault="00B42E33" w:rsidP="00B42E33">
      <w:pPr>
        <w:pStyle w:val="MH3"/>
        <w:rPr>
          <w:rStyle w:val="SubtleEmphasis"/>
          <w:b/>
          <w:bCs w:val="0"/>
          <w:color w:val="104D54"/>
        </w:rPr>
      </w:pPr>
      <w:bookmarkStart w:id="53" w:name="_Toc180568527"/>
      <w:proofErr w:type="spellStart"/>
      <w:r>
        <w:rPr>
          <w:rStyle w:val="SubtleEmphasis"/>
          <w:b/>
          <w:bCs w:val="0"/>
          <w:color w:val="104D54"/>
        </w:rPr>
        <w:t>Edits</w:t>
      </w:r>
      <w:proofErr w:type="spellEnd"/>
      <w:r>
        <w:rPr>
          <w:rStyle w:val="SubtleEmphasis"/>
          <w:b/>
          <w:bCs w:val="0"/>
          <w:color w:val="104D54"/>
        </w:rPr>
        <w:t xml:space="preserve">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proofErr w:type="spellStart"/>
      <w:r w:rsidRPr="001079C7">
        <w:rPr>
          <w:rStyle w:val="SubtleEmphasis"/>
          <w:b/>
          <w:bCs w:val="0"/>
          <w:color w:val="104D54"/>
        </w:rPr>
        <w:t>an</w:t>
      </w:r>
      <w:proofErr w:type="spellEnd"/>
      <w:r w:rsidRPr="001079C7">
        <w:rPr>
          <w:rStyle w:val="SubtleEmphasis"/>
          <w:b/>
          <w:bCs w:val="0"/>
          <w:color w:val="104D54"/>
        </w:rPr>
        <w:t xml:space="preserve"> email to</w:t>
      </w:r>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53"/>
      <w:r>
        <w:rPr>
          <w:rStyle w:val="SubtleEmphasis"/>
          <w:b/>
          <w:bCs w:val="0"/>
          <w:color w:val="104D54"/>
        </w:rPr>
        <w:t xml:space="preserve"> </w:t>
      </w:r>
    </w:p>
    <w:p w14:paraId="18DAC14D" w14:textId="77777777" w:rsidR="00B42E33" w:rsidRPr="006B1209" w:rsidRDefault="00B42E33" w:rsidP="00B42E33">
      <w:pPr>
        <w:pStyle w:val="BodyText1"/>
        <w:rPr>
          <w:rFonts w:eastAsia="Calibri"/>
        </w:rPr>
      </w:pPr>
      <w:proofErr w:type="spellStart"/>
      <w:r w:rsidRPr="006B1209">
        <w:t>This</w:t>
      </w:r>
      <w:proofErr w:type="spellEnd"/>
      <w:r w:rsidRPr="006B1209">
        <w:t xml:space="preserve"> </w:t>
      </w:r>
      <w:proofErr w:type="spellStart"/>
      <w:r w:rsidRPr="006B1209">
        <w:t>guide</w:t>
      </w:r>
      <w:proofErr w:type="spellEnd"/>
      <w:r w:rsidRPr="006B1209">
        <w:t xml:space="preserve"> </w:t>
      </w:r>
      <w:proofErr w:type="spellStart"/>
      <w:r w:rsidRPr="006B1209">
        <w:t>is</w:t>
      </w:r>
      <w:proofErr w:type="spellEnd"/>
      <w:r w:rsidRPr="006B1209">
        <w:t xml:space="preserve"> </w:t>
      </w:r>
      <w:r>
        <w:t xml:space="preserve">a draft </w:t>
      </w:r>
      <w:proofErr w:type="spellStart"/>
      <w:r w:rsidRPr="006B1209">
        <w:t>version</w:t>
      </w:r>
      <w:proofErr w:type="spellEnd"/>
      <w:r>
        <w:t>/</w:t>
      </w:r>
      <w:r w:rsidRPr="006B1209">
        <w:t xml:space="preserve"> </w:t>
      </w:r>
      <w:r>
        <w:t xml:space="preserve">. </w:t>
      </w:r>
      <w:proofErr w:type="spellStart"/>
      <w:r>
        <w:t>It</w:t>
      </w:r>
      <w:proofErr w:type="spellEnd"/>
      <w:r>
        <w:t xml:space="preserve"> </w:t>
      </w:r>
      <w:proofErr w:type="spellStart"/>
      <w:r>
        <w:t>was</w:t>
      </w:r>
      <w:proofErr w:type="spellEnd"/>
      <w:r>
        <w:t xml:space="preserve"> </w:t>
      </w:r>
      <w:proofErr w:type="spellStart"/>
      <w:r>
        <w:t>created</w:t>
      </w:r>
      <w:proofErr w:type="spellEnd"/>
      <w:r>
        <w:t xml:space="preserve"> </w:t>
      </w:r>
      <w:proofErr w:type="spellStart"/>
      <w:r>
        <w:t>in</w:t>
      </w:r>
      <w:proofErr w:type="spellEnd"/>
      <w:r>
        <w:t xml:space="preserve"> </w:t>
      </w:r>
      <w:proofErr w:type="spellStart"/>
      <w:r>
        <w:t>the</w:t>
      </w:r>
      <w:proofErr w:type="spellEnd"/>
      <w:r>
        <w:t xml:space="preserve"> </w:t>
      </w:r>
      <w:proofErr w:type="spellStart"/>
      <w:r>
        <w:t>Netherlands</w:t>
      </w:r>
      <w:proofErr w:type="spellEnd"/>
      <w:r>
        <w:t xml:space="preserve"> </w:t>
      </w:r>
      <w:proofErr w:type="spellStart"/>
      <w:r>
        <w:t>and</w:t>
      </w:r>
      <w:proofErr w:type="spellEnd"/>
      <w:r>
        <w:t xml:space="preserve"> </w:t>
      </w:r>
      <w:proofErr w:type="spellStart"/>
      <w:r>
        <w:t>thereafter</w:t>
      </w:r>
      <w:proofErr w:type="spellEnd"/>
      <w:r>
        <w:t xml:space="preserve"> auto-</w:t>
      </w:r>
      <w:proofErr w:type="spellStart"/>
      <w:r>
        <w:t>translated</w:t>
      </w:r>
      <w:proofErr w:type="spellEnd"/>
      <w:r>
        <w:t xml:space="preserve"> </w:t>
      </w:r>
      <w:proofErr w:type="spellStart"/>
      <w:r>
        <w:t>without</w:t>
      </w:r>
      <w:proofErr w:type="spellEnd"/>
      <w:r>
        <w:t xml:space="preserve"> </w:t>
      </w:r>
      <w:proofErr w:type="spellStart"/>
      <w:r>
        <w:t>checks</w:t>
      </w:r>
      <w:proofErr w:type="spellEnd"/>
      <w:r>
        <w:t xml:space="preserve"> </w:t>
      </w:r>
      <w:proofErr w:type="spellStart"/>
      <w:r>
        <w:t>from</w:t>
      </w:r>
      <w:proofErr w:type="spellEnd"/>
      <w:r>
        <w:t xml:space="preserve"> </w:t>
      </w:r>
      <w:proofErr w:type="spellStart"/>
      <w:r>
        <w:t>native</w:t>
      </w:r>
      <w:proofErr w:type="spellEnd"/>
      <w:r>
        <w:t xml:space="preserve"> </w:t>
      </w:r>
      <w:proofErr w:type="spellStart"/>
      <w:r>
        <w:t>speaking</w:t>
      </w:r>
      <w:proofErr w:type="spellEnd"/>
      <w:r>
        <w:t xml:space="preserve"> PV </w:t>
      </w:r>
      <w:proofErr w:type="spellStart"/>
      <w:r>
        <w:t>experts</w:t>
      </w:r>
      <w:proofErr w:type="spell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w:t>
      </w:r>
      <w:proofErr w:type="spellStart"/>
      <w:r>
        <w:t>be</w:t>
      </w:r>
      <w:proofErr w:type="spellEnd"/>
      <w:r>
        <w:t xml:space="preserve"> </w:t>
      </w:r>
      <w:proofErr w:type="spellStart"/>
      <w:r>
        <w:t>used</w:t>
      </w:r>
      <w:proofErr w:type="spellEnd"/>
      <w:r>
        <w:t xml:space="preserve">. </w:t>
      </w:r>
      <w:proofErr w:type="spellStart"/>
      <w:r>
        <w:t>Further</w:t>
      </w:r>
      <w:proofErr w:type="spellEnd"/>
      <w:r>
        <w:t xml:space="preserve">, </w:t>
      </w:r>
      <w:proofErr w:type="spellStart"/>
      <w:r>
        <w:t>in</w:t>
      </w:r>
      <w:proofErr w:type="spellEnd"/>
      <w:r>
        <w:t xml:space="preserve"> </w:t>
      </w:r>
      <w:proofErr w:type="spellStart"/>
      <w:r>
        <w:t>your</w:t>
      </w:r>
      <w:proofErr w:type="spellEnd"/>
      <w:r>
        <w:t xml:space="preserve"> </w:t>
      </w:r>
      <w:proofErr w:type="spellStart"/>
      <w:r>
        <w:t>country</w:t>
      </w:r>
      <w:proofErr w:type="spellEnd"/>
      <w:r>
        <w:t xml:space="preserve"> </w:t>
      </w:r>
      <w:proofErr w:type="spellStart"/>
      <w:r>
        <w:t>the</w:t>
      </w:r>
      <w:proofErr w:type="spellEnd"/>
      <w:r>
        <w:t xml:space="preserve"> </w:t>
      </w:r>
      <w:proofErr w:type="spellStart"/>
      <w:r>
        <w:t>regulations</w:t>
      </w:r>
      <w:proofErr w:type="spellEnd"/>
      <w:r>
        <w:t xml:space="preserve">, </w:t>
      </w:r>
      <w:proofErr w:type="spellStart"/>
      <w:r>
        <w:t>permits</w:t>
      </w:r>
      <w:proofErr w:type="spellEnd"/>
      <w:r>
        <w:t xml:space="preserve"> </w:t>
      </w:r>
      <w:proofErr w:type="spellStart"/>
      <w:r>
        <w:t>and</w:t>
      </w:r>
      <w:proofErr w:type="spellEnd"/>
      <w:r>
        <w:t xml:space="preserve"> </w:t>
      </w:r>
      <w:proofErr w:type="spellStart"/>
      <w:r>
        <w:t>subsidies</w:t>
      </w:r>
      <w:proofErr w:type="spellEnd"/>
      <w:r>
        <w:t xml:space="preserve"> </w:t>
      </w:r>
      <w:proofErr w:type="spellStart"/>
      <w:r>
        <w:t>will</w:t>
      </w:r>
      <w:proofErr w:type="spellEnd"/>
      <w:r>
        <w:t xml:space="preserve"> </w:t>
      </w:r>
      <w:proofErr w:type="spellStart"/>
      <w:r>
        <w:t>be</w:t>
      </w:r>
      <w:proofErr w:type="spellEnd"/>
      <w:r>
        <w:t xml:space="preserve"> </w:t>
      </w:r>
      <w:proofErr w:type="spellStart"/>
      <w:r>
        <w:t>different</w:t>
      </w:r>
      <w:proofErr w:type="spellEnd"/>
      <w:r>
        <w:t xml:space="preserve"> </w:t>
      </w:r>
      <w:proofErr w:type="spellStart"/>
      <w:r>
        <w:t>from</w:t>
      </w:r>
      <w:proofErr w:type="spellEnd"/>
      <w:r>
        <w:t xml:space="preserve"> </w:t>
      </w:r>
      <w:proofErr w:type="spellStart"/>
      <w:r>
        <w:t>those</w:t>
      </w:r>
      <w:proofErr w:type="spellEnd"/>
      <w:r>
        <w:t xml:space="preserve"> </w:t>
      </w:r>
      <w:proofErr w:type="spellStart"/>
      <w:r>
        <w:t>in</w:t>
      </w:r>
      <w:proofErr w:type="spellEnd"/>
      <w:r>
        <w:t xml:space="preserve"> </w:t>
      </w:r>
      <w:proofErr w:type="spellStart"/>
      <w:r>
        <w:t>the</w:t>
      </w:r>
      <w:proofErr w:type="spellEnd"/>
      <w:r>
        <w:t xml:space="preserv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auto-</w:t>
      </w:r>
      <w:proofErr w:type="spellStart"/>
      <w:r>
        <w:t>translated</w:t>
      </w:r>
      <w:proofErr w:type="spellEnd"/>
      <w:r>
        <w:t xml:space="preserve">. </w:t>
      </w:r>
      <w:proofErr w:type="spellStart"/>
      <w:r>
        <w:t>So</w:t>
      </w:r>
      <w:proofErr w:type="spellEnd"/>
      <w:r>
        <w:t xml:space="preserve"> </w:t>
      </w:r>
      <w:proofErr w:type="spellStart"/>
      <w:r>
        <w:t>the</w:t>
      </w:r>
      <w:proofErr w:type="spellEnd"/>
      <w:r>
        <w:t xml:space="preserve"> </w:t>
      </w:r>
      <w:proofErr w:type="spellStart"/>
      <w:r>
        <w:t>guide</w:t>
      </w:r>
      <w:proofErr w:type="spellEnd"/>
      <w:r>
        <w:t xml:space="preserv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w:t>
      </w:r>
      <w:proofErr w:type="spellStart"/>
      <w:r>
        <w:t>and</w:t>
      </w:r>
      <w:proofErr w:type="spellEnd"/>
      <w:r>
        <w:t xml:space="preserve"> </w:t>
      </w:r>
      <w:proofErr w:type="spellStart"/>
      <w:r>
        <w:t>needs</w:t>
      </w:r>
      <w:proofErr w:type="spellEnd"/>
      <w:r>
        <w:t xml:space="preserve"> to </w:t>
      </w:r>
      <w:proofErr w:type="spellStart"/>
      <w:r>
        <w:t>be</w:t>
      </w:r>
      <w:proofErr w:type="spellEnd"/>
      <w:r>
        <w:t xml:space="preserve"> </w:t>
      </w:r>
      <w:proofErr w:type="spellStart"/>
      <w:r>
        <w:t>improved</w:t>
      </w:r>
      <w:proofErr w:type="spellEnd"/>
      <w:r>
        <w:t xml:space="preserve">. In </w:t>
      </w:r>
      <w:proofErr w:type="spellStart"/>
      <w:r>
        <w:t>addition</w:t>
      </w:r>
      <w:proofErr w:type="spellEnd"/>
      <w:r>
        <w:t xml:space="preserve">, </w:t>
      </w:r>
      <w:proofErr w:type="spellStart"/>
      <w:r>
        <w:t>the</w:t>
      </w:r>
      <w:proofErr w:type="spellEnd"/>
      <w:r>
        <w:t xml:space="preserve"> </w:t>
      </w:r>
      <w:proofErr w:type="spellStart"/>
      <w:r>
        <w:t>lists</w:t>
      </w:r>
      <w:proofErr w:type="spellEnd"/>
      <w:r>
        <w:t xml:space="preserve"> </w:t>
      </w:r>
      <w:proofErr w:type="spellStart"/>
      <w:r>
        <w:t>in</w:t>
      </w:r>
      <w:proofErr w:type="spellEnd"/>
      <w:r>
        <w:t xml:space="preserve"> </w:t>
      </w:r>
      <w:proofErr w:type="spellStart"/>
      <w:r>
        <w:t>the</w:t>
      </w:r>
      <w:proofErr w:type="spellEnd"/>
      <w:r>
        <w:t xml:space="preserv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w:t>
      </w:r>
      <w:proofErr w:type="spellStart"/>
      <w:r>
        <w:t>of</w:t>
      </w:r>
      <w:proofErr w:type="spellEnd"/>
      <w:r>
        <w:t xml:space="preserve"> </w:t>
      </w:r>
      <w:proofErr w:type="spellStart"/>
      <w:r>
        <w:t>consultants</w:t>
      </w:r>
      <w:proofErr w:type="spellEnd"/>
      <w:r>
        <w:t>/</w:t>
      </w:r>
      <w:proofErr w:type="spellStart"/>
      <w:r>
        <w:t>experts</w:t>
      </w:r>
      <w:proofErr w:type="spellEnd"/>
      <w:r>
        <w:t xml:space="preserve"> </w:t>
      </w:r>
      <w:proofErr w:type="spellStart"/>
      <w:r>
        <w:t>need</w:t>
      </w:r>
      <w:proofErr w:type="spellEnd"/>
      <w:r>
        <w:t xml:space="preserve"> to </w:t>
      </w:r>
      <w:proofErr w:type="spellStart"/>
      <w:r>
        <w:t>be</w:t>
      </w:r>
      <w:proofErr w:type="spellEnd"/>
      <w:r>
        <w:t xml:space="preserve"> </w:t>
      </w:r>
      <w:proofErr w:type="spellStart"/>
      <w:r>
        <w:t>completely</w:t>
      </w:r>
      <w:proofErr w:type="spellEnd"/>
      <w:r>
        <w:t xml:space="preserve"> </w:t>
      </w:r>
      <w:proofErr w:type="spellStart"/>
      <w:r>
        <w:t>modified</w:t>
      </w:r>
      <w:proofErr w:type="spellEnd"/>
      <w:r>
        <w:t xml:space="preserve"> as </w:t>
      </w:r>
      <w:proofErr w:type="spellStart"/>
      <w:r>
        <w:t>these</w:t>
      </w:r>
      <w:proofErr w:type="spellEnd"/>
      <w:r>
        <w:t xml:space="preserve"> are </w:t>
      </w:r>
      <w:proofErr w:type="spellStart"/>
      <w:r>
        <w:t>mostly</w:t>
      </w:r>
      <w:proofErr w:type="spellEnd"/>
      <w:r>
        <w:t xml:space="preserve"> </w:t>
      </w:r>
      <w:proofErr w:type="spellStart"/>
      <w:r>
        <w:t>Dutch</w:t>
      </w:r>
      <w:proofErr w:type="spellEnd"/>
      <w:r>
        <w:t xml:space="preserve"> </w:t>
      </w:r>
      <w:proofErr w:type="spellStart"/>
      <w:r>
        <w:t>organisations</w:t>
      </w:r>
      <w:proofErr w:type="spellEnd"/>
      <w:r>
        <w:t xml:space="preserve">. </w:t>
      </w:r>
      <w:proofErr w:type="spellStart"/>
      <w:r>
        <w:t>It</w:t>
      </w:r>
      <w:proofErr w:type="spellEnd"/>
      <w:r>
        <w:t xml:space="preserve"> </w:t>
      </w:r>
      <w:proofErr w:type="spellStart"/>
      <w:r>
        <w:t>would</w:t>
      </w:r>
      <w:proofErr w:type="spellEnd"/>
      <w:r>
        <w:t xml:space="preserve"> </w:t>
      </w:r>
      <w:proofErr w:type="spellStart"/>
      <w:r>
        <w:t>be</w:t>
      </w:r>
      <w:proofErr w:type="spellEnd"/>
      <w:r>
        <w:t xml:space="preserve"> </w:t>
      </w:r>
      <w:proofErr w:type="spellStart"/>
      <w:r>
        <w:t>great</w:t>
      </w:r>
      <w:proofErr w:type="spellEnd"/>
      <w:r>
        <w:t xml:space="preserve"> </w:t>
      </w:r>
      <w:proofErr w:type="spellStart"/>
      <w:r>
        <w:t>if</w:t>
      </w:r>
      <w:proofErr w:type="spellEnd"/>
      <w:r>
        <w:t xml:space="preserve"> </w:t>
      </w:r>
      <w:proofErr w:type="spellStart"/>
      <w:r>
        <w:t>you</w:t>
      </w:r>
      <w:proofErr w:type="spellEnd"/>
      <w:r>
        <w:t xml:space="preserve"> </w:t>
      </w:r>
      <w:proofErr w:type="spellStart"/>
      <w:r>
        <w:t>can</w:t>
      </w:r>
      <w:proofErr w:type="spellEnd"/>
      <w:r>
        <w:t xml:space="preserve">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w:t>
      </w:r>
      <w:proofErr w:type="spellStart"/>
      <w:r>
        <w:t>lists</w:t>
      </w:r>
      <w:proofErr w:type="spellEnd"/>
      <w:r>
        <w:t xml:space="preserve"> </w:t>
      </w:r>
      <w:proofErr w:type="spellStart"/>
      <w:r>
        <w:t>consultants</w:t>
      </w:r>
      <w:proofErr w:type="spellEnd"/>
      <w:r>
        <w:t>/</w:t>
      </w:r>
      <w:proofErr w:type="spellStart"/>
      <w:r>
        <w:t>experts</w:t>
      </w:r>
      <w:proofErr w:type="spellEnd"/>
      <w:r>
        <w:t xml:space="preserve"> </w:t>
      </w:r>
      <w:proofErr w:type="spellStart"/>
      <w:r>
        <w:t>from</w:t>
      </w:r>
      <w:proofErr w:type="spellEnd"/>
      <w:r>
        <w:t xml:space="preserve"> </w:t>
      </w:r>
      <w:proofErr w:type="spellStart"/>
      <w:r>
        <w:t>your</w:t>
      </w:r>
      <w:proofErr w:type="spellEnd"/>
      <w:r>
        <w:t xml:space="preserve"> </w:t>
      </w:r>
      <w:proofErr w:type="spellStart"/>
      <w:r>
        <w:t>country</w:t>
      </w:r>
      <w:proofErr w:type="spellEnd"/>
      <w:r>
        <w:t xml:space="preserve">. </w:t>
      </w:r>
      <w:proofErr w:type="spellStart"/>
      <w:r>
        <w:t>The</w:t>
      </w:r>
      <w:proofErr w:type="spellEnd"/>
      <w:r>
        <w:t xml:space="preserve"> solar </w:t>
      </w:r>
      <w:proofErr w:type="spellStart"/>
      <w:r>
        <w:t>trade</w:t>
      </w:r>
      <w:proofErr w:type="spellEnd"/>
      <w:r>
        <w:t xml:space="preserve"> </w:t>
      </w:r>
      <w:proofErr w:type="spellStart"/>
      <w:r>
        <w:t>association</w:t>
      </w:r>
      <w:proofErr w:type="spellEnd"/>
      <w:r>
        <w:t xml:space="preserve"> </w:t>
      </w:r>
      <w:proofErr w:type="spellStart"/>
      <w:r>
        <w:t>in</w:t>
      </w:r>
      <w:proofErr w:type="spellEnd"/>
      <w:r>
        <w:t xml:space="preserve"> </w:t>
      </w:r>
      <w:proofErr w:type="spellStart"/>
      <w:r>
        <w:t>your</w:t>
      </w:r>
      <w:proofErr w:type="spellEnd"/>
      <w:r>
        <w:t xml:space="preserve"> </w:t>
      </w:r>
      <w:proofErr w:type="spellStart"/>
      <w:r>
        <w:t>country</w:t>
      </w:r>
      <w:proofErr w:type="spellEnd"/>
      <w:r>
        <w:t xml:space="preserve">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1B3657E7" w14:textId="77777777" w:rsidR="00B42E33" w:rsidRPr="004C0EBD" w:rsidRDefault="00B42E33" w:rsidP="00B42E33"/>
    <w:p w14:paraId="0ED703D9" w14:textId="77777777" w:rsidR="00B42E33" w:rsidRPr="001079C7" w:rsidRDefault="00B42E33" w:rsidP="00B42E33">
      <w:pPr>
        <w:pStyle w:val="MH3"/>
        <w:rPr>
          <w:rStyle w:val="SubtleEmphasis"/>
          <w:b/>
          <w:bCs w:val="0"/>
          <w:color w:val="104D54"/>
        </w:rPr>
      </w:pPr>
      <w:bookmarkStart w:id="54" w:name="_Toc180568528"/>
      <w:proofErr w:type="spellStart"/>
      <w:r w:rsidRPr="001079C7">
        <w:rPr>
          <w:rStyle w:val="SubtleEmphasis"/>
          <w:b/>
          <w:bCs w:val="0"/>
          <w:color w:val="104D54"/>
        </w:rPr>
        <w:t>Responsibility</w:t>
      </w:r>
      <w:bookmarkEnd w:id="54"/>
      <w:proofErr w:type="spellEnd"/>
    </w:p>
    <w:p w14:paraId="69BB67E2" w14:textId="77777777" w:rsidR="00B42E33" w:rsidRPr="004C0EBD" w:rsidRDefault="00B42E33" w:rsidP="00B42E33">
      <w:pPr>
        <w:pStyle w:val="BodyText1"/>
        <w:rPr>
          <w:rFonts w:eastAsia="Calibri"/>
        </w:rPr>
      </w:pP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on </w:t>
      </w:r>
      <w:proofErr w:type="spellStart"/>
      <w:r w:rsidRPr="004C0EBD">
        <w:t>the</w:t>
      </w:r>
      <w:proofErr w:type="spellEnd"/>
      <w:r w:rsidRPr="004C0EBD">
        <w:t xml:space="preserve"> </w:t>
      </w:r>
      <w:proofErr w:type="spellStart"/>
      <w:r w:rsidRPr="004C0EBD">
        <w:t>initiative</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t>Dutch</w:t>
      </w:r>
      <w:proofErr w:type="spellEnd"/>
      <w:r>
        <w:t xml:space="preserve"> </w:t>
      </w:r>
      <w:proofErr w:type="spellStart"/>
      <w:r>
        <w:t>Public</w:t>
      </w:r>
      <w:proofErr w:type="spellEnd"/>
      <w:r>
        <w:t xml:space="preserve"> </w:t>
      </w:r>
      <w:proofErr w:type="spellStart"/>
      <w:r w:rsidRPr="004C0EBD">
        <w:t>Buyers</w:t>
      </w:r>
      <w:proofErr w:type="spellEnd"/>
      <w:r w:rsidRPr="004C0EBD">
        <w:t xml:space="preserve"> Group for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Group </w:t>
      </w:r>
      <w:proofErr w:type="spellStart"/>
      <w:r w:rsidRPr="004C0EBD">
        <w:t>consists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Dutch</w:t>
      </w:r>
      <w:proofErr w:type="spellEnd"/>
      <w:r w:rsidRPr="004C0EBD">
        <w:t xml:space="preserve"> </w:t>
      </w:r>
      <w:proofErr w:type="spellStart"/>
      <w:r w:rsidRPr="004C0EBD">
        <w:t>Public</w:t>
      </w:r>
      <w:proofErr w:type="spellEnd"/>
      <w:r w:rsidRPr="004C0EBD">
        <w:t xml:space="preserve"> </w:t>
      </w:r>
      <w:proofErr w:type="spellStart"/>
      <w:r w:rsidRPr="004C0EBD">
        <w:t>Procurement</w:t>
      </w:r>
      <w:proofErr w:type="spellEnd"/>
      <w:r w:rsidRPr="004C0EBD">
        <w:t xml:space="preserve"> </w:t>
      </w:r>
      <w:proofErr w:type="spellStart"/>
      <w:r w:rsidRPr="004C0EBD">
        <w:t>Expertise</w:t>
      </w:r>
      <w:proofErr w:type="spellEnd"/>
      <w:r w:rsidRPr="004C0EBD">
        <w:t xml:space="preserve"> Centre, </w:t>
      </w:r>
      <w:proofErr w:type="spellStart"/>
      <w:r w:rsidRPr="004C0EBD">
        <w:t>PIANOo</w:t>
      </w:r>
      <w:proofErr w:type="spellEnd"/>
      <w:r w:rsidRPr="004C0EBD">
        <w:t xml:space="preserve">, </w:t>
      </w:r>
      <w:proofErr w:type="spellStart"/>
      <w:r w:rsidRPr="004C0EBD">
        <w:t>and</w:t>
      </w:r>
      <w:proofErr w:type="spellEnd"/>
      <w:r w:rsidRPr="004C0EBD">
        <w:t xml:space="preserve"> </w:t>
      </w:r>
      <w:proofErr w:type="spellStart"/>
      <w:r w:rsidRPr="004C0EBD">
        <w:t>is</w:t>
      </w:r>
      <w:proofErr w:type="spellEnd"/>
      <w:r w:rsidRPr="004C0EBD">
        <w:t xml:space="preserve"> </w:t>
      </w:r>
      <w:proofErr w:type="spellStart"/>
      <w:r w:rsidRPr="004C0EBD">
        <w:t>made</w:t>
      </w:r>
      <w:proofErr w:type="spellEnd"/>
      <w:r w:rsidRPr="004C0EBD">
        <w:t xml:space="preserve"> </w:t>
      </w:r>
      <w:proofErr w:type="spellStart"/>
      <w:r w:rsidRPr="004C0EBD">
        <w:t>possible</w:t>
      </w:r>
      <w:proofErr w:type="spellEnd"/>
      <w:r w:rsidRPr="004C0EBD">
        <w:t xml:space="preserve"> </w:t>
      </w:r>
      <w:proofErr w:type="spellStart"/>
      <w:r w:rsidRPr="004C0EBD">
        <w:t>by</w:t>
      </w:r>
      <w:proofErr w:type="spellEnd"/>
      <w:r w:rsidRPr="004C0EBD">
        <w:t xml:space="preserve"> </w:t>
      </w:r>
      <w:proofErr w:type="spellStart"/>
      <w:r w:rsidRPr="004C0EBD">
        <w:t>the</w:t>
      </w:r>
      <w:proofErr w:type="spellEnd"/>
      <w:r w:rsidRPr="004C0EBD">
        <w:t xml:space="preserve"> </w:t>
      </w:r>
      <w:proofErr w:type="spellStart"/>
      <w:r w:rsidRPr="004C0EBD">
        <w:t>Ministry</w:t>
      </w:r>
      <w:proofErr w:type="spellEnd"/>
      <w:r w:rsidRPr="004C0EBD">
        <w:t xml:space="preserve"> </w:t>
      </w:r>
      <w:proofErr w:type="spellStart"/>
      <w:r w:rsidRPr="004C0EBD">
        <w:t>of</w:t>
      </w:r>
      <w:proofErr w:type="spellEnd"/>
      <w:r w:rsidRPr="004C0EBD">
        <w:t xml:space="preserve"> </w:t>
      </w:r>
      <w:proofErr w:type="spellStart"/>
      <w:r w:rsidRPr="004C0EBD">
        <w:t>Infrastructure</w:t>
      </w:r>
      <w:proofErr w:type="spellEnd"/>
      <w:r w:rsidRPr="004C0EBD">
        <w:t xml:space="preserve"> </w:t>
      </w:r>
      <w:proofErr w:type="spellStart"/>
      <w:r w:rsidRPr="004C0EBD">
        <w:t>and</w:t>
      </w:r>
      <w:proofErr w:type="spellEnd"/>
      <w:r w:rsidRPr="004C0EBD">
        <w:t xml:space="preserve"> Water Management. . </w:t>
      </w:r>
      <w:proofErr w:type="spellStart"/>
      <w:r w:rsidRPr="004C0EBD">
        <w:t>The</w:t>
      </w:r>
      <w:proofErr w:type="spellEnd"/>
      <w:r w:rsidRPr="004C0EBD">
        <w:t xml:space="preserve"> </w:t>
      </w:r>
      <w:proofErr w:type="spellStart"/>
      <w:r w:rsidRPr="004C0EBD">
        <w:t>Buyers</w:t>
      </w:r>
      <w:proofErr w:type="spellEnd"/>
      <w:r w:rsidRPr="004C0EBD">
        <w:t xml:space="preserve">’ Group </w:t>
      </w:r>
      <w:proofErr w:type="spellStart"/>
      <w:r w:rsidRPr="004C0EBD">
        <w:t>is</w:t>
      </w:r>
      <w:proofErr w:type="spellEnd"/>
      <w:r w:rsidRPr="004C0EBD">
        <w:t xml:space="preserve"> </w:t>
      </w:r>
      <w:proofErr w:type="spellStart"/>
      <w:r w:rsidRPr="004C0EBD">
        <w:t>headed</w:t>
      </w:r>
      <w:proofErr w:type="spellEnd"/>
      <w:r w:rsidRPr="004C0EBD">
        <w:t xml:space="preserve"> </w:t>
      </w:r>
      <w:proofErr w:type="spellStart"/>
      <w:r w:rsidRPr="004C0EBD">
        <w:t>by</w:t>
      </w:r>
      <w:proofErr w:type="spellEnd"/>
      <w:r w:rsidRPr="004C0EBD">
        <w:t xml:space="preserve"> Bart-</w:t>
      </w:r>
      <w:proofErr w:type="spellStart"/>
      <w:r w:rsidRPr="004C0EBD">
        <w:t>Jeroen</w:t>
      </w:r>
      <w:proofErr w:type="spellEnd"/>
      <w:r w:rsidRPr="004C0EBD">
        <w:t xml:space="preserve"> </w:t>
      </w:r>
      <w:proofErr w:type="spellStart"/>
      <w:r w:rsidRPr="004C0EBD">
        <w:t>Bierens</w:t>
      </w:r>
      <w:proofErr w:type="spellEnd"/>
      <w:r w:rsidRPr="004C0EBD">
        <w:t xml:space="preserve"> </w:t>
      </w:r>
      <w:proofErr w:type="spellStart"/>
      <w:r w:rsidRPr="004C0EBD">
        <w:t>and</w:t>
      </w:r>
      <w:proofErr w:type="spellEnd"/>
      <w:r w:rsidRPr="004C0EBD">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Netherlands</w:t>
      </w:r>
      <w:proofErr w:type="spellEnd"/>
      <w:r w:rsidRPr="004C0EBD">
        <w:t xml:space="preserve"> Enterprise </w:t>
      </w:r>
      <w:proofErr w:type="spellStart"/>
      <w:r w:rsidRPr="004C0EBD">
        <w:t>Agency</w:t>
      </w:r>
      <w:proofErr w:type="spellEnd"/>
      <w:r w:rsidRPr="004C0EBD">
        <w:t xml:space="preserve"> .</w:t>
      </w:r>
    </w:p>
    <w:p w14:paraId="558D30F4" w14:textId="77777777" w:rsidR="00B42E33" w:rsidRPr="004C0EBD" w:rsidRDefault="00B42E33" w:rsidP="00B42E33">
      <w:pPr>
        <w:rPr>
          <w:rFonts w:eastAsia="Calibri"/>
        </w:rPr>
      </w:pPr>
    </w:p>
    <w:p w14:paraId="249BD10A" w14:textId="77777777" w:rsidR="00B42E33" w:rsidRPr="001079C7" w:rsidRDefault="00B42E33" w:rsidP="00B42E33">
      <w:pPr>
        <w:pStyle w:val="MH3"/>
        <w:rPr>
          <w:rStyle w:val="SubtleEmphasis"/>
          <w:b/>
          <w:bCs w:val="0"/>
          <w:color w:val="104D54"/>
        </w:rPr>
      </w:pPr>
      <w:bookmarkStart w:id="55" w:name="_Toc180568529"/>
      <w:proofErr w:type="spellStart"/>
      <w:r w:rsidRPr="001079C7">
        <w:rPr>
          <w:rStyle w:val="SubtleEmphasis"/>
          <w:b/>
          <w:bCs w:val="0"/>
          <w:color w:val="104D54"/>
        </w:rPr>
        <w:t>Disclaimer</w:t>
      </w:r>
      <w:bookmarkEnd w:id="55"/>
      <w:proofErr w:type="spellEnd"/>
      <w:r w:rsidRPr="001079C7">
        <w:rPr>
          <w:rStyle w:val="SubtleEmphasis"/>
          <w:b/>
          <w:bCs w:val="0"/>
          <w:color w:val="104D54"/>
        </w:rPr>
        <w:t xml:space="preserve"> </w:t>
      </w:r>
    </w:p>
    <w:p w14:paraId="08AF42A7" w14:textId="77777777" w:rsidR="00B42E33" w:rsidRPr="004C0EBD" w:rsidRDefault="00B42E33" w:rsidP="00B42E33">
      <w:pPr>
        <w:pStyle w:val="BodyText1"/>
        <w:rPr>
          <w:rFonts w:eastAsia="Calibri"/>
          <w:szCs w:val="21"/>
        </w:rPr>
      </w:pPr>
      <w:proofErr w:type="spellStart"/>
      <w:r w:rsidRPr="004C0EBD">
        <w:t>The</w:t>
      </w:r>
      <w:proofErr w:type="spellEnd"/>
      <w:r w:rsidRPr="004C0EBD">
        <w:t xml:space="preserve"> </w:t>
      </w:r>
      <w:proofErr w:type="spellStart"/>
      <w:r w:rsidRPr="004C0EBD">
        <w:t>purpose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to provide </w:t>
      </w:r>
      <w:proofErr w:type="spellStart"/>
      <w:r w:rsidRPr="004C0EBD">
        <w:t>assistance</w:t>
      </w:r>
      <w:proofErr w:type="spellEnd"/>
      <w:r w:rsidRPr="004C0EBD">
        <w:t xml:space="preserve"> </w:t>
      </w:r>
      <w:proofErr w:type="spellStart"/>
      <w:r w:rsidRPr="004C0EBD">
        <w:t>and</w:t>
      </w:r>
      <w:proofErr w:type="spellEnd"/>
      <w:r w:rsidRPr="004C0EBD">
        <w:t xml:space="preserve"> </w:t>
      </w:r>
      <w:proofErr w:type="spellStart"/>
      <w:r w:rsidRPr="004C0EBD">
        <w:t>support</w:t>
      </w:r>
      <w:proofErr w:type="spellEnd"/>
      <w:r w:rsidRPr="004C0EBD">
        <w:t xml:space="preserve"> to </w:t>
      </w:r>
      <w:proofErr w:type="spellStart"/>
      <w:r>
        <w:t>private</w:t>
      </w:r>
      <w:proofErr w:type="spellEnd"/>
      <w:r>
        <w:t xml:space="preserve"> </w:t>
      </w:r>
      <w:proofErr w:type="spellStart"/>
      <w:r>
        <w:t>organisations</w:t>
      </w:r>
      <w:proofErr w:type="spellEnd"/>
      <w:r>
        <w:t xml:space="preserve"> </w:t>
      </w:r>
      <w:proofErr w:type="spellStart"/>
      <w:r>
        <w:t>and</w:t>
      </w:r>
      <w:proofErr w:type="spellEnd"/>
      <w:r>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w:t>
      </w:r>
      <w:proofErr w:type="spellStart"/>
      <w:r w:rsidRPr="004C0EBD">
        <w:t>calls</w:t>
      </w:r>
      <w:proofErr w:type="spellEnd"/>
      <w:r w:rsidRPr="004C0EBD">
        <w:t xml:space="preserve"> for </w:t>
      </w:r>
      <w:proofErr w:type="spellStart"/>
      <w:r w:rsidRPr="004C0EBD">
        <w:t>tenders</w:t>
      </w:r>
      <w:proofErr w:type="spellEnd"/>
      <w:r w:rsidRPr="004C0EBD">
        <w:t xml:space="preserve"> for PV </w:t>
      </w:r>
      <w:proofErr w:type="spellStart"/>
      <w:r w:rsidRPr="004C0EBD">
        <w:t>projects</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using</w:t>
      </w:r>
      <w:proofErr w:type="spellEnd"/>
      <w:r w:rsidRPr="004C0EBD">
        <w:t xml:space="preserve"> </w:t>
      </w:r>
      <w:proofErr w:type="spellStart"/>
      <w:r w:rsidRPr="004C0EBD">
        <w:t>recent</w:t>
      </w:r>
      <w:proofErr w:type="spellEnd"/>
      <w:r w:rsidRPr="004C0EBD">
        <w:t xml:space="preserve"> </w:t>
      </w:r>
      <w:proofErr w:type="spellStart"/>
      <w:r w:rsidRPr="004C0EBD">
        <w:t>insights</w:t>
      </w:r>
      <w:proofErr w:type="spellEnd"/>
      <w:r w:rsidRPr="004C0EBD">
        <w:t xml:space="preserve"> </w:t>
      </w:r>
      <w:proofErr w:type="spellStart"/>
      <w:r w:rsidRPr="004C0EBD">
        <w:t>from</w:t>
      </w:r>
      <w:proofErr w:type="spellEnd"/>
      <w:r w:rsidRPr="004C0EBD">
        <w:t xml:space="preserve"> </w:t>
      </w:r>
      <w:proofErr w:type="spellStart"/>
      <w:r w:rsidRPr="004C0EBD">
        <w:t>the</w:t>
      </w:r>
      <w:proofErr w:type="spellEnd"/>
      <w:r w:rsidRPr="004C0EBD">
        <w:t xml:space="preserve"> </w:t>
      </w:r>
      <w:proofErr w:type="spellStart"/>
      <w:r w:rsidRPr="004C0EBD">
        <w:t>sector</w:t>
      </w:r>
      <w:proofErr w:type="spellEnd"/>
      <w:r w:rsidRPr="004C0EBD">
        <w:t xml:space="preserve">. </w:t>
      </w:r>
      <w:proofErr w:type="spellStart"/>
      <w:r w:rsidRPr="004C0EBD">
        <w:t>It</w:t>
      </w:r>
      <w:proofErr w:type="spellEnd"/>
      <w:r w:rsidRPr="004C0EBD">
        <w:t xml:space="preserve"> </w:t>
      </w:r>
      <w:proofErr w:type="spellStart"/>
      <w:r w:rsidRPr="004C0EBD">
        <w:t>may</w:t>
      </w:r>
      <w:proofErr w:type="spellEnd"/>
      <w:r w:rsidRPr="004C0EBD">
        <w:t xml:space="preserve"> </w:t>
      </w:r>
      <w:proofErr w:type="spellStart"/>
      <w:r w:rsidRPr="004C0EBD">
        <w:t>be</w:t>
      </w:r>
      <w:proofErr w:type="spellEnd"/>
      <w:r w:rsidRPr="004C0EBD">
        <w:t xml:space="preserve"> </w:t>
      </w:r>
      <w:proofErr w:type="spellStart"/>
      <w:r w:rsidRPr="004C0EBD">
        <w:t>necessary</w:t>
      </w:r>
      <w:proofErr w:type="spellEnd"/>
      <w:r w:rsidRPr="004C0EBD">
        <w:t xml:space="preserve"> for </w:t>
      </w:r>
      <w:proofErr w:type="spellStart"/>
      <w:r w:rsidRPr="004C0EBD">
        <w:t>individual</w:t>
      </w:r>
      <w:proofErr w:type="spellEnd"/>
      <w:r w:rsidRPr="004C0EBD">
        <w:t xml:space="preserve"> </w:t>
      </w:r>
      <w:proofErr w:type="spellStart"/>
      <w:r w:rsidRPr="004C0EBD">
        <w:t>calls</w:t>
      </w:r>
      <w:proofErr w:type="spellEnd"/>
      <w:r w:rsidRPr="004C0EBD">
        <w:t xml:space="preserve"> for </w:t>
      </w:r>
      <w:proofErr w:type="spellStart"/>
      <w:r w:rsidRPr="004C0EBD">
        <w:t>tenders</w:t>
      </w:r>
      <w:proofErr w:type="spellEnd"/>
      <w:r w:rsidRPr="004C0EBD">
        <w:t xml:space="preserve"> to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are </w:t>
      </w:r>
      <w:proofErr w:type="spellStart"/>
      <w:r w:rsidRPr="004C0EBD">
        <w:t>not</w:t>
      </w:r>
      <w:proofErr w:type="spellEnd"/>
      <w:r w:rsidRPr="004C0EBD">
        <w:t xml:space="preserve"> </w:t>
      </w:r>
      <w:proofErr w:type="spellStart"/>
      <w:r w:rsidRPr="004C0EBD">
        <w:t>in</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or</w:t>
      </w:r>
      <w:proofErr w:type="spellEnd"/>
      <w:r w:rsidRPr="004C0EBD">
        <w:t xml:space="preserve"> to </w:t>
      </w:r>
      <w:proofErr w:type="spellStart"/>
      <w:r w:rsidRPr="004C0EBD">
        <w:t>adjust</w:t>
      </w:r>
      <w:proofErr w:type="spellEnd"/>
      <w:r w:rsidRPr="004C0EBD">
        <w:t xml:space="preserve"> </w:t>
      </w:r>
      <w:proofErr w:type="spellStart"/>
      <w:r w:rsidRPr="004C0EBD">
        <w:t>criteria</w:t>
      </w:r>
      <w:proofErr w:type="spellEnd"/>
      <w:r w:rsidRPr="004C0EBD">
        <w:t xml:space="preserve">, for </w:t>
      </w:r>
      <w:proofErr w:type="spellStart"/>
      <w:r w:rsidRPr="004C0EBD">
        <w:t>example</w:t>
      </w:r>
      <w:proofErr w:type="spellEnd"/>
      <w:r w:rsidRPr="004C0EBD">
        <w:t xml:space="preserve"> </w:t>
      </w:r>
      <w:proofErr w:type="spellStart"/>
      <w:r w:rsidRPr="004C0EBD">
        <w:t>due</w:t>
      </w:r>
      <w:proofErr w:type="spellEnd"/>
      <w:r w:rsidRPr="004C0EBD">
        <w:t xml:space="preserve"> to </w:t>
      </w:r>
      <w:proofErr w:type="spellStart"/>
      <w:r w:rsidRPr="004C0EBD">
        <w:t>specific</w:t>
      </w:r>
      <w:proofErr w:type="spellEnd"/>
      <w:r w:rsidRPr="004C0EBD">
        <w:t xml:space="preserve"> </w:t>
      </w:r>
      <w:proofErr w:type="spellStart"/>
      <w:r w:rsidRPr="004C0EBD">
        <w:t>circumstances</w:t>
      </w:r>
      <w:proofErr w:type="spellEnd"/>
      <w:r w:rsidRPr="004C0EBD">
        <w:t xml:space="preserve"> </w:t>
      </w:r>
      <w:proofErr w:type="spellStart"/>
      <w:r w:rsidRPr="004C0EBD">
        <w:t>or</w:t>
      </w:r>
      <w:proofErr w:type="spellEnd"/>
      <w:r w:rsidRPr="004C0EBD">
        <w:t xml:space="preserve"> </w:t>
      </w:r>
      <w:proofErr w:type="spellStart"/>
      <w:r w:rsidRPr="004C0EBD">
        <w:t>preconditions</w:t>
      </w:r>
      <w:proofErr w:type="spellEnd"/>
      <w:r w:rsidRPr="004C0EBD">
        <w:t xml:space="preserve">. </w:t>
      </w:r>
      <w:proofErr w:type="spellStart"/>
      <w:r w:rsidRPr="004C0EBD">
        <w:t>Both</w:t>
      </w:r>
      <w:proofErr w:type="spellEnd"/>
      <w:r w:rsidRPr="004C0EBD">
        <w:t xml:space="preserve"> </w:t>
      </w:r>
      <w:proofErr w:type="spellStart"/>
      <w:r w:rsidRPr="004C0EBD">
        <w:t>the</w:t>
      </w:r>
      <w:proofErr w:type="spellEnd"/>
      <w:r w:rsidRPr="004C0EBD">
        <w:t xml:space="preserve"> </w:t>
      </w:r>
      <w:proofErr w:type="spellStart"/>
      <w:r w:rsidRPr="004C0EBD">
        <w:t>guide</w:t>
      </w:r>
      <w:proofErr w:type="spellEnd"/>
      <w:r w:rsidRPr="004C0EBD">
        <w:t xml:space="preserve"> </w:t>
      </w:r>
      <w:proofErr w:type="spellStart"/>
      <w:r w:rsidRPr="004C0EBD">
        <w:t>and</w:t>
      </w:r>
      <w:proofErr w:type="spellEnd"/>
      <w:r w:rsidRPr="004C0EBD">
        <w:t xml:space="preserve"> </w:t>
      </w:r>
      <w:proofErr w:type="spellStart"/>
      <w:r w:rsidRPr="004C0EBD">
        <w:t>the</w:t>
      </w:r>
      <w:proofErr w:type="spellEnd"/>
      <w:r w:rsidRPr="004C0EBD">
        <w:t xml:space="preserve"> </w:t>
      </w:r>
      <w:proofErr w:type="spellStart"/>
      <w:r w:rsidRPr="004C0EBD">
        <w:t>criteria</w:t>
      </w:r>
      <w:proofErr w:type="spellEnd"/>
      <w:r w:rsidRPr="004C0EBD">
        <w:t xml:space="preserve"> are </w:t>
      </w:r>
      <w:proofErr w:type="spellStart"/>
      <w:r w:rsidRPr="004C0EBD">
        <w:t>used</w:t>
      </w:r>
      <w:proofErr w:type="spellEnd"/>
      <w:r w:rsidRPr="004C0EBD">
        <w:t xml:space="preserve"> </w:t>
      </w:r>
      <w:proofErr w:type="spellStart"/>
      <w:r w:rsidRPr="004C0EBD">
        <w:t>under</w:t>
      </w:r>
      <w:proofErr w:type="spellEnd"/>
      <w:r w:rsidRPr="004C0EBD">
        <w:t xml:space="preserve"> </w:t>
      </w:r>
      <w:proofErr w:type="spellStart"/>
      <w:r w:rsidRPr="004C0EBD">
        <w:t>the</w:t>
      </w:r>
      <w:proofErr w:type="spellEnd"/>
      <w:r w:rsidRPr="004C0EBD">
        <w:t xml:space="preserv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make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on </w:t>
      </w:r>
      <w:proofErr w:type="spellStart"/>
      <w:r w:rsidRPr="004C0EBD">
        <w:t>the</w:t>
      </w:r>
      <w:proofErr w:type="spellEnd"/>
      <w:r w:rsidRPr="004C0EBD">
        <w:t xml:space="preserve"> </w:t>
      </w:r>
      <w:proofErr w:type="spellStart"/>
      <w:r w:rsidRPr="004C0EBD">
        <w:t>accuracy</w:t>
      </w:r>
      <w:proofErr w:type="spellEnd"/>
      <w:r w:rsidRPr="004C0EBD">
        <w:t xml:space="preserve"> </w:t>
      </w:r>
      <w:proofErr w:type="spellStart"/>
      <w:r w:rsidRPr="004C0EBD">
        <w:t>and</w:t>
      </w:r>
      <w:proofErr w:type="spellEnd"/>
      <w:r w:rsidRPr="004C0EBD">
        <w:t xml:space="preserve"> </w:t>
      </w:r>
      <w:proofErr w:type="spellStart"/>
      <w:r w:rsidRPr="004C0EBD">
        <w:t>completeness</w:t>
      </w:r>
      <w:proofErr w:type="spellEnd"/>
      <w:r w:rsidRPr="004C0EBD">
        <w:t xml:space="preserve"> </w:t>
      </w:r>
      <w:proofErr w:type="spellStart"/>
      <w:r w:rsidRPr="004C0EBD">
        <w:t>of</w:t>
      </w:r>
      <w:proofErr w:type="spellEnd"/>
      <w:r w:rsidRPr="004C0EBD">
        <w:t xml:space="preserve"> </w:t>
      </w:r>
      <w:proofErr w:type="spellStart"/>
      <w:r w:rsidRPr="004C0EBD">
        <w:t>the</w:t>
      </w:r>
      <w:proofErr w:type="spellEnd"/>
      <w:r w:rsidRPr="004C0EBD">
        <w:t xml:space="preserve"> </w:t>
      </w:r>
      <w:proofErr w:type="spellStart"/>
      <w:r w:rsidRPr="004C0EBD">
        <w:t>content</w:t>
      </w:r>
      <w:proofErr w:type="spellEnd"/>
      <w:r w:rsidRPr="004C0EBD">
        <w:t xml:space="preserve"> </w:t>
      </w:r>
      <w:proofErr w:type="spellStart"/>
      <w:r w:rsidRPr="004C0EBD">
        <w:t>or</w:t>
      </w:r>
      <w:proofErr w:type="spellEnd"/>
      <w:r w:rsidRPr="004C0EBD">
        <w:t xml:space="preserve"> </w:t>
      </w:r>
      <w:proofErr w:type="spellStart"/>
      <w:r w:rsidRPr="004C0EBD">
        <w:t>derive</w:t>
      </w:r>
      <w:proofErr w:type="spellEnd"/>
      <w:r w:rsidRPr="004C0EBD">
        <w:t xml:space="preser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469CC839" w14:textId="77777777" w:rsidR="00B42E33" w:rsidRPr="004C0EBD" w:rsidRDefault="00B42E33" w:rsidP="00B42E33"/>
    <w:p w14:paraId="07BA1E75" w14:textId="77777777" w:rsidR="00B42E33" w:rsidRPr="004C0EBD" w:rsidRDefault="00B42E33" w:rsidP="00B42E33">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and</w:t>
      </w:r>
      <w:proofErr w:type="spellEnd"/>
      <w:r w:rsidRPr="004C0EBD">
        <w:t xml:space="preserve"> Marcello </w:t>
      </w:r>
      <w:proofErr w:type="spellStart"/>
      <w:r w:rsidRPr="004C0EBD">
        <w:t>Passaro</w:t>
      </w:r>
      <w:proofErr w:type="spellEnd"/>
      <w:r w:rsidRPr="004C0EBD">
        <w:t xml:space="preserve"> </w:t>
      </w:r>
    </w:p>
    <w:p w14:paraId="0A2F29A0" w14:textId="77777777" w:rsidR="00B42E33" w:rsidRPr="00A031E5" w:rsidRDefault="00B42E33" w:rsidP="00B42E33">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4A0E1FF9" w14:textId="7E610C6C" w:rsidR="00BA688B" w:rsidRDefault="00A11B94" w:rsidP="00A3595E">
      <w:pPr>
        <w:rPr>
          <w:rFonts w:eastAsiaTheme="majorEastAsia"/>
          <w:color w:val="92D050"/>
          <w:sz w:val="40"/>
          <w:szCs w:val="40"/>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4456771C" w:rsidR="006B1209" w:rsidRDefault="006B1209" w:rsidP="00A3595E">
      <w:pPr>
        <w:rPr>
          <w:rFonts w:eastAsiaTheme="majorEastAsia"/>
          <w:color w:val="92D050"/>
          <w:sz w:val="40"/>
          <w:szCs w:val="40"/>
          <w:lang w:val="da-DK"/>
        </w:rPr>
      </w:pPr>
    </w:p>
    <w:p w14:paraId="43FA5D3D" w14:textId="260DEDC8" w:rsidR="006B1209" w:rsidRDefault="006B1209" w:rsidP="00A3595E">
      <w:pPr>
        <w:rPr>
          <w:rFonts w:eastAsiaTheme="majorEastAsia"/>
          <w:color w:val="92D050"/>
          <w:sz w:val="40"/>
          <w:szCs w:val="40"/>
          <w:lang w:val="da-DK"/>
        </w:rPr>
      </w:pPr>
    </w:p>
    <w:p w14:paraId="3DECFF07" w14:textId="08634845" w:rsidR="006B1209" w:rsidRDefault="006B1209" w:rsidP="00A3595E">
      <w:pPr>
        <w:rPr>
          <w:rFonts w:eastAsiaTheme="majorEastAsia"/>
          <w:color w:val="92D050"/>
          <w:sz w:val="40"/>
          <w:szCs w:val="40"/>
          <w:lang w:val="da-DK"/>
        </w:rPr>
      </w:pPr>
    </w:p>
    <w:p w14:paraId="50CBF4EC" w14:textId="77777777" w:rsidR="006B1209" w:rsidRDefault="006B1209" w:rsidP="00A3595E">
      <w:pPr>
        <w:rPr>
          <w:rFonts w:eastAsiaTheme="majorEastAsia"/>
          <w:color w:val="92D050"/>
          <w:sz w:val="40"/>
          <w:szCs w:val="40"/>
          <w:lang w:val="da-DK"/>
        </w:rPr>
      </w:pPr>
    </w:p>
    <w:p w14:paraId="4C22EF8B" w14:textId="77777777" w:rsidR="006B1209" w:rsidRDefault="006B1209" w:rsidP="00A3595E">
      <w:pPr>
        <w:rPr>
          <w:rFonts w:eastAsiaTheme="majorEastAsia"/>
          <w:color w:val="92D050"/>
          <w:sz w:val="40"/>
          <w:szCs w:val="40"/>
          <w:lang w:val="da-DK"/>
        </w:rPr>
      </w:pPr>
    </w:p>
    <w:p w14:paraId="76BE0EAF" w14:textId="77777777" w:rsidR="006B1209" w:rsidRDefault="006B1209" w:rsidP="00A3595E">
      <w:pPr>
        <w:rPr>
          <w:rFonts w:eastAsiaTheme="majorEastAsia"/>
          <w:color w:val="92D050"/>
          <w:sz w:val="40"/>
          <w:szCs w:val="40"/>
          <w:lang w:val="da-DK"/>
        </w:rPr>
      </w:pPr>
    </w:p>
    <w:p w14:paraId="2E5854FE" w14:textId="77777777" w:rsidR="006B1209" w:rsidRDefault="006B1209" w:rsidP="00A3595E">
      <w:pPr>
        <w:rPr>
          <w:rFonts w:eastAsiaTheme="majorEastAsia"/>
          <w:color w:val="92D050"/>
          <w:sz w:val="40"/>
          <w:szCs w:val="40"/>
          <w:lang w:val="da-DK"/>
        </w:rPr>
      </w:pPr>
    </w:p>
    <w:p w14:paraId="4A5B6C79" w14:textId="77777777" w:rsidR="006B1209" w:rsidRDefault="006B1209" w:rsidP="00A3595E">
      <w:pPr>
        <w:rPr>
          <w:rFonts w:eastAsiaTheme="majorEastAsia"/>
          <w:color w:val="92D050"/>
          <w:sz w:val="40"/>
          <w:szCs w:val="40"/>
          <w:lang w:val="da-DK"/>
        </w:rPr>
      </w:pPr>
    </w:p>
    <w:p w14:paraId="51872B65" w14:textId="77777777" w:rsidR="006B1209" w:rsidRDefault="006B1209" w:rsidP="00A3595E">
      <w:pPr>
        <w:rPr>
          <w:rFonts w:eastAsiaTheme="majorEastAsia"/>
          <w:color w:val="92D050"/>
          <w:sz w:val="40"/>
          <w:szCs w:val="40"/>
          <w:lang w:val="da-DK"/>
        </w:rPr>
      </w:pPr>
    </w:p>
    <w:p w14:paraId="016FB7C3" w14:textId="77777777" w:rsidR="006B1209" w:rsidRDefault="006B1209" w:rsidP="00A3595E">
      <w:pPr>
        <w:rPr>
          <w:rFonts w:eastAsiaTheme="majorEastAsia"/>
          <w:color w:val="92D050"/>
          <w:sz w:val="40"/>
          <w:szCs w:val="40"/>
          <w:lang w:val="da-DK"/>
        </w:rPr>
      </w:pPr>
    </w:p>
    <w:p w14:paraId="36BA4AC8" w14:textId="77777777" w:rsidR="006B1209" w:rsidRDefault="006B1209" w:rsidP="00A3595E">
      <w:pPr>
        <w:rPr>
          <w:rFonts w:eastAsiaTheme="majorEastAsia"/>
          <w:color w:val="92D050"/>
          <w:sz w:val="40"/>
          <w:szCs w:val="40"/>
          <w:lang w:val="da-DK"/>
        </w:rPr>
      </w:pPr>
    </w:p>
    <w:p w14:paraId="7125039A" w14:textId="77777777" w:rsidR="006B1209" w:rsidRDefault="006B1209" w:rsidP="00A3595E">
      <w:pPr>
        <w:rPr>
          <w:rFonts w:eastAsiaTheme="majorEastAsia"/>
          <w:color w:val="92D050"/>
          <w:sz w:val="40"/>
          <w:szCs w:val="40"/>
          <w:lang w:val="da-DK"/>
        </w:rPr>
      </w:pPr>
    </w:p>
    <w:p w14:paraId="2B3E0AB0" w14:textId="77777777" w:rsidR="006B1209" w:rsidRPr="00A031E5" w:rsidRDefault="006B1209" w:rsidP="00A3595E">
      <w:pPr>
        <w:rPr>
          <w:rFonts w:eastAsiaTheme="majorEastAsia"/>
          <w:color w:val="92D050"/>
          <w:sz w:val="40"/>
          <w:szCs w:val="40"/>
          <w:lang w:val="da-DK"/>
        </w:rPr>
      </w:pPr>
    </w:p>
    <w:p w14:paraId="2842012E" w14:textId="47DED13E" w:rsidR="0029348A" w:rsidRPr="004C0EBD" w:rsidRDefault="0049076B" w:rsidP="00904945">
      <w:pPr>
        <w:pStyle w:val="MH1"/>
      </w:pPr>
      <w:bookmarkStart w:id="56" w:name="_Toc176854540"/>
      <w:bookmarkStart w:id="57" w:name="_Toc180568530"/>
      <w:r>
        <w:t>Uvod</w:t>
      </w:r>
      <w:bookmarkEnd w:id="56"/>
      <w:bookmarkEnd w:id="57"/>
      <w:r>
        <w:t xml:space="preserve"> </w:t>
      </w:r>
    </w:p>
    <w:p w14:paraId="78875F64" w14:textId="77777777" w:rsidR="003152D2" w:rsidRPr="004C0EBD" w:rsidRDefault="003152D2" w:rsidP="00A3595E"/>
    <w:p w14:paraId="7306996E" w14:textId="34F41A74" w:rsidR="0029348A" w:rsidRPr="004C0EBD" w:rsidRDefault="005A4096" w:rsidP="006F4930">
      <w:pPr>
        <w:pStyle w:val="BodyText1"/>
      </w:pPr>
      <w:r>
        <w:rPr>
          <w:noProof/>
          <w:sz w:val="20"/>
        </w:rPr>
        <w:drawing>
          <wp:anchor distT="0" distB="0" distL="114300" distR="114300" simplePos="0" relativeHeight="251642880" behindDoc="0" locked="0" layoutInCell="1" allowOverlap="1" wp14:anchorId="6BFD0831" wp14:editId="1EFA3BCB">
            <wp:simplePos x="0" y="0"/>
            <wp:positionH relativeFrom="column">
              <wp:posOffset>-137160</wp:posOffset>
            </wp:positionH>
            <wp:positionV relativeFrom="paragraph">
              <wp:posOffset>305435</wp:posOffset>
            </wp:positionV>
            <wp:extent cx="5774055" cy="794385"/>
            <wp:effectExtent l="19050" t="0" r="3619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t xml:space="preserve">Fotonaponski projekti obično prolaze kroz sljedeće faze: </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t>Ovaj se vodič bavi prvom fazom, odnosno preliminarnom studijom.</w:t>
      </w:r>
    </w:p>
    <w:p w14:paraId="1CD62EF4" w14:textId="00D4A8AD" w:rsidR="0049076B" w:rsidRPr="004C0EBD" w:rsidRDefault="00CA772B" w:rsidP="00CA772B">
      <w:pPr>
        <w:pStyle w:val="BodyText1"/>
        <w:tabs>
          <w:tab w:val="left" w:pos="7248"/>
        </w:tabs>
      </w:pPr>
      <w:r>
        <w:tab/>
      </w:r>
    </w:p>
    <w:p w14:paraId="1E2CD083" w14:textId="49D074EA" w:rsidR="004C6BD4" w:rsidRPr="004C0EBD" w:rsidRDefault="00511944" w:rsidP="006F4930">
      <w:pPr>
        <w:pStyle w:val="BodyText1"/>
      </w:pPr>
      <w:r>
        <w:t xml:space="preserve">Tijekom preliminarne studije morate donijeti glavne odluke, što je preduvjet za učinkovito sastavljanje poziva na dostavu ponuda ili zahtjev za ponudu. Predložak zahtjeva i kriterija za dodjelu možete prilagoditi svojem projektu i dodati ga kao prilog zahtjevu za ponudu ili pozivu na dostavu ponuda.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U vodiču će se obraditi sljedeće teme:</w:t>
      </w:r>
    </w:p>
    <w:p w14:paraId="4E53A1EA" w14:textId="39D4E044" w:rsidR="00917A73" w:rsidRPr="004C0EBD" w:rsidRDefault="00917A73" w:rsidP="0075115D">
      <w:pPr>
        <w:pStyle w:val="BodyText1"/>
        <w:numPr>
          <w:ilvl w:val="0"/>
          <w:numId w:val="11"/>
        </w:numPr>
      </w:pPr>
      <w:r>
        <w:t>studija izvedivosti – veličina projekta, opterećenje krova, priključci na mrežu</w:t>
      </w:r>
    </w:p>
    <w:p w14:paraId="6329141A" w14:textId="61DF3732" w:rsidR="006E3E63" w:rsidRPr="004C0EBD" w:rsidRDefault="006E3E63" w:rsidP="0075115D">
      <w:pPr>
        <w:pStyle w:val="BodyText1"/>
        <w:numPr>
          <w:ilvl w:val="0"/>
          <w:numId w:val="11"/>
        </w:numPr>
      </w:pPr>
      <w:r>
        <w:t>veličina projekta i ograničenja natječaja (za javne subjekte)</w:t>
      </w:r>
    </w:p>
    <w:p w14:paraId="4C5A1B47" w14:textId="4B6026E9" w:rsidR="00E254BC" w:rsidRPr="004C0EBD" w:rsidRDefault="00E254BC" w:rsidP="0075115D">
      <w:pPr>
        <w:pStyle w:val="BodyText1"/>
        <w:numPr>
          <w:ilvl w:val="0"/>
          <w:numId w:val="11"/>
        </w:numPr>
      </w:pPr>
      <w:r>
        <w:t xml:space="preserve">kako se odlučiti za kupnju ili najam kvadratnih metara </w:t>
      </w:r>
    </w:p>
    <w:p w14:paraId="1B48C112" w14:textId="19568FF3" w:rsidR="00E254BC" w:rsidRPr="004C0EBD" w:rsidRDefault="00A11B94"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financiranje</w:t>
      </w:r>
    </w:p>
    <w:p w14:paraId="5D5F0168" w14:textId="1CCC38F9" w:rsidR="006E3E63" w:rsidRPr="004C0EBD" w:rsidRDefault="006E3E63" w:rsidP="0075115D">
      <w:pPr>
        <w:pStyle w:val="BodyText1"/>
        <w:numPr>
          <w:ilvl w:val="0"/>
          <w:numId w:val="11"/>
        </w:numPr>
      </w:pPr>
      <w:r>
        <w:t xml:space="preserve">odabiri za operativnu fazu – održavanje i praćenje </w:t>
      </w:r>
    </w:p>
    <w:p w14:paraId="418350A1" w14:textId="3DB470CA" w:rsidR="00E254BC" w:rsidRPr="004C0EBD" w:rsidRDefault="00E254BC" w:rsidP="0075115D">
      <w:pPr>
        <w:pStyle w:val="BodyText1"/>
        <w:numPr>
          <w:ilvl w:val="0"/>
          <w:numId w:val="11"/>
        </w:numPr>
      </w:pPr>
      <w:r>
        <w:t xml:space="preserve">trajanje projekta i kraj životnog vijeka </w:t>
      </w:r>
    </w:p>
    <w:p w14:paraId="077C28E4" w14:textId="5C429578" w:rsidR="00843185" w:rsidRPr="006F4930" w:rsidRDefault="00843185" w:rsidP="0075115D">
      <w:pPr>
        <w:pStyle w:val="BodyText1"/>
        <w:numPr>
          <w:ilvl w:val="0"/>
          <w:numId w:val="11"/>
        </w:numPr>
      </w:pPr>
      <w:r>
        <w:t>kontrola kvalitete.</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Sljedećom verzijom vodiča nadamo se da ćemo obuhvatiti i:</w:t>
      </w:r>
    </w:p>
    <w:p w14:paraId="393D0B84" w14:textId="5892589F" w:rsidR="00BA688B" w:rsidRPr="004C0EBD" w:rsidRDefault="00843185" w:rsidP="0075115D">
      <w:pPr>
        <w:pStyle w:val="BodyText1"/>
        <w:numPr>
          <w:ilvl w:val="0"/>
          <w:numId w:val="11"/>
        </w:numPr>
      </w:pPr>
      <w:r>
        <w:t xml:space="preserve">sustav upravljanja energijom </w:t>
      </w:r>
    </w:p>
    <w:p w14:paraId="796348A6" w14:textId="33BB1EB0" w:rsidR="00843185" w:rsidRPr="004C0EBD" w:rsidRDefault="00FE679B" w:rsidP="0075115D">
      <w:pPr>
        <w:pStyle w:val="BodyText1"/>
        <w:numPr>
          <w:ilvl w:val="0"/>
          <w:numId w:val="11"/>
        </w:numPr>
      </w:pPr>
      <w:r>
        <w:t>skladištenje (baterija)</w:t>
      </w:r>
    </w:p>
    <w:p w14:paraId="0E6D1B86" w14:textId="7066331A" w:rsidR="00DA6DB7" w:rsidRPr="004C0EBD" w:rsidRDefault="00917A73" w:rsidP="0075115D">
      <w:pPr>
        <w:pStyle w:val="BodyText1"/>
        <w:numPr>
          <w:ilvl w:val="0"/>
          <w:numId w:val="11"/>
        </w:numPr>
      </w:pPr>
      <w:r>
        <w:t>mjesta za punjenje (ako se kombiniraju s fotonaponskim projektom).</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37F67576" w:rsidR="009310E7" w:rsidRPr="004C0EBD" w:rsidRDefault="006839D2" w:rsidP="00904945">
      <w:pPr>
        <w:pStyle w:val="MH1"/>
      </w:pPr>
      <w:bookmarkStart w:id="58" w:name="_Toc176854541"/>
      <w:bookmarkStart w:id="59" w:name="_Toc180568531"/>
      <w:r>
        <w:lastRenderedPageBreak/>
        <w:t>Preliminarna studija</w:t>
      </w:r>
      <w:bookmarkEnd w:id="58"/>
      <w:bookmarkEnd w:id="59"/>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U ovoj fazi određujete glavne crte projekta i koje su njegove potrebe i zahtjevi. </w:t>
      </w:r>
    </w:p>
    <w:p w14:paraId="0D2A32DF" w14:textId="2A4CE054"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Prvi savjet</w:t>
      </w:r>
      <w:r>
        <w:rPr>
          <w:rStyle w:val="IntenseEmphasis"/>
          <w:rFonts w:ascii="Arial" w:hAnsi="Arial"/>
          <w:b/>
          <w:color w:val="104D54"/>
        </w:rPr>
        <w:t>: nazovite tehničkog savjetnika!</w:t>
      </w:r>
    </w:p>
    <w:p w14:paraId="72CA230B" w14:textId="5A0929F3" w:rsidR="00FE679B" w:rsidRPr="004C0EBD" w:rsidRDefault="00845E96" w:rsidP="006F4930">
      <w:pPr>
        <w:pStyle w:val="BodyText1"/>
      </w:pPr>
      <w:r>
        <w:t xml:space="preserve">Vidjeti </w:t>
      </w:r>
      <w:r>
        <w:rPr>
          <w:b/>
          <w:color w:val="3DC3C6"/>
          <w:u w:val="single"/>
        </w:rPr>
        <w:t>Prilog 1.</w:t>
      </w:r>
      <w:r>
        <w:t xml:space="preserve"> za popis tehničkih savjetnika koji vam mogu pomoći u preliminarnim fazama. To, naravno, nije potrebno ako vi ili vaša organizacija imate dovoljno iskustva i znanja.</w:t>
      </w:r>
    </w:p>
    <w:p w14:paraId="40F6E162" w14:textId="5C4AC5B5" w:rsidR="00CC023A" w:rsidRPr="00C42EE6" w:rsidRDefault="002530C0" w:rsidP="006F4930">
      <w:pPr>
        <w:pStyle w:val="BodyText1"/>
      </w:pPr>
      <w:r>
        <w:rPr>
          <w:i/>
        </w:rPr>
        <w:t xml:space="preserve">Napomena: popis nije potpun, postoji mnogo savjetnika koji nisu na njemu! </w:t>
      </w:r>
      <w:r>
        <w:t xml:space="preserve"> </w:t>
      </w:r>
    </w:p>
    <w:p w14:paraId="6F7A9714" w14:textId="4BEBD562" w:rsidR="00CC023A" w:rsidRPr="004C0EBD" w:rsidRDefault="001614A7" w:rsidP="006F4930">
      <w:pPr>
        <w:pStyle w:val="BodyText1"/>
      </w:pPr>
      <w:r>
        <w:t xml:space="preserve">Preliminarnu studiju možete gledati kao plan u koracima: </w:t>
      </w:r>
    </w:p>
    <w:p w14:paraId="71755C08" w14:textId="32806018" w:rsidR="001D2C89" w:rsidRPr="004C0EBD" w:rsidRDefault="001D2C89" w:rsidP="00A3595E"/>
    <w:p w14:paraId="36E5CEA0" w14:textId="373CB251" w:rsidR="001D2C89" w:rsidRDefault="001D2C89" w:rsidP="00A3595E">
      <w:pPr>
        <w:rPr>
          <w:color w:val="FFFFFF" w:themeColor="background1"/>
          <w:sz w:val="24"/>
        </w:rPr>
      </w:pPr>
      <w:r>
        <w:rPr>
          <w:sz w:val="24"/>
        </w:rPr>
        <w:t xml:space="preserve"> </w:t>
      </w:r>
      <w:r>
        <w:rPr>
          <w:b/>
          <w:color w:val="FFFFFF" w:themeColor="background1"/>
          <w:sz w:val="24"/>
        </w:rPr>
        <w:t>I. Preliminarna studija</w:t>
      </w:r>
      <w:r>
        <w:rPr>
          <w:color w:val="FFFFFF" w:themeColor="background1"/>
          <w:sz w:val="24"/>
        </w:rPr>
        <w:t xml:space="preserve"> </w:t>
      </w:r>
    </w:p>
    <w:p w14:paraId="5EA8FA8C" w14:textId="4574369B" w:rsidR="006F4930" w:rsidRPr="00904945" w:rsidRDefault="006F4930" w:rsidP="00A3595E">
      <w:pPr>
        <w:rPr>
          <w:color w:val="FFFFFF" w:themeColor="background1"/>
          <w:sz w:val="24"/>
          <w:szCs w:val="24"/>
          <w:lang w:val="en-US"/>
        </w:rPr>
      </w:pPr>
    </w:p>
    <w:p w14:paraId="7FE8F1C1" w14:textId="165FB5E6" w:rsidR="00CC023A" w:rsidRPr="006F4930" w:rsidRDefault="006F493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28C75C1E"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Pr>
                <w:rFonts w:ascii="Arial" w:hAnsi="Arial"/>
                <w:color w:val="FFFFFF" w:themeColor="background1"/>
              </w:rPr>
              <w:t xml:space="preserve">1.  pregled stanja </w:t>
            </w:r>
            <w:r>
              <w:rPr>
                <w:rFonts w:ascii="Arial" w:hAnsi="Arial"/>
              </w:rPr>
              <w:t xml:space="preserve"> </w:t>
            </w:r>
            <w:r>
              <w:rPr>
                <w:rFonts w:ascii="Arial" w:hAnsi="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popis lokacija</w:t>
            </w:r>
          </w:p>
          <w:p w14:paraId="565DECB3" w14:textId="74F0992D" w:rsidR="002E4ADD" w:rsidRPr="004C0EBD" w:rsidRDefault="002E4ADD" w:rsidP="0075115D">
            <w:pPr>
              <w:pStyle w:val="BodyText1"/>
              <w:numPr>
                <w:ilvl w:val="0"/>
                <w:numId w:val="12"/>
              </w:numPr>
              <w:ind w:left="492" w:hanging="492"/>
              <w:jc w:val="left"/>
            </w:pPr>
            <w:r>
              <w:t>mjerenja po krovu/zemljištu</w:t>
            </w:r>
          </w:p>
          <w:p w14:paraId="33154646" w14:textId="0EDDE547" w:rsidR="002E4ADD" w:rsidRPr="004C0EBD" w:rsidRDefault="00D113C8" w:rsidP="0075115D">
            <w:pPr>
              <w:pStyle w:val="BodyText1"/>
              <w:numPr>
                <w:ilvl w:val="0"/>
                <w:numId w:val="12"/>
              </w:numPr>
              <w:ind w:left="492" w:hanging="492"/>
              <w:jc w:val="left"/>
            </w:pPr>
            <w:r>
              <w:t xml:space="preserve">fotografije i raspored održavanja </w:t>
            </w:r>
          </w:p>
          <w:p w14:paraId="3AABCC4E" w14:textId="2541FE59" w:rsidR="002E4ADD" w:rsidRPr="004C0EBD" w:rsidRDefault="00502061" w:rsidP="0075115D">
            <w:pPr>
              <w:pStyle w:val="BodyText1"/>
              <w:numPr>
                <w:ilvl w:val="0"/>
                <w:numId w:val="12"/>
              </w:numPr>
              <w:ind w:left="492" w:hanging="492"/>
              <w:jc w:val="left"/>
            </w:pPr>
            <w:r>
              <w:t xml:space="preserve">opterećenje krova, priključak na mrežu i korištenje </w:t>
            </w:r>
          </w:p>
        </w:tc>
      </w:tr>
      <w:tr w:rsidR="00D113C8" w:rsidRPr="004C0EBD" w14:paraId="6F220FDB" w14:textId="77777777" w:rsidTr="006F4930">
        <w:trPr>
          <w:trHeight w:val="963"/>
        </w:trPr>
        <w:tc>
          <w:tcPr>
            <w:tcW w:w="3660" w:type="dxa"/>
          </w:tcPr>
          <w:p w14:paraId="30103402" w14:textId="28A1C429" w:rsidR="00D113C8" w:rsidRPr="006F4930" w:rsidRDefault="006F4930"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Pr>
                <w:rFonts w:ascii="Arial" w:hAnsi="Arial"/>
                <w:color w:val="FFFFFF" w:themeColor="background1"/>
              </w:rPr>
              <w:t xml:space="preserve">2.  indikativni inženjering  </w:t>
            </w:r>
            <w:r>
              <w:rPr>
                <w:rFonts w:ascii="Arial" w:hAnsi="Arial"/>
              </w:rPr>
              <w:t xml:space="preserve"> </w:t>
            </w:r>
            <w:r>
              <w:rPr>
                <w:rFonts w:ascii="Arial" w:hAnsi="Arial"/>
              </w:rPr>
              <w:br/>
            </w:r>
          </w:p>
        </w:tc>
        <w:tc>
          <w:tcPr>
            <w:tcW w:w="5450" w:type="dxa"/>
          </w:tcPr>
          <w:p w14:paraId="2ADF59CE" w14:textId="77777777" w:rsidR="00BC1A03" w:rsidRPr="004C0EBD" w:rsidRDefault="00BC1A03" w:rsidP="0075115D">
            <w:pPr>
              <w:pStyle w:val="BodyText1"/>
              <w:numPr>
                <w:ilvl w:val="0"/>
                <w:numId w:val="12"/>
              </w:numPr>
              <w:ind w:left="492" w:hanging="492"/>
              <w:jc w:val="left"/>
            </w:pPr>
            <w:r>
              <w:t>broj ploča i kapacitet po lokaciji</w:t>
            </w:r>
          </w:p>
          <w:p w14:paraId="25BF810F" w14:textId="659B8210" w:rsidR="00021D7E" w:rsidRPr="004C0EBD" w:rsidRDefault="00502061" w:rsidP="0075115D">
            <w:pPr>
              <w:pStyle w:val="BodyText1"/>
              <w:numPr>
                <w:ilvl w:val="0"/>
                <w:numId w:val="12"/>
              </w:numPr>
              <w:ind w:left="492" w:hanging="492"/>
              <w:jc w:val="left"/>
            </w:pPr>
            <w:r>
              <w:t>nacrt poslovnog slučaja</w:t>
            </w:r>
          </w:p>
          <w:p w14:paraId="5D5A6002" w14:textId="72863708" w:rsidR="00502061" w:rsidRPr="004C0EBD" w:rsidRDefault="00502061" w:rsidP="0075115D">
            <w:pPr>
              <w:pStyle w:val="BodyText1"/>
              <w:numPr>
                <w:ilvl w:val="0"/>
                <w:numId w:val="12"/>
              </w:numPr>
              <w:ind w:left="492" w:hanging="492"/>
              <w:jc w:val="left"/>
            </w:pPr>
            <w:r>
              <w:t>okvirne specifikacije</w:t>
            </w:r>
          </w:p>
        </w:tc>
      </w:tr>
      <w:tr w:rsidR="00D113C8" w:rsidRPr="004C0EBD" w14:paraId="50D5279D" w14:textId="77777777" w:rsidTr="006F4930">
        <w:trPr>
          <w:trHeight w:val="1234"/>
        </w:trPr>
        <w:tc>
          <w:tcPr>
            <w:tcW w:w="3660" w:type="dxa"/>
          </w:tcPr>
          <w:p w14:paraId="08C72A51" w14:textId="70DC8EE7" w:rsidR="00D113C8"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Pr>
                <w:rFonts w:ascii="Arial" w:hAnsi="Arial"/>
                <w:color w:val="FFFFFF" w:themeColor="background1"/>
              </w:rPr>
              <w:t>3.  vlasništvo i</w:t>
            </w:r>
            <w:r>
              <w:rPr>
                <w:rFonts w:ascii="Arial" w:hAnsi="Arial"/>
                <w:color w:val="FFFFFF" w:themeColor="background1"/>
              </w:rPr>
              <w:br/>
              <w:t xml:space="preserve">postupak odabira </w:t>
            </w:r>
            <w:r>
              <w:rPr>
                <w:rFonts w:ascii="Arial" w:hAnsi="Arial"/>
              </w:rPr>
              <w:t xml:space="preserve"> </w:t>
            </w:r>
            <w:r>
              <w:rPr>
                <w:rFonts w:ascii="Arial" w:hAnsi="Arial"/>
              </w:rPr>
              <w:br/>
            </w:r>
            <w:r>
              <w:rPr>
                <w:rFonts w:ascii="Arial" w:hAnsi="Arial"/>
                <w:color w:val="FFFFFF" w:themeColor="background1"/>
              </w:rPr>
              <w:t xml:space="preserve"> </w:t>
            </w:r>
            <w:r>
              <w:rPr>
                <w:rFonts w:ascii="Arial" w:hAnsi="Arial"/>
              </w:rPr>
              <w:t xml:space="preserve"> </w:t>
            </w:r>
            <w:r>
              <w:rPr>
                <w:rFonts w:ascii="Arial" w:hAnsi="Arial"/>
              </w:rPr>
              <w:br/>
            </w:r>
            <w:r>
              <w:rPr>
                <w:rFonts w:ascii="Arial" w:hAnsi="Arial"/>
                <w:i/>
                <w:color w:val="FFFFFF" w:themeColor="background1"/>
              </w:rPr>
              <w:t xml:space="preserve"> </w:t>
            </w:r>
          </w:p>
        </w:tc>
        <w:tc>
          <w:tcPr>
            <w:tcW w:w="5450" w:type="dxa"/>
          </w:tcPr>
          <w:p w14:paraId="57601827" w14:textId="1C8B87C2" w:rsidR="00950CF7" w:rsidRPr="004C0EBD" w:rsidRDefault="00950CF7" w:rsidP="0075115D">
            <w:pPr>
              <w:pStyle w:val="BodyText1"/>
              <w:numPr>
                <w:ilvl w:val="0"/>
                <w:numId w:val="12"/>
              </w:numPr>
              <w:ind w:left="492" w:hanging="492"/>
              <w:jc w:val="left"/>
            </w:pPr>
            <w:r>
              <w:t xml:space="preserve">koncesija/najam  </w:t>
            </w:r>
          </w:p>
          <w:p w14:paraId="4DC14438" w14:textId="4DABEAEB" w:rsidR="00BC1A03" w:rsidRPr="004C0EBD" w:rsidRDefault="00BC1A03" w:rsidP="0075115D">
            <w:pPr>
              <w:pStyle w:val="BodyText1"/>
              <w:numPr>
                <w:ilvl w:val="0"/>
                <w:numId w:val="12"/>
              </w:numPr>
              <w:ind w:left="492" w:hanging="492"/>
              <w:jc w:val="left"/>
            </w:pPr>
            <w:r>
              <w:t xml:space="preserve">izravna dodjela </w:t>
            </w:r>
          </w:p>
          <w:p w14:paraId="65783D51" w14:textId="7165A80B" w:rsidR="00D113C8" w:rsidRPr="004C0EBD" w:rsidRDefault="00BC1A03" w:rsidP="0075115D">
            <w:pPr>
              <w:pStyle w:val="BodyText1"/>
              <w:numPr>
                <w:ilvl w:val="0"/>
                <w:numId w:val="12"/>
              </w:numPr>
              <w:ind w:left="492" w:hanging="492"/>
              <w:jc w:val="left"/>
            </w:pPr>
            <w:r>
              <w:t>nacionalni ili europski natječaj za podnošenje ponuda</w:t>
            </w:r>
          </w:p>
        </w:tc>
      </w:tr>
      <w:tr w:rsidR="00CC46CB" w:rsidRPr="004C0EBD" w14:paraId="48ED35FA" w14:textId="77777777" w:rsidTr="006F4930">
        <w:trPr>
          <w:trHeight w:val="1243"/>
        </w:trPr>
        <w:tc>
          <w:tcPr>
            <w:tcW w:w="3660" w:type="dxa"/>
          </w:tcPr>
          <w:p w14:paraId="02863A1B" w14:textId="3C85CCF3"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4B73108E">
                      <wp:simplePos x="0" y="0"/>
                      <wp:positionH relativeFrom="column">
                        <wp:posOffset>433859</wp:posOffset>
                      </wp:positionH>
                      <wp:positionV relativeFrom="paragraph">
                        <wp:posOffset>544225</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5E6AF5C0" id="Punthaak 1" o:spid="_x0000_s1026" type="#_x0000_t55" style="position:absolute;margin-left:34.15pt;margin-top:42.85pt;width:77.4pt;height:185.3pt;rotation:9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Pr>
                <w:rFonts w:ascii="Arial" w:hAnsi="Arial"/>
                <w:color w:val="FFFFFF" w:themeColor="background1"/>
              </w:rPr>
              <w:t>4.  dozvole i</w:t>
            </w:r>
            <w:r>
              <w:rPr>
                <w:rFonts w:ascii="Arial" w:hAnsi="Arial"/>
                <w:color w:val="FFFFFF" w:themeColor="background1"/>
              </w:rPr>
              <w:br/>
              <w:t xml:space="preserve">priključak na mrežu </w:t>
            </w:r>
          </w:p>
        </w:tc>
        <w:tc>
          <w:tcPr>
            <w:tcW w:w="5450" w:type="dxa"/>
          </w:tcPr>
          <w:p w14:paraId="5174ABFD" w14:textId="685451D2" w:rsidR="000A54DB" w:rsidRPr="004C0EBD" w:rsidRDefault="000A54DB" w:rsidP="0075115D">
            <w:pPr>
              <w:pStyle w:val="BodyText1"/>
              <w:numPr>
                <w:ilvl w:val="0"/>
                <w:numId w:val="12"/>
              </w:numPr>
              <w:ind w:left="492" w:hanging="492"/>
              <w:jc w:val="left"/>
            </w:pPr>
            <w:r>
              <w:t xml:space="preserve">jesu li potrebne okolišne dozvole </w:t>
            </w:r>
          </w:p>
          <w:p w14:paraId="275DFA18" w14:textId="6574EB53" w:rsidR="00144E8B" w:rsidRPr="004C0EBD" w:rsidRDefault="00144E8B" w:rsidP="0075115D">
            <w:pPr>
              <w:pStyle w:val="BodyText1"/>
              <w:numPr>
                <w:ilvl w:val="0"/>
                <w:numId w:val="12"/>
              </w:numPr>
              <w:ind w:left="492" w:hanging="492"/>
              <w:jc w:val="left"/>
            </w:pPr>
            <w:r>
              <w:t xml:space="preserve">potreba za povećanjem priključka na mrežu </w:t>
            </w:r>
          </w:p>
          <w:p w14:paraId="726FDFE5" w14:textId="7A2773DA" w:rsidR="00681E9B" w:rsidRPr="004C0EBD" w:rsidRDefault="00BC1A03" w:rsidP="0075115D">
            <w:pPr>
              <w:pStyle w:val="BodyText1"/>
              <w:numPr>
                <w:ilvl w:val="0"/>
                <w:numId w:val="12"/>
              </w:numPr>
              <w:ind w:left="492" w:hanging="492"/>
              <w:jc w:val="left"/>
            </w:pPr>
            <w:r>
              <w:t>mjesta za punjenje EMS [sustav upravljanja energijom] ili baterije</w:t>
            </w:r>
          </w:p>
        </w:tc>
      </w:tr>
      <w:tr w:rsidR="00CC46CB" w:rsidRPr="004C0EBD" w14:paraId="228D0CDC" w14:textId="77777777" w:rsidTr="006F4930">
        <w:trPr>
          <w:trHeight w:val="963"/>
        </w:trPr>
        <w:tc>
          <w:tcPr>
            <w:tcW w:w="3660" w:type="dxa"/>
          </w:tcPr>
          <w:p w14:paraId="1C5D8E0D" w14:textId="6C51C3E7"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Pr>
                <w:rFonts w:ascii="Arial" w:hAnsi="Arial"/>
                <w:color w:val="FFFFFF" w:themeColor="background1"/>
              </w:rPr>
              <w:t xml:space="preserve">5. promet, subvencije, financiranje </w:t>
            </w:r>
            <w:r>
              <w:rPr>
                <w:rFonts w:ascii="Arial" w:hAnsi="Arial"/>
                <w:color w:val="FFFFFF" w:themeColor="background1"/>
              </w:rPr>
              <w:br/>
              <w:t>i osiguranja</w:t>
            </w:r>
          </w:p>
        </w:tc>
        <w:tc>
          <w:tcPr>
            <w:tcW w:w="5450" w:type="dxa"/>
          </w:tcPr>
          <w:p w14:paraId="7E016335" w14:textId="251AE1C0" w:rsidR="00CE1B39" w:rsidRPr="004C0EBD" w:rsidRDefault="00F16ACA" w:rsidP="0075115D">
            <w:pPr>
              <w:pStyle w:val="BodyText1"/>
              <w:numPr>
                <w:ilvl w:val="0"/>
                <w:numId w:val="12"/>
              </w:numPr>
              <w:ind w:left="492" w:hanging="492"/>
              <w:jc w:val="left"/>
            </w:pPr>
            <w:r>
              <w:t xml:space="preserve">prodaja električne energije, SDE++ [Program poticaja za održivu proizvodnju energije i klimatsku tranziciju] ili druge subvencije </w:t>
            </w:r>
          </w:p>
          <w:p w14:paraId="1C6D623F" w14:textId="77777777" w:rsidR="005A6695" w:rsidRPr="004C0EBD" w:rsidRDefault="005A6695" w:rsidP="0075115D">
            <w:pPr>
              <w:pStyle w:val="BodyText1"/>
              <w:numPr>
                <w:ilvl w:val="0"/>
                <w:numId w:val="12"/>
              </w:numPr>
              <w:ind w:left="492" w:hanging="492"/>
              <w:jc w:val="left"/>
            </w:pPr>
            <w:r>
              <w:t xml:space="preserve">financiranje (unutarnje + vanjsko) </w:t>
            </w:r>
          </w:p>
          <w:p w14:paraId="65A5BE93" w14:textId="6C515738" w:rsidR="005A6695" w:rsidRPr="004C0EBD" w:rsidRDefault="005A6695" w:rsidP="0075115D">
            <w:pPr>
              <w:pStyle w:val="BodyText1"/>
              <w:numPr>
                <w:ilvl w:val="0"/>
                <w:numId w:val="12"/>
              </w:numPr>
              <w:ind w:left="492" w:hanging="492"/>
              <w:jc w:val="left"/>
            </w:pPr>
            <w:r>
              <w:t>osiguranje</w:t>
            </w:r>
          </w:p>
        </w:tc>
      </w:tr>
      <w:tr w:rsidR="00E87C9F" w:rsidRPr="004C0EBD" w14:paraId="1514DD95" w14:textId="77777777" w:rsidTr="006F4930">
        <w:trPr>
          <w:trHeight w:val="953"/>
        </w:trPr>
        <w:tc>
          <w:tcPr>
            <w:tcW w:w="3660" w:type="dxa"/>
          </w:tcPr>
          <w:p w14:paraId="48DADDE2" w14:textId="4BC23098" w:rsidR="00E87C9F" w:rsidRPr="006F4930" w:rsidRDefault="00D01A67" w:rsidP="00A3595E">
            <w:pPr>
              <w:rPr>
                <w:rFonts w:ascii="Arial" w:hAnsi="Arial" w:cs="Arial"/>
                <w:color w:val="FFFFFF" w:themeColor="background1"/>
              </w:rPr>
            </w:pPr>
            <w:r>
              <w:rPr>
                <w:rFonts w:ascii="Arial" w:hAnsi="Arial"/>
                <w:color w:val="FFFFFF" w:themeColor="background1"/>
              </w:rPr>
              <w:t xml:space="preserve">6. aspekti održivosti </w:t>
            </w:r>
          </w:p>
        </w:tc>
        <w:tc>
          <w:tcPr>
            <w:tcW w:w="5450" w:type="dxa"/>
          </w:tcPr>
          <w:p w14:paraId="2AFC672C" w14:textId="5561B16E" w:rsidR="00B63BBC" w:rsidRPr="004C0EBD" w:rsidRDefault="00FA5774" w:rsidP="0075115D">
            <w:pPr>
              <w:pStyle w:val="BodyText1"/>
              <w:numPr>
                <w:ilvl w:val="0"/>
                <w:numId w:val="12"/>
              </w:numPr>
              <w:ind w:left="492" w:hanging="492"/>
              <w:jc w:val="left"/>
            </w:pPr>
            <w:r>
              <w:t>aspekti održivosti solarnih ploča</w:t>
            </w:r>
          </w:p>
          <w:p w14:paraId="52D6FAC6" w14:textId="77777777" w:rsidR="00F7042B" w:rsidRPr="004C0EBD" w:rsidRDefault="00FA5774" w:rsidP="0075115D">
            <w:pPr>
              <w:pStyle w:val="BodyText1"/>
              <w:numPr>
                <w:ilvl w:val="0"/>
                <w:numId w:val="12"/>
              </w:numPr>
              <w:ind w:left="492" w:hanging="492"/>
              <w:jc w:val="left"/>
            </w:pPr>
            <w:r>
              <w:t xml:space="preserve">pitanja zaštite okoliša </w:t>
            </w:r>
          </w:p>
          <w:p w14:paraId="0F7EF8A0" w14:textId="58E18293" w:rsidR="00C677D9" w:rsidRPr="004C0EBD" w:rsidRDefault="00F7042B" w:rsidP="0075115D">
            <w:pPr>
              <w:pStyle w:val="BodyText1"/>
              <w:numPr>
                <w:ilvl w:val="0"/>
                <w:numId w:val="12"/>
              </w:numPr>
              <w:ind w:left="492" w:hanging="492"/>
              <w:jc w:val="left"/>
            </w:pPr>
            <w:r>
              <w:t xml:space="preserve">radni uvjeti </w:t>
            </w:r>
          </w:p>
        </w:tc>
      </w:tr>
      <w:tr w:rsidR="00CC46CB" w:rsidRPr="004C0EBD" w14:paraId="14ADF7A9" w14:textId="77777777" w:rsidTr="006F4930">
        <w:trPr>
          <w:trHeight w:val="967"/>
        </w:trPr>
        <w:tc>
          <w:tcPr>
            <w:tcW w:w="3660" w:type="dxa"/>
          </w:tcPr>
          <w:p w14:paraId="787572FE" w14:textId="46904F1D" w:rsidR="001D2C89" w:rsidRPr="006F4930" w:rsidRDefault="00C677D9" w:rsidP="00A3595E">
            <w:pPr>
              <w:rPr>
                <w:rFonts w:ascii="Arial" w:hAnsi="Arial" w:cs="Arial"/>
                <w:color w:val="FFFFFF" w:themeColor="background1"/>
              </w:rPr>
            </w:pPr>
            <w:r>
              <w:rPr>
                <w:rFonts w:ascii="Arial" w:hAnsi="Arial"/>
                <w:color w:val="FFFFFF" w:themeColor="background1"/>
              </w:rPr>
              <w:t>7.  provedba i isporuka</w:t>
            </w:r>
          </w:p>
        </w:tc>
        <w:tc>
          <w:tcPr>
            <w:tcW w:w="5450" w:type="dxa"/>
          </w:tcPr>
          <w:p w14:paraId="5C46CEAB" w14:textId="77777777" w:rsidR="00CC46CB" w:rsidRPr="004C0EBD" w:rsidRDefault="004E647C" w:rsidP="0075115D">
            <w:pPr>
              <w:pStyle w:val="BodyText1"/>
              <w:numPr>
                <w:ilvl w:val="0"/>
                <w:numId w:val="12"/>
              </w:numPr>
              <w:ind w:left="492" w:hanging="492"/>
              <w:jc w:val="left"/>
            </w:pPr>
            <w:r>
              <w:t xml:space="preserve">područje primjene SCIOS 12 </w:t>
            </w:r>
          </w:p>
          <w:p w14:paraId="68836B08" w14:textId="61E71DA6" w:rsidR="004E647C" w:rsidRPr="004C0EBD" w:rsidRDefault="004E647C" w:rsidP="0075115D">
            <w:pPr>
              <w:pStyle w:val="BodyText1"/>
              <w:numPr>
                <w:ilvl w:val="0"/>
                <w:numId w:val="12"/>
              </w:numPr>
              <w:ind w:left="492" w:hanging="492"/>
              <w:jc w:val="left"/>
            </w:pPr>
            <w:r>
              <w:t>ostala ispitivanja i inspekcije</w:t>
            </w:r>
          </w:p>
        </w:tc>
      </w:tr>
      <w:tr w:rsidR="00E44898" w:rsidRPr="004C0EBD" w14:paraId="208FFAB7" w14:textId="77777777" w:rsidTr="006F4930">
        <w:trPr>
          <w:trHeight w:val="107"/>
        </w:trPr>
        <w:tc>
          <w:tcPr>
            <w:tcW w:w="3660" w:type="dxa"/>
          </w:tcPr>
          <w:p w14:paraId="25B909AC" w14:textId="73CF0F08" w:rsidR="00E44898" w:rsidRPr="006F4930" w:rsidRDefault="005A4096"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Pr>
                <w:rFonts w:ascii="Arial" w:hAnsi="Arial"/>
                <w:color w:val="FFFFFF" w:themeColor="background1"/>
              </w:rPr>
              <w:t>8. održavanje i praćenje</w:t>
            </w:r>
          </w:p>
        </w:tc>
        <w:tc>
          <w:tcPr>
            <w:tcW w:w="5450" w:type="dxa"/>
          </w:tcPr>
          <w:p w14:paraId="46556BA3" w14:textId="77777777" w:rsidR="00E44898" w:rsidRPr="004C0EBD" w:rsidRDefault="00D01A67" w:rsidP="0075115D">
            <w:pPr>
              <w:pStyle w:val="BodyText1"/>
              <w:numPr>
                <w:ilvl w:val="0"/>
                <w:numId w:val="12"/>
              </w:numPr>
              <w:ind w:left="492" w:hanging="492"/>
              <w:jc w:val="left"/>
            </w:pPr>
            <w:r>
              <w:t>održavanje</w:t>
            </w:r>
          </w:p>
          <w:p w14:paraId="46B4C901" w14:textId="4E85AC8A" w:rsidR="00D01A67" w:rsidRPr="004C0EBD" w:rsidRDefault="00D01A67" w:rsidP="0075115D">
            <w:pPr>
              <w:pStyle w:val="BodyText1"/>
              <w:numPr>
                <w:ilvl w:val="0"/>
                <w:numId w:val="12"/>
              </w:numPr>
              <w:ind w:left="492" w:hanging="492"/>
              <w:jc w:val="left"/>
            </w:pPr>
            <w:r>
              <w:t>praćenje</w:t>
            </w:r>
          </w:p>
        </w:tc>
      </w:tr>
    </w:tbl>
    <w:p w14:paraId="25927F44" w14:textId="77777777" w:rsidR="008D2EA0" w:rsidRPr="004C0EBD" w:rsidRDefault="008D2EA0" w:rsidP="00A3595E">
      <w:pPr>
        <w:pStyle w:val="Heading2"/>
      </w:pPr>
    </w:p>
    <w:p w14:paraId="164855BD" w14:textId="12D8E33E" w:rsidR="00CC46CB" w:rsidRPr="001079C7" w:rsidRDefault="00BC1A03" w:rsidP="00904945">
      <w:pPr>
        <w:pStyle w:val="MH2"/>
      </w:pPr>
      <w:bookmarkStart w:id="60" w:name="_Toc180568532"/>
      <w:r>
        <w:t>Prvi korak: pregled stanja</w:t>
      </w:r>
      <w:bookmarkEnd w:id="60"/>
    </w:p>
    <w:p w14:paraId="1B214EE4" w14:textId="77777777" w:rsidR="00411443" w:rsidRPr="004C0EBD" w:rsidRDefault="00411443" w:rsidP="00A3595E"/>
    <w:p w14:paraId="420861F0" w14:textId="3B0B2D94" w:rsidR="00681E9B" w:rsidRPr="004C0EBD" w:rsidRDefault="00E7122D" w:rsidP="001079C7">
      <w:pPr>
        <w:pStyle w:val="BodyText1"/>
      </w:pPr>
      <w:r>
        <w:t xml:space="preserve">Prvi je korak projekta pregled dostupnih krovova ili zemljišta uključenih u projekt. To možete učiniti (djelomično) sami ili uz pomoć tehničkog savjetnika (pogledajte prvi savjet). Ako je riječ o više lokacija, pregled se često prikazuje u tablici, zajedno s fotografijama i kartama za svaku lokaciju. </w:t>
      </w:r>
    </w:p>
    <w:p w14:paraId="76D4D889" w14:textId="77777777" w:rsidR="00681E9B" w:rsidRPr="004C0EBD" w:rsidRDefault="00681E9B" w:rsidP="00A3595E"/>
    <w:p w14:paraId="5D2BA25A" w14:textId="5C92DB7E" w:rsidR="00114C41" w:rsidRPr="004C0EBD" w:rsidRDefault="00444DFF" w:rsidP="00904945">
      <w:pPr>
        <w:pStyle w:val="MH3"/>
      </w:pPr>
      <w:bookmarkStart w:id="61" w:name="_Toc180568533"/>
      <w:r>
        <w:t>1.1. Općenito</w:t>
      </w:r>
      <w:bookmarkEnd w:id="61"/>
      <w:r>
        <w:t xml:space="preserve"> </w:t>
      </w:r>
    </w:p>
    <w:p w14:paraId="5B6D9F83" w14:textId="77777777" w:rsidR="00114C41" w:rsidRPr="004C0EBD" w:rsidRDefault="00114C41" w:rsidP="0075115D">
      <w:pPr>
        <w:pStyle w:val="BodyText1"/>
        <w:numPr>
          <w:ilvl w:val="0"/>
          <w:numId w:val="13"/>
        </w:numPr>
      </w:pPr>
      <w:r>
        <w:t xml:space="preserve">Adresa </w:t>
      </w:r>
    </w:p>
    <w:p w14:paraId="5DB92B22" w14:textId="7931C678" w:rsidR="00114C41" w:rsidRPr="004C0EBD" w:rsidRDefault="00114C41" w:rsidP="0075115D">
      <w:pPr>
        <w:pStyle w:val="BodyText1"/>
        <w:numPr>
          <w:ilvl w:val="0"/>
          <w:numId w:val="13"/>
        </w:numPr>
      </w:pPr>
      <w:r>
        <w:t>Kratak opis lokacije</w:t>
      </w:r>
    </w:p>
    <w:p w14:paraId="0A07B288" w14:textId="2F3857E4" w:rsidR="00114C41" w:rsidRPr="004C0EBD" w:rsidRDefault="00114C41" w:rsidP="0075115D">
      <w:pPr>
        <w:pStyle w:val="BodyText1"/>
        <w:numPr>
          <w:ilvl w:val="0"/>
          <w:numId w:val="13"/>
        </w:numPr>
      </w:pPr>
      <w:r>
        <w:t xml:space="preserve">Gruba mjerenja fotonaponskog područja (duljina x širina) </w:t>
      </w:r>
    </w:p>
    <w:p w14:paraId="72BD0897" w14:textId="5E125031" w:rsidR="00114C41" w:rsidRPr="001079C7" w:rsidRDefault="00114C41" w:rsidP="0075115D">
      <w:pPr>
        <w:pStyle w:val="BodyText1"/>
        <w:numPr>
          <w:ilvl w:val="0"/>
          <w:numId w:val="13"/>
        </w:numPr>
      </w:pPr>
      <w:r>
        <w:t xml:space="preserve">Mogući datum početka ugradnje i datum završetka, ako je primjenjivo </w:t>
      </w:r>
    </w:p>
    <w:p w14:paraId="3806F316" w14:textId="77777777" w:rsidR="001079C7" w:rsidRPr="004C0EBD" w:rsidRDefault="001079C7" w:rsidP="001079C7">
      <w:pPr>
        <w:pStyle w:val="BodyText1"/>
      </w:pPr>
    </w:p>
    <w:p w14:paraId="7F334611" w14:textId="5E538399" w:rsidR="00E7122D" w:rsidRPr="004C0EBD" w:rsidRDefault="00444DFF" w:rsidP="00904945">
      <w:pPr>
        <w:pStyle w:val="MH3"/>
      </w:pPr>
      <w:bookmarkStart w:id="62" w:name="_Toc180568534"/>
      <w:r>
        <w:t>1.2. Pitanja povezana s električnom energijom</w:t>
      </w:r>
      <w:bookmarkEnd w:id="62"/>
    </w:p>
    <w:p w14:paraId="0E76CFDD" w14:textId="5681F8E5" w:rsidR="003C1054" w:rsidRPr="004C0EBD" w:rsidRDefault="003C1054" w:rsidP="001079C7">
      <w:pPr>
        <w:pStyle w:val="BodyText1"/>
      </w:pPr>
      <w:r>
        <w:t xml:space="preserve">Zabilježite s voditeljem gradilišta / upraviteljem zgrade: </w:t>
      </w:r>
    </w:p>
    <w:p w14:paraId="52AB198E" w14:textId="7D194B9A" w:rsidR="007C4E71" w:rsidRPr="004C0EBD" w:rsidRDefault="007C4E71" w:rsidP="0075115D">
      <w:pPr>
        <w:pStyle w:val="BodyText1"/>
        <w:numPr>
          <w:ilvl w:val="0"/>
          <w:numId w:val="14"/>
        </w:numPr>
      </w:pPr>
      <w:r>
        <w:t>ima li vlastite potrošnje i postoji li priključak na mrežu na toj lokaciji</w:t>
      </w:r>
    </w:p>
    <w:p w14:paraId="26D1DF1B" w14:textId="5B0621F7" w:rsidR="00411443" w:rsidRPr="004C0EBD" w:rsidRDefault="00114C41" w:rsidP="0075115D">
      <w:pPr>
        <w:pStyle w:val="BodyText1"/>
        <w:numPr>
          <w:ilvl w:val="0"/>
          <w:numId w:val="14"/>
        </w:numPr>
      </w:pPr>
      <w:r>
        <w:t>koja je veličina priključka na mrežu na toj lokaciji (na primjer 3 x 80 A)</w:t>
      </w:r>
    </w:p>
    <w:p w14:paraId="2F3D523B" w14:textId="441412C2" w:rsidR="00E7122D" w:rsidRPr="004C0EBD" w:rsidRDefault="003C1054" w:rsidP="0075115D">
      <w:pPr>
        <w:pStyle w:val="BodyText1"/>
        <w:numPr>
          <w:ilvl w:val="0"/>
          <w:numId w:val="14"/>
        </w:numPr>
      </w:pPr>
      <w:r>
        <w:t xml:space="preserve">kolika je vlastita potrošnja električne energije na lokaciji </w:t>
      </w:r>
    </w:p>
    <w:p w14:paraId="3DEE601E" w14:textId="59CB8CD6" w:rsidR="00496B5F" w:rsidRPr="004C0EBD" w:rsidRDefault="007C4E71" w:rsidP="0075115D">
      <w:pPr>
        <w:pStyle w:val="BodyText1"/>
        <w:numPr>
          <w:ilvl w:val="0"/>
          <w:numId w:val="14"/>
        </w:numPr>
      </w:pPr>
      <w:r>
        <w:t>koje su očekivane promjene u potrošnji električne energije</w:t>
      </w:r>
    </w:p>
    <w:p w14:paraId="774CA499" w14:textId="647800FF" w:rsidR="00BC1A03" w:rsidRPr="001079C7" w:rsidRDefault="00BC1A03" w:rsidP="0075115D">
      <w:pPr>
        <w:pStyle w:val="BodyText1"/>
        <w:numPr>
          <w:ilvl w:val="0"/>
          <w:numId w:val="14"/>
        </w:numPr>
      </w:pPr>
      <w:r>
        <w:t>eventualno: jesu li potrebna mjesta za punjenje.</w:t>
      </w:r>
    </w:p>
    <w:p w14:paraId="55F12E43" w14:textId="77777777" w:rsidR="001079C7" w:rsidRPr="004C0EBD" w:rsidRDefault="001079C7" w:rsidP="001079C7">
      <w:pPr>
        <w:pStyle w:val="BodyText1"/>
      </w:pPr>
    </w:p>
    <w:p w14:paraId="379FE481" w14:textId="418BDC35" w:rsidR="007C4E71" w:rsidRPr="004C0EBD" w:rsidRDefault="00444DFF" w:rsidP="00904945">
      <w:pPr>
        <w:pStyle w:val="MH3"/>
      </w:pPr>
      <w:bookmarkStart w:id="63" w:name="_Toc180568535"/>
      <w:r>
        <w:t>1.3. Fotografije i karte</w:t>
      </w:r>
      <w:bookmarkEnd w:id="63"/>
    </w:p>
    <w:p w14:paraId="652FBA37" w14:textId="77777777" w:rsidR="001079C7" w:rsidRPr="00C42EE6" w:rsidRDefault="003C1054" w:rsidP="001079C7">
      <w:pPr>
        <w:pStyle w:val="BodyText1"/>
      </w:pPr>
      <w:r>
        <w:t xml:space="preserve">Pripremite digitalnu datoteku s kartama lokacija, satelitskim slikama i slikama izbliza, uključujući </w:t>
      </w:r>
    </w:p>
    <w:p w14:paraId="513C6494" w14:textId="066ED6B6" w:rsidR="00114C41" w:rsidRPr="004C0EBD" w:rsidRDefault="003C1054" w:rsidP="001079C7">
      <w:pPr>
        <w:pStyle w:val="BodyText1"/>
      </w:pPr>
      <w:r>
        <w:t xml:space="preserve">sve fizičke prepreke. </w:t>
      </w:r>
    </w:p>
    <w:p w14:paraId="54052296" w14:textId="77777777" w:rsidR="00444DFF" w:rsidRPr="004C0EBD" w:rsidRDefault="00444DFF" w:rsidP="00A3595E"/>
    <w:p w14:paraId="1C7C8400" w14:textId="1B33421D" w:rsidR="00411443" w:rsidRPr="004C0EBD" w:rsidRDefault="00444DFF" w:rsidP="00904945">
      <w:pPr>
        <w:pStyle w:val="MH3"/>
      </w:pPr>
      <w:bookmarkStart w:id="64" w:name="_Toc180568536"/>
      <w:r>
        <w:t>1.4. Planiranje</w:t>
      </w:r>
      <w:bookmarkEnd w:id="64"/>
      <w:r>
        <w:t xml:space="preserve"> </w:t>
      </w:r>
    </w:p>
    <w:p w14:paraId="4F82EC2B" w14:textId="7ADC4DEC" w:rsidR="003C1054" w:rsidRPr="004C0EBD" w:rsidRDefault="003C1054" w:rsidP="00A70E7F">
      <w:pPr>
        <w:pStyle w:val="BodyText1"/>
      </w:pPr>
      <w:r>
        <w:t xml:space="preserve">Zabilježite s voditeljem gradilišta / upraviteljem zgrade: </w:t>
      </w:r>
    </w:p>
    <w:p w14:paraId="407FE870" w14:textId="0BB90B32" w:rsidR="00411443" w:rsidRPr="004C0EBD" w:rsidRDefault="003C1054" w:rsidP="0075115D">
      <w:pPr>
        <w:pStyle w:val="BodyText1"/>
        <w:numPr>
          <w:ilvl w:val="0"/>
          <w:numId w:val="15"/>
        </w:numPr>
      </w:pPr>
      <w:r>
        <w:t xml:space="preserve">opsežno održavanje – na primjer zamjena krova </w:t>
      </w:r>
    </w:p>
    <w:p w14:paraId="5A17C2AA" w14:textId="54EF4339" w:rsidR="007C4E71" w:rsidRPr="00A70E7F" w:rsidRDefault="00411443" w:rsidP="0075115D">
      <w:pPr>
        <w:pStyle w:val="BodyText1"/>
        <w:numPr>
          <w:ilvl w:val="0"/>
          <w:numId w:val="15"/>
        </w:numPr>
      </w:pPr>
      <w:r>
        <w:t xml:space="preserve">planove za zemljišta/krovove – planira li se ikakva buduća izgradnja/zahvat. </w:t>
      </w:r>
    </w:p>
    <w:p w14:paraId="0BBD0BB9" w14:textId="77777777" w:rsidR="00A70E7F" w:rsidRPr="004C0EBD" w:rsidRDefault="00A70E7F" w:rsidP="00A70E7F">
      <w:pPr>
        <w:pStyle w:val="BodyText1"/>
      </w:pPr>
    </w:p>
    <w:p w14:paraId="26C0B24E" w14:textId="201CBAB8" w:rsidR="003C1054" w:rsidRPr="004C0EBD" w:rsidRDefault="00444DFF" w:rsidP="00904945">
      <w:pPr>
        <w:pStyle w:val="MH3"/>
      </w:pPr>
      <w:bookmarkStart w:id="65" w:name="_Toc180568537"/>
      <w:r>
        <w:t>1.5. Opterećenje krova</w:t>
      </w:r>
      <w:bookmarkEnd w:id="65"/>
    </w:p>
    <w:p w14:paraId="77E710BB" w14:textId="73038DB9" w:rsidR="00D347ED" w:rsidRPr="004C0EBD" w:rsidRDefault="00444DFF" w:rsidP="00A70E7F">
      <w:pPr>
        <w:pStyle w:val="BodyText1"/>
      </w:pPr>
      <w:r>
        <w:t xml:space="preserve">Dopušteno opterećenje krova važan je parametar za projekte „Zon-op-Dak” [Sunce na krovu]. Oko pola svih krovova u Nizozemskoj </w:t>
      </w:r>
      <w:r>
        <w:rPr>
          <w:i/>
        </w:rPr>
        <w:t>nije</w:t>
      </w:r>
      <w:r>
        <w:t xml:space="preserve"> prikladno za standardni fotonaponski sustav jer je balast koji sprečava otpuhivanje ploča s krova pretežak. </w:t>
      </w:r>
    </w:p>
    <w:p w14:paraId="6EBC3381" w14:textId="1D4D5D99" w:rsidR="00444DFF" w:rsidRPr="004C0EBD" w:rsidRDefault="00D347ED" w:rsidP="00A70E7F">
      <w:pPr>
        <w:pStyle w:val="BodyText1"/>
      </w:pPr>
      <w:r>
        <w:t xml:space="preserve"> </w:t>
      </w:r>
      <w:r>
        <w:br/>
        <w:t>Postoje razna rješenja ako je krov preslab, među ostalim:</w:t>
      </w:r>
    </w:p>
    <w:p w14:paraId="6C09C343" w14:textId="69AD8252" w:rsidR="00444DFF" w:rsidRPr="004C0EBD" w:rsidRDefault="00377C7A" w:rsidP="0075115D">
      <w:pPr>
        <w:pStyle w:val="BodyText1"/>
        <w:numPr>
          <w:ilvl w:val="0"/>
          <w:numId w:val="16"/>
        </w:numPr>
      </w:pPr>
      <w:r>
        <w:t>fotonaponski sustav koji se pričvršćuje na krov pa balast nije potreban</w:t>
      </w:r>
    </w:p>
    <w:p w14:paraId="5FD78EB2" w14:textId="41AD75BC" w:rsidR="00444DFF" w:rsidRPr="004C0EBD" w:rsidRDefault="00D347ED" w:rsidP="0075115D">
      <w:pPr>
        <w:pStyle w:val="BodyText1"/>
        <w:numPr>
          <w:ilvl w:val="0"/>
          <w:numId w:val="16"/>
        </w:numPr>
      </w:pPr>
      <w:r>
        <w:t xml:space="preserve">fleksibilne solarne ploče koje se lijepe na krov </w:t>
      </w:r>
    </w:p>
    <w:p w14:paraId="72237B61" w14:textId="398B99EF" w:rsidR="00BC1A03" w:rsidRPr="004C0EBD" w:rsidRDefault="00D347ED" w:rsidP="0075115D">
      <w:pPr>
        <w:pStyle w:val="BodyText1"/>
        <w:numPr>
          <w:ilvl w:val="0"/>
          <w:numId w:val="16"/>
        </w:numPr>
      </w:pPr>
      <w:r>
        <w:t>posebne lagane solarne ploče (na primjer Solarge) ili posebni sustavi za pričvršćivanje</w:t>
      </w:r>
    </w:p>
    <w:p w14:paraId="6FF6B0D8" w14:textId="10CF4FAB" w:rsidR="00D347ED" w:rsidRPr="004C0EBD" w:rsidRDefault="00D347ED" w:rsidP="0075115D">
      <w:pPr>
        <w:pStyle w:val="BodyText1"/>
        <w:numPr>
          <w:ilvl w:val="0"/>
          <w:numId w:val="16"/>
        </w:numPr>
      </w:pPr>
      <w:r>
        <w:t>jačanje krovne konstrukcije.</w:t>
      </w:r>
    </w:p>
    <w:p w14:paraId="2E50202C" w14:textId="05AFEF77" w:rsidR="00D347ED" w:rsidRPr="004C0EBD" w:rsidRDefault="003C1054" w:rsidP="00A70E7F">
      <w:pPr>
        <w:pStyle w:val="BodyText1"/>
      </w:pPr>
      <w:r>
        <w:lastRenderedPageBreak/>
        <w:t>Dopušteno opterećenje krova može objasniti ili izračunati izvođač ili arhitekt koji je projektirao zgradu/krov, a ako to nije moguće, može ga odrediti neovisni savjetnik za građevinsku fiziku ili građevinski inženjer.</w:t>
      </w:r>
    </w:p>
    <w:p w14:paraId="49824D8B" w14:textId="77777777" w:rsidR="003C3812" w:rsidRPr="004C0EBD" w:rsidRDefault="003C3812" w:rsidP="00D347ED">
      <w:pPr>
        <w:jc w:val="both"/>
      </w:pPr>
    </w:p>
    <w:p w14:paraId="501FEF62" w14:textId="77777777" w:rsidR="00FF7CCF"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Drugi savjet</w:t>
      </w:r>
      <w:r>
        <w:rPr>
          <w:rFonts w:ascii="Arial" w:hAnsi="Arial"/>
          <w:b/>
          <w:color w:val="104D54"/>
        </w:rPr>
        <w:t xml:space="preserve">: vidjeti </w:t>
      </w:r>
      <w:r>
        <w:rPr>
          <w:rFonts w:ascii="Arial" w:hAnsi="Arial"/>
          <w:b/>
          <w:color w:val="104D54"/>
          <w:u w:val="single"/>
        </w:rPr>
        <w:t>Prilog 2.</w:t>
      </w:r>
      <w:r>
        <w:rPr>
          <w:rFonts w:ascii="Arial" w:hAnsi="Arial"/>
          <w:b/>
          <w:color w:val="104D54"/>
        </w:rPr>
        <w:t xml:space="preserve"> za popis neovisnih stručnjaka koji vam mogu pomoći u tome.</w:t>
      </w:r>
      <w:r>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904945">
      <w:pPr>
        <w:pStyle w:val="MH2"/>
        <w:rPr>
          <w:rFonts w:eastAsiaTheme="majorEastAsia"/>
          <w:bCs/>
          <w:color w:val="92D050"/>
          <w:sz w:val="26"/>
          <w:szCs w:val="26"/>
        </w:rPr>
      </w:pPr>
      <w:bookmarkStart w:id="66" w:name="_Toc180568538"/>
      <w:r>
        <w:t>Drugi korak: indikativni inženjering</w:t>
      </w:r>
      <w:bookmarkEnd w:id="66"/>
    </w:p>
    <w:p w14:paraId="08ADCCFC" w14:textId="77777777" w:rsidR="00EF504B" w:rsidRPr="004C0EBD" w:rsidRDefault="00EF504B" w:rsidP="00A3595E"/>
    <w:p w14:paraId="746B00D5" w14:textId="77777777" w:rsidR="00A70E7F" w:rsidRPr="00C42EE6" w:rsidRDefault="00151032" w:rsidP="00A70E7F">
      <w:pPr>
        <w:pStyle w:val="BodyText1"/>
      </w:pPr>
      <w:r>
        <w:t>Ako vaša organizacija ima puno iskustva s fotonaponskim projektima i odgovarajućim softverom, to možete učiniti sami, inače biste trebali angažirati tehničkog savjetnika.</w:t>
      </w:r>
    </w:p>
    <w:p w14:paraId="43DBAA02" w14:textId="480BF3D3" w:rsidR="004C453E" w:rsidRPr="00644DBC" w:rsidRDefault="004C453E" w:rsidP="00A70E7F">
      <w:pPr>
        <w:pStyle w:val="BodyText1"/>
      </w:pPr>
    </w:p>
    <w:p w14:paraId="31ED8F63" w14:textId="7202D20A" w:rsidR="004C453E" w:rsidRPr="004C0EBD" w:rsidRDefault="00151032" w:rsidP="00A70E7F">
      <w:pPr>
        <w:pStyle w:val="BodyText1"/>
      </w:pPr>
      <w:r>
        <w:t xml:space="preserve">U toj fazi određujete okvirne specifikacije fotonaponske instalacije; to je važno kako bi se osigurala jasnija dodjela, čime se izvođačima omogućuje da u kraćem roku dostave precizniju ponudu.  </w:t>
      </w:r>
    </w:p>
    <w:p w14:paraId="46EE7F19" w14:textId="77777777" w:rsidR="004C453E" w:rsidRPr="004C0EBD" w:rsidRDefault="004C453E" w:rsidP="00A3595E"/>
    <w:p w14:paraId="189EACD7" w14:textId="3FAE0B9D" w:rsidR="004C453E" w:rsidRPr="00C42EE6" w:rsidRDefault="00444DFF" w:rsidP="00904945">
      <w:pPr>
        <w:pStyle w:val="MH3"/>
      </w:pPr>
      <w:bookmarkStart w:id="67" w:name="_Toc180568539"/>
      <w:r>
        <w:t>2.1. Određivanje maksimalnog broja solarnih ploča i maksimalne proizvodnje energije</w:t>
      </w:r>
      <w:bookmarkEnd w:id="67"/>
      <w:r>
        <w:t xml:space="preserve"> </w:t>
      </w:r>
    </w:p>
    <w:p w14:paraId="17543A43" w14:textId="0B57A84B" w:rsidR="00DC2765" w:rsidRPr="004C0EBD" w:rsidRDefault="00DC2765" w:rsidP="0075115D">
      <w:pPr>
        <w:pStyle w:val="BodyText1"/>
        <w:numPr>
          <w:ilvl w:val="0"/>
          <w:numId w:val="18"/>
        </w:numPr>
      </w:pPr>
      <w:r>
        <w:t xml:space="preserve">Odredite orijentaciju, istok – zapad, jug ili drugu orijentaciju </w:t>
      </w:r>
      <w:r>
        <w:br/>
        <w:t xml:space="preserve">            solarnih ploča </w:t>
      </w:r>
    </w:p>
    <w:p w14:paraId="7E349BD3" w14:textId="51DF5FBE" w:rsidR="00FC7CC6" w:rsidRPr="004C0EBD" w:rsidRDefault="00BC3C5E" w:rsidP="0075115D">
      <w:pPr>
        <w:pStyle w:val="BodyText1"/>
        <w:numPr>
          <w:ilvl w:val="0"/>
          <w:numId w:val="17"/>
        </w:numPr>
      </w:pPr>
      <w:r>
        <w:t>Okvirni ugovor za solarne ploče po lokaciji</w:t>
      </w:r>
    </w:p>
    <w:p w14:paraId="5F53603B" w14:textId="0E9D80BC" w:rsidR="00A613D4" w:rsidRPr="004C0EBD" w:rsidRDefault="00FC7CC6" w:rsidP="0075115D">
      <w:pPr>
        <w:pStyle w:val="BodyText1"/>
        <w:numPr>
          <w:ilvl w:val="0"/>
          <w:numId w:val="17"/>
        </w:numPr>
      </w:pPr>
      <w:r>
        <w:t xml:space="preserve">Odredite maksimalni broj ploča  </w:t>
      </w:r>
    </w:p>
    <w:p w14:paraId="49135BFD" w14:textId="177FC8D9" w:rsidR="00FC7CC6" w:rsidRPr="004C0EBD" w:rsidRDefault="00FC7CC6" w:rsidP="0075115D">
      <w:pPr>
        <w:pStyle w:val="BodyText1"/>
        <w:numPr>
          <w:ilvl w:val="0"/>
          <w:numId w:val="17"/>
        </w:numPr>
      </w:pPr>
      <w:r>
        <w:t xml:space="preserve">Odredite maksimalnu snagu po lokaciji </w:t>
      </w:r>
    </w:p>
    <w:p w14:paraId="6FAE0A43" w14:textId="6E47CF5D" w:rsidR="00FC7CC6" w:rsidRPr="004C0EBD" w:rsidRDefault="00FC7CC6" w:rsidP="0075115D">
      <w:pPr>
        <w:pStyle w:val="BodyText1"/>
        <w:numPr>
          <w:ilvl w:val="0"/>
          <w:numId w:val="17"/>
        </w:numPr>
      </w:pPr>
      <w:r>
        <w:t xml:space="preserve">Odredite maksimalnu godišnju proizvodnju energije </w:t>
      </w:r>
    </w:p>
    <w:p w14:paraId="7B06B5CA" w14:textId="16B76D1E" w:rsidR="00DC2765" w:rsidRPr="00A70E7F" w:rsidRDefault="00DC2765" w:rsidP="0075115D">
      <w:pPr>
        <w:pStyle w:val="BodyText1"/>
        <w:numPr>
          <w:ilvl w:val="0"/>
          <w:numId w:val="17"/>
        </w:numPr>
      </w:pPr>
      <w:r>
        <w:t>Provjerite je li maksimalna proizvodnja energije prilagođena postojećem priključku</w:t>
      </w:r>
    </w:p>
    <w:p w14:paraId="057FE66C" w14:textId="77777777" w:rsidR="00A70E7F" w:rsidRPr="004C0EBD" w:rsidRDefault="00A70E7F" w:rsidP="00A70E7F">
      <w:pPr>
        <w:pStyle w:val="BodyText1"/>
      </w:pPr>
    </w:p>
    <w:p w14:paraId="3604A7E9" w14:textId="7246DAD6" w:rsidR="00A613D4" w:rsidRPr="004C0EBD" w:rsidRDefault="00444DFF" w:rsidP="00904945">
      <w:pPr>
        <w:pStyle w:val="MH3"/>
      </w:pPr>
      <w:bookmarkStart w:id="68" w:name="_Toc180568540"/>
      <w:r>
        <w:t>2.2. Izrada osnovnih odrednica poslovnog slučaja</w:t>
      </w:r>
      <w:bookmarkEnd w:id="68"/>
    </w:p>
    <w:p w14:paraId="58E4530C" w14:textId="51B989EC" w:rsidR="00A613D4" w:rsidRPr="00A70E7F" w:rsidRDefault="00A613D4" w:rsidP="0075115D">
      <w:pPr>
        <w:pStyle w:val="ListParagraph"/>
        <w:numPr>
          <w:ilvl w:val="0"/>
          <w:numId w:val="19"/>
        </w:numPr>
        <w:rPr>
          <w:rFonts w:ascii="Arial" w:hAnsi="Arial" w:cs="Arial"/>
        </w:rPr>
      </w:pPr>
      <w:r>
        <w:rPr>
          <w:rFonts w:ascii="Arial" w:hAnsi="Arial"/>
        </w:rPr>
        <w:t xml:space="preserve">Okvirno ulaganje za ugradnju fotonaponskog sustava: po vršnoj snazi u vatima (Wp) i ukupnom iznosu u tisućama eura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t xml:space="preserve">Mrežni priključak: prilagoditi ili ne?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Ako se prilagođavate: okvirni vremenski plan mrežnog operatora </w:t>
      </w:r>
    </w:p>
    <w:p w14:paraId="6D3D3E5B" w14:textId="01EC3041" w:rsidR="00DC2765" w:rsidRPr="00A70E7F" w:rsidRDefault="00DC2765" w:rsidP="0075115D">
      <w:pPr>
        <w:pStyle w:val="ListParagraph"/>
        <w:numPr>
          <w:ilvl w:val="0"/>
          <w:numId w:val="19"/>
        </w:numPr>
        <w:rPr>
          <w:rFonts w:ascii="Arial" w:hAnsi="Arial" w:cs="Arial"/>
        </w:rPr>
      </w:pPr>
      <w:r>
        <w:rPr>
          <w:rFonts w:ascii="Arial" w:hAnsi="Arial"/>
        </w:rPr>
        <w:t xml:space="preserve">Proizvodnja: program SDE++ ili neka druga subvencija? </w:t>
      </w:r>
    </w:p>
    <w:p w14:paraId="618E254A" w14:textId="5D01DA4B" w:rsidR="00DC2765" w:rsidRPr="00A70E7F" w:rsidRDefault="00DC2765" w:rsidP="0075115D">
      <w:pPr>
        <w:pStyle w:val="ListParagraph"/>
        <w:numPr>
          <w:ilvl w:val="1"/>
          <w:numId w:val="19"/>
        </w:numPr>
        <w:rPr>
          <w:rFonts w:ascii="Arial" w:hAnsi="Arial" w:cs="Arial"/>
        </w:rPr>
      </w:pPr>
      <w:r>
        <w:rPr>
          <w:rFonts w:ascii="Arial" w:hAnsi="Arial"/>
        </w:rPr>
        <w:t xml:space="preserve">Ako je SDE++: provjerite koliki je najveći kapacitet izmjenične struje koji možete spojiti;  </w:t>
      </w:r>
      <w:r>
        <w:rPr>
          <w:rFonts w:ascii="Arial" w:hAnsi="Arial"/>
        </w:rPr>
        <w:br/>
        <w:t xml:space="preserve">to je obično najviše 50 %, ponekad 70 % kapaciteta istosmjerne struje </w:t>
      </w:r>
    </w:p>
    <w:p w14:paraId="2916E849" w14:textId="3DD43D3B" w:rsidR="00DC2765" w:rsidRPr="00A70E7F" w:rsidRDefault="00DC2765" w:rsidP="0075115D">
      <w:pPr>
        <w:pStyle w:val="ListParagraph"/>
        <w:numPr>
          <w:ilvl w:val="0"/>
          <w:numId w:val="19"/>
        </w:numPr>
        <w:ind w:left="709" w:hanging="709"/>
        <w:rPr>
          <w:rFonts w:ascii="Arial" w:hAnsi="Arial" w:cs="Arial"/>
        </w:rPr>
      </w:pPr>
      <w:r>
        <w:rPr>
          <w:rFonts w:ascii="Arial" w:hAnsi="Arial"/>
        </w:rPr>
        <w:t xml:space="preserve">Proizvodnja: predviđeno smanjenje količine električne energije koja će se kupiti i s time povezana ušteda </w:t>
      </w:r>
    </w:p>
    <w:p w14:paraId="7EDF8A1B" w14:textId="30E2C638" w:rsidR="00DC2765" w:rsidRPr="00A70E7F" w:rsidRDefault="00DC2765" w:rsidP="0075115D">
      <w:pPr>
        <w:pStyle w:val="ListParagraph"/>
        <w:numPr>
          <w:ilvl w:val="0"/>
          <w:numId w:val="19"/>
        </w:numPr>
        <w:rPr>
          <w:rFonts w:ascii="Arial" w:hAnsi="Arial" w:cs="Arial"/>
        </w:rPr>
      </w:pPr>
      <w:r>
        <w:rPr>
          <w:rFonts w:ascii="Arial" w:hAnsi="Arial"/>
        </w:rPr>
        <w:t xml:space="preserve">Proizvodnja: projekcija prihoda od prodaje solarne energije </w:t>
      </w:r>
    </w:p>
    <w:p w14:paraId="3BE7C7B2" w14:textId="45BE5542" w:rsidR="005C7AE9" w:rsidRPr="00A70E7F" w:rsidRDefault="00DC2765" w:rsidP="0075115D">
      <w:pPr>
        <w:pStyle w:val="ListParagraph"/>
        <w:numPr>
          <w:ilvl w:val="1"/>
          <w:numId w:val="19"/>
        </w:numPr>
        <w:rPr>
          <w:rFonts w:ascii="Arial" w:hAnsi="Arial" w:cs="Arial"/>
        </w:rPr>
      </w:pPr>
      <w:r>
        <w:rPr>
          <w:rFonts w:ascii="Arial" w:hAnsi="Arial"/>
        </w:rPr>
        <w:t xml:space="preserve">Eventualno: kako se nositi s negativnim cijenama – sustav za upravljanje energijom </w:t>
      </w:r>
    </w:p>
    <w:p w14:paraId="41F4C0DB" w14:textId="77777777" w:rsidR="00FF7CCF" w:rsidRDefault="00FF7CCF" w:rsidP="00904945">
      <w:pPr>
        <w:pStyle w:val="MH3"/>
      </w:pPr>
    </w:p>
    <w:p w14:paraId="67A1D1C4" w14:textId="77777777" w:rsidR="005C5B6D" w:rsidRDefault="005C5B6D" w:rsidP="00904945">
      <w:pPr>
        <w:pStyle w:val="MH3"/>
      </w:pPr>
    </w:p>
    <w:p w14:paraId="037A170F" w14:textId="77777777" w:rsidR="005C5B6D" w:rsidRDefault="005C5B6D" w:rsidP="00904945">
      <w:pPr>
        <w:pStyle w:val="MH3"/>
      </w:pPr>
    </w:p>
    <w:p w14:paraId="2D83F8BB" w14:textId="77777777" w:rsidR="005C5B6D" w:rsidRDefault="005C5B6D" w:rsidP="00904945">
      <w:pPr>
        <w:pStyle w:val="MH3"/>
      </w:pPr>
    </w:p>
    <w:p w14:paraId="60BF0DC9" w14:textId="4E8E3E31" w:rsidR="00A430E2" w:rsidRPr="004C0EBD" w:rsidRDefault="00444DFF" w:rsidP="00904945">
      <w:pPr>
        <w:pStyle w:val="MH3"/>
      </w:pPr>
      <w:bookmarkStart w:id="69" w:name="_Toc180568541"/>
      <w:r>
        <w:t>2.3. Određivanje okvirne proizvodnje energije, troškova projekta i broja solarnih ploča</w:t>
      </w:r>
      <w:bookmarkEnd w:id="69"/>
      <w:r>
        <w:t xml:space="preserve"> </w:t>
      </w:r>
    </w:p>
    <w:p w14:paraId="61AB905F" w14:textId="419CBC21" w:rsidR="006A4807" w:rsidRPr="004C0EBD" w:rsidRDefault="006A4807" w:rsidP="00FF7CCF">
      <w:pPr>
        <w:pStyle w:val="BodyText1"/>
      </w:pPr>
      <w:r>
        <w:t xml:space="preserve">Često će vam biti potreban određeni broj ponavljanja kako biste utvrdili okvirne specifikacije, djelomično zato što to ovisi o različitim ciljevima i ograničenjima. Okvirne su specifikacije: </w:t>
      </w:r>
    </w:p>
    <w:p w14:paraId="1D5721C3" w14:textId="5E89B471" w:rsidR="006A4807" w:rsidRPr="004C0EBD" w:rsidRDefault="006A4807" w:rsidP="0075115D">
      <w:pPr>
        <w:pStyle w:val="BodyText1"/>
        <w:numPr>
          <w:ilvl w:val="0"/>
          <w:numId w:val="21"/>
        </w:numPr>
      </w:pPr>
      <w:r>
        <w:t xml:space="preserve">ukupni kapacitet solarnih ploča (kapacitet istosmjerne struje) </w:t>
      </w:r>
    </w:p>
    <w:p w14:paraId="4D0A6C41" w14:textId="63DC4491" w:rsidR="006A4807" w:rsidRPr="004C0EBD" w:rsidRDefault="006A4807" w:rsidP="0075115D">
      <w:pPr>
        <w:pStyle w:val="BodyText1"/>
        <w:numPr>
          <w:ilvl w:val="0"/>
          <w:numId w:val="21"/>
        </w:numPr>
      </w:pPr>
      <w:r>
        <w:t xml:space="preserve">kapacitet izmjenične struje invertera </w:t>
      </w:r>
    </w:p>
    <w:p w14:paraId="1F6D6089" w14:textId="143F4FA3" w:rsidR="006A4807" w:rsidRPr="004C0EBD" w:rsidRDefault="006A4807" w:rsidP="0075115D">
      <w:pPr>
        <w:pStyle w:val="BodyText1"/>
        <w:numPr>
          <w:ilvl w:val="0"/>
          <w:numId w:val="21"/>
        </w:numPr>
      </w:pPr>
      <w:r>
        <w:t xml:space="preserve">godišnja proizvodnja električne energije </w:t>
      </w:r>
    </w:p>
    <w:p w14:paraId="59A0CAC4" w14:textId="0718C367" w:rsidR="00950CF7" w:rsidRPr="004C0EBD" w:rsidRDefault="006A4807" w:rsidP="0075115D">
      <w:pPr>
        <w:pStyle w:val="BodyText1"/>
        <w:numPr>
          <w:ilvl w:val="0"/>
          <w:numId w:val="21"/>
        </w:numPr>
      </w:pPr>
      <w:r>
        <w:t>okvirni troškovi projekta (kapacitet istosmjerne struje u Wp x 1 EUR po vatu).</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904945">
      <w:pPr>
        <w:pStyle w:val="MH3"/>
      </w:pPr>
      <w:bookmarkStart w:id="70" w:name="_Toc180568542"/>
      <w:r>
        <w:t>2.4. Nije obvezno</w:t>
      </w:r>
      <w:bookmarkEnd w:id="70"/>
    </w:p>
    <w:p w14:paraId="46F06188" w14:textId="557DB0C6" w:rsidR="00FC7CC6" w:rsidRPr="004C0EBD" w:rsidRDefault="00A430E2" w:rsidP="0075115D">
      <w:pPr>
        <w:pStyle w:val="BodyText1"/>
        <w:numPr>
          <w:ilvl w:val="0"/>
          <w:numId w:val="20"/>
        </w:numPr>
      </w:pPr>
      <w:r>
        <w:t xml:space="preserve">Utvrđivanje faza za lokacije </w:t>
      </w:r>
    </w:p>
    <w:p w14:paraId="61BF59F1" w14:textId="51F37E63" w:rsidR="00BC3C5E" w:rsidRPr="004C0EBD" w:rsidRDefault="00BC3C5E" w:rsidP="0075115D">
      <w:pPr>
        <w:pStyle w:val="BodyText1"/>
        <w:numPr>
          <w:ilvl w:val="0"/>
          <w:numId w:val="20"/>
        </w:numPr>
      </w:pPr>
      <w:r>
        <w:t xml:space="preserve">Eventualno: odabir jednostranih/dvostranih solarnih ploča </w:t>
      </w:r>
    </w:p>
    <w:p w14:paraId="3A9DF611" w14:textId="56AE3FC5" w:rsidR="00B33249" w:rsidRPr="004C0EBD" w:rsidRDefault="00BC3C5E" w:rsidP="0075115D">
      <w:pPr>
        <w:pStyle w:val="BodyText1"/>
        <w:numPr>
          <w:ilvl w:val="0"/>
          <w:numId w:val="20"/>
        </w:numPr>
      </w:pPr>
      <w:r>
        <w:t>Eventualno: za projekte „Sunce na zemlji”/„Sunce na vodi”: sustav za praćenje sunca?</w:t>
      </w:r>
    </w:p>
    <w:p w14:paraId="2C56632E" w14:textId="77777777" w:rsidR="00FF7CCF" w:rsidRDefault="00FF7CCF" w:rsidP="00FF7CCF"/>
    <w:p w14:paraId="53ABF10C" w14:textId="77777777" w:rsidR="00FF7CCF" w:rsidRDefault="00FF7CCF" w:rsidP="00FF7CCF"/>
    <w:p w14:paraId="7DBDB130" w14:textId="77777777" w:rsidR="00FF7CCF" w:rsidRDefault="00FF7CCF" w:rsidP="00904945">
      <w:pPr>
        <w:pStyle w:val="MH2"/>
      </w:pPr>
    </w:p>
    <w:p w14:paraId="44C8B20D" w14:textId="77777777" w:rsidR="00FF7CCF" w:rsidRDefault="00FF7CCF" w:rsidP="00904945">
      <w:pPr>
        <w:pStyle w:val="MH2"/>
      </w:pPr>
    </w:p>
    <w:p w14:paraId="5FE7E779" w14:textId="71437ABE" w:rsidR="00151032" w:rsidRPr="004C0EBD" w:rsidRDefault="00151032" w:rsidP="00904945">
      <w:pPr>
        <w:pStyle w:val="MH2"/>
      </w:pPr>
      <w:bookmarkStart w:id="71" w:name="_Toc180568543"/>
      <w:r>
        <w:t xml:space="preserve">Treći korak: vlasništvo i objava poziva </w:t>
      </w:r>
      <w:r>
        <w:br/>
        <w:t>na dostavu ponuda / nabavu</w:t>
      </w:r>
      <w:bookmarkEnd w:id="71"/>
      <w:r>
        <w:t xml:space="preserve"> </w:t>
      </w:r>
    </w:p>
    <w:p w14:paraId="5EA7FEFF" w14:textId="77777777" w:rsidR="00151032" w:rsidRPr="004C0EBD" w:rsidRDefault="00151032" w:rsidP="00A3595E"/>
    <w:p w14:paraId="62344AE2" w14:textId="33131217" w:rsidR="00FC1525" w:rsidRPr="004C0EBD" w:rsidRDefault="00FC1525" w:rsidP="00FF7CCF">
      <w:pPr>
        <w:pStyle w:val="BodyText1"/>
      </w:pPr>
      <w:r>
        <w:t xml:space="preserve">U prethodna dva koraka općenito su utvrđeni veličina i nacrt projekta. Sada trebate razmisliti o tome želite li vi biti vlasnik fotonaponske instalacije ili iznajmiti krovnu površinu ili zemljište putem ugovora o koncesiji. Zatim se postavlja pitanje kako odabrati dobavljača ili izvođača.  </w:t>
      </w:r>
    </w:p>
    <w:p w14:paraId="68B0E7A7" w14:textId="77777777" w:rsidR="00FC1525" w:rsidRPr="004C0EBD" w:rsidRDefault="00FC1525" w:rsidP="00A3595E"/>
    <w:p w14:paraId="5AFF0A5E" w14:textId="573FB55B" w:rsidR="00502061" w:rsidRPr="004C0EBD" w:rsidRDefault="00444DFF" w:rsidP="00904945">
      <w:pPr>
        <w:pStyle w:val="MH3"/>
      </w:pPr>
      <w:bookmarkStart w:id="72" w:name="_Toc180568544"/>
      <w:r>
        <w:t>3.1. Vlasnik ili najmoprimac?</w:t>
      </w:r>
      <w:bookmarkEnd w:id="72"/>
    </w:p>
    <w:p w14:paraId="08A261E9" w14:textId="5C0D08E1" w:rsidR="009A0DA0" w:rsidRPr="004C0EBD" w:rsidRDefault="00FC1525" w:rsidP="00FF7CCF">
      <w:pPr>
        <w:pStyle w:val="BodyText1"/>
      </w:pPr>
      <w:r>
        <w:t xml:space="preserve">Ako iznajmljujete, dobit ćete određenu cijenu po četvornom metru godišnje. Prednost: uštedjet ćete mnogo vremena.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t xml:space="preserve">Potencijalni nedostaci su da ne možete ostvariti tolike financijske prednosti fotonaponske instalacije kao da ste vlasnik, da imate malo utjecaja na instalaciju i da nećete moći biti fleksibilni. Dakle, ako kasnije želite učiniti nešto drugo s krovom ili zemljištem, možda ćete biti vezani ugovorom s iznajmljivačem/zakupodavcem. </w:t>
      </w:r>
    </w:p>
    <w:p w14:paraId="7B394F21" w14:textId="77777777" w:rsidR="009A0DA0" w:rsidRPr="004C0EBD" w:rsidRDefault="009A0DA0" w:rsidP="00A3595E"/>
    <w:p w14:paraId="4FFBBA84" w14:textId="3AD18753" w:rsidR="00151032" w:rsidRPr="004C0EBD" w:rsidRDefault="00444DFF" w:rsidP="00904945">
      <w:pPr>
        <w:pStyle w:val="MH3"/>
      </w:pPr>
      <w:bookmarkStart w:id="73" w:name="_Toc180568545"/>
      <w:r>
        <w:t>3.2. Za javne organizacije: javna nabava ili izravna dodjela?</w:t>
      </w:r>
      <w:bookmarkEnd w:id="73"/>
    </w:p>
    <w:p w14:paraId="04BE1967" w14:textId="1DDD73B2" w:rsidR="004C4869" w:rsidRPr="004C0EBD" w:rsidRDefault="00770820" w:rsidP="00A3595E">
      <w:r>
        <w:lastRenderedPageBreak/>
        <w:t xml:space="preserve"> Ova se točka ne primjenjuje na poduzeća ili druge privatne organizacije. Privatne organizacije mogu jednostavno zatražiti ponude od više potencijalnih izvođača.  </w:t>
      </w:r>
      <w:r>
        <w:br/>
      </w:r>
    </w:p>
    <w:p w14:paraId="3D90C556" w14:textId="53AC2916" w:rsidR="009A0DA0" w:rsidRPr="005C5B6D" w:rsidRDefault="005C5B6D"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b/>
          <w:bCs/>
        </w:rPr>
        <w:t>U</w:t>
      </w:r>
      <w:r>
        <w:rPr>
          <w:rFonts w:ascii="Arial" w:hAnsi="Arial"/>
        </w:rPr>
        <w:t xml:space="preserve"> svakom slučaju program zahtjeva potreban je i kad tražite standardne ponude. </w:t>
      </w:r>
      <w:r>
        <w:rPr>
          <w:rFonts w:ascii="Arial" w:hAnsi="Arial"/>
          <w:b/>
          <w:color w:val="FFFFFF" w:themeColor="background1"/>
          <w:highlight w:val="darkCyan"/>
        </w:rPr>
        <w:t>„Predložak zahtjeva za nabavu”</w:t>
      </w:r>
      <w:r>
        <w:rPr>
          <w:rFonts w:ascii="Arial" w:hAnsi="Arial"/>
        </w:rPr>
        <w:t xml:space="preserve"> savršeno je prilagođen i za tu svrhu. </w:t>
      </w:r>
    </w:p>
    <w:p w14:paraId="4F157CB7" w14:textId="77777777" w:rsidR="009E09C2" w:rsidRPr="004C0EBD" w:rsidRDefault="009E09C2" w:rsidP="00A3595E"/>
    <w:p w14:paraId="019FF291" w14:textId="0356618C" w:rsidR="00624300" w:rsidRPr="004C0EBD" w:rsidRDefault="009E09C2" w:rsidP="00FF7CCF">
      <w:pPr>
        <w:pStyle w:val="BodyText1"/>
        <w:rPr>
          <w:color w:val="343434"/>
        </w:rPr>
      </w:pPr>
      <w:r>
        <w:t xml:space="preserve">Zakon o javnoj nabavi iz 2012. </w:t>
      </w:r>
      <w:r>
        <w:rPr>
          <w:color w:val="3DC3C6"/>
        </w:rPr>
        <w:t>[</w:t>
      </w:r>
      <w:hyperlink r:id="rId15" w:tooltip="Vanjska poveznica: Zakon o javnoj nabavi (na nizozemskom jeziku) na internetskim stranicama overheid.nl" w:history="1">
        <w:r>
          <w:rPr>
            <w:i/>
            <w:color w:val="3DC3C6"/>
            <w:u w:val="single"/>
          </w:rPr>
          <w:t>Aanbestedingswet 2012</w:t>
        </w:r>
      </w:hyperlink>
      <w:r>
        <w:rPr>
          <w:color w:val="3DC3C6"/>
        </w:rPr>
        <w:t xml:space="preserve">] </w:t>
      </w:r>
      <w:r>
        <w:t>primjenjuje se na javnu nabavu koju provode (polu)javne ustanove u Nizozemskoj.</w:t>
      </w:r>
      <w:r>
        <w:rPr>
          <w:color w:val="343434"/>
        </w:rPr>
        <w:t xml:space="preserve"> Što je veći projekt, to je manje raspoloživih postupaka. Određeni postupci (kao što je izravna dodjela) nisu dopušteni iznad određenog praga.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Pragovi ovise o vrsti projekta: „radovi” ili „isporuka/usluga”.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Vrsta ovisi o tome na što je usmjeren projekt: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isporuka </w:t>
      </w:r>
    </w:p>
    <w:p w14:paraId="3FF0867A" w14:textId="1DB2602C" w:rsidR="00624300" w:rsidRPr="004C0EBD" w:rsidRDefault="00624300" w:rsidP="0075115D">
      <w:pPr>
        <w:pStyle w:val="BodyText1"/>
        <w:numPr>
          <w:ilvl w:val="0"/>
          <w:numId w:val="22"/>
        </w:numPr>
        <w:ind w:left="1418" w:hanging="425"/>
        <w:rPr>
          <w:i/>
          <w:iCs/>
        </w:rPr>
      </w:pPr>
      <w:r>
        <w:t xml:space="preserve">isključivo isporuka solarnih ploča  </w:t>
      </w:r>
    </w:p>
    <w:p w14:paraId="22703909" w14:textId="62056830" w:rsidR="00624300" w:rsidRPr="004C0EBD" w:rsidRDefault="00624300" w:rsidP="0075115D">
      <w:pPr>
        <w:pStyle w:val="BodyText1"/>
        <w:numPr>
          <w:ilvl w:val="0"/>
          <w:numId w:val="22"/>
        </w:numPr>
        <w:ind w:left="1418" w:hanging="425"/>
        <w:rPr>
          <w:i/>
          <w:iCs/>
        </w:rPr>
      </w:pPr>
      <w:r>
        <w:t>samo ugradnja električnog sustava i komponenti na strani istosmjerne struje</w:t>
      </w:r>
    </w:p>
    <w:p w14:paraId="064AD047" w14:textId="337E3F6D" w:rsidR="00624300" w:rsidRPr="004C0EBD" w:rsidRDefault="00624300" w:rsidP="0075115D">
      <w:pPr>
        <w:pStyle w:val="BodyText1"/>
        <w:numPr>
          <w:ilvl w:val="0"/>
          <w:numId w:val="22"/>
        </w:numPr>
        <w:ind w:left="1418" w:hanging="425"/>
        <w:rPr>
          <w:i/>
          <w:iCs/>
        </w:rPr>
      </w:pPr>
      <w:r>
        <w:t xml:space="preserve">samo ugradnja električnog sustava i komponenti na strani izmjenične struje </w:t>
      </w:r>
      <w:r>
        <w:br/>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radovi</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izvođač je u potpunosti odgovoran za provedbu projekta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kombinacija projektiranja, isporuke i radova: -&gt; radovi.</w:t>
      </w:r>
    </w:p>
    <w:p w14:paraId="2754C0BF" w14:textId="77777777" w:rsidR="00770820" w:rsidRPr="004C0EBD" w:rsidRDefault="00624300" w:rsidP="00FF7CCF">
      <w:pPr>
        <w:pStyle w:val="BodyText1"/>
      </w:pPr>
      <w:r>
        <w:t xml:space="preserve">Nadalje, na neke se organizacije primjenjuju drugi, specifični iznosi pragova. </w:t>
      </w:r>
    </w:p>
    <w:p w14:paraId="056740D2" w14:textId="77777777" w:rsidR="00FF7CCF" w:rsidRDefault="00624300" w:rsidP="00FF7CCF">
      <w:pPr>
        <w:pStyle w:val="BodyText1"/>
      </w:pPr>
      <w:r>
        <w:t xml:space="preserve">Stoga bi se stavak u nastavku trebao uzeti samo </w:t>
      </w:r>
      <w:r>
        <w:rPr>
          <w:i/>
        </w:rPr>
        <w:t>indikativno</w:t>
      </w:r>
      <w:r>
        <w:t xml:space="preserve">.  </w:t>
      </w:r>
    </w:p>
    <w:p w14:paraId="1D64FBAF" w14:textId="70FDE1B3" w:rsidR="00770820" w:rsidRPr="004C0EBD" w:rsidRDefault="00770820" w:rsidP="00FF7CCF">
      <w:pPr>
        <w:pStyle w:val="BodyText1"/>
      </w:pPr>
    </w:p>
    <w:p w14:paraId="523E77E2" w14:textId="77777777" w:rsidR="00FF7CCF" w:rsidRDefault="00E24CEC" w:rsidP="00FF7CCF">
      <w:pPr>
        <w:pStyle w:val="BodyText1"/>
      </w:pPr>
      <w:r>
        <w:t xml:space="preserve">Napomena: ti se iznosi odnose na 2023., jer će za 2024. iznosi vjerojatno biti </w:t>
      </w:r>
    </w:p>
    <w:p w14:paraId="59BA22B8" w14:textId="2C1F9501" w:rsidR="00624300" w:rsidRDefault="00E24CEC" w:rsidP="005C5B6D">
      <w:pPr>
        <w:pStyle w:val="BodyText1"/>
      </w:pPr>
      <w:r>
        <w:t xml:space="preserve">nešto viši.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 xml:space="preserve">Jednostavna izravna dodjela: </w:t>
      </w:r>
    </w:p>
    <w:p w14:paraId="574FE2F4" w14:textId="7B1A7DFF" w:rsidR="00624300" w:rsidRPr="00FF7CCF" w:rsidRDefault="00624300" w:rsidP="0075115D">
      <w:pPr>
        <w:pStyle w:val="ListParagraph"/>
        <w:numPr>
          <w:ilvl w:val="1"/>
          <w:numId w:val="6"/>
        </w:numPr>
        <w:rPr>
          <w:rFonts w:ascii="Arial" w:hAnsi="Arial" w:cs="Arial"/>
        </w:rPr>
      </w:pPr>
      <w:r>
        <w:rPr>
          <w:rFonts w:ascii="Arial" w:hAnsi="Arial"/>
        </w:rPr>
        <w:t xml:space="preserve">za </w:t>
      </w:r>
      <w:r>
        <w:rPr>
          <w:rFonts w:ascii="Arial" w:hAnsi="Arial"/>
          <w:i/>
        </w:rPr>
        <w:t>isporuku</w:t>
      </w:r>
      <w:r>
        <w:rPr>
          <w:rFonts w:ascii="Arial" w:hAnsi="Arial"/>
        </w:rPr>
        <w:t xml:space="preserve">: </w:t>
      </w:r>
      <w:r>
        <w:rPr>
          <w:rFonts w:ascii="Arial" w:hAnsi="Arial"/>
        </w:rPr>
        <w:tab/>
        <w:t>&lt; 50 000 EUR</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rPr>
        <w:t xml:space="preserve">za </w:t>
      </w:r>
      <w:r>
        <w:rPr>
          <w:rFonts w:ascii="Arial" w:hAnsi="Arial"/>
          <w:i/>
          <w:iCs/>
        </w:rPr>
        <w:t>radove</w:t>
      </w:r>
      <w:r>
        <w:rPr>
          <w:rFonts w:ascii="Arial" w:hAnsi="Arial"/>
        </w:rPr>
        <w:t xml:space="preserve">: </w:t>
      </w:r>
      <w:r>
        <w:rPr>
          <w:rFonts w:ascii="Arial" w:hAnsi="Arial"/>
        </w:rPr>
        <w:tab/>
        <w:t>&lt; 150 000 EUR.</w:t>
      </w:r>
    </w:p>
    <w:p w14:paraId="2F1F5933" w14:textId="5C9075AE" w:rsidR="00560408" w:rsidRPr="004C0EBD" w:rsidRDefault="00033DC3" w:rsidP="00FF7CCF">
      <w:pPr>
        <w:pStyle w:val="BodyText1"/>
        <w:ind w:left="426"/>
      </w:pPr>
      <w:r>
        <w:t xml:space="preserve">Mali projekti mogu se dodijeliti izravno jednoj strani, na primjer vašem uobičajenom poduzeću za ugradnju ili bilo kojem drugom lokalnom dobavljaču. </w:t>
      </w:r>
    </w:p>
    <w:p w14:paraId="25AC0C47" w14:textId="373E9907" w:rsidR="00624300" w:rsidRPr="004C0EBD" w:rsidRDefault="009E09C2" w:rsidP="00FF7CCF">
      <w:pPr>
        <w:pStyle w:val="BodyText1"/>
        <w:ind w:left="426"/>
      </w:pPr>
      <w:r>
        <w:rPr>
          <w:i/>
          <w:iCs/>
        </w:rPr>
        <w:t>Prednosti:</w:t>
      </w:r>
      <w:r>
        <w:t xml:space="preserve"> kratko vrijeme obrade, mali troškovi postupka, mogući pregovori, fleksibilnost.</w:t>
      </w:r>
      <w:r>
        <w:br/>
      </w:r>
      <w:r>
        <w:rPr>
          <w:i/>
          <w:iCs/>
        </w:rPr>
        <w:t>Nedostatci</w:t>
      </w:r>
      <w:r>
        <w:t>:</w:t>
      </w:r>
      <w:r>
        <w:tab/>
        <w:t xml:space="preserve"> vjerojatno nije najbolji omjer cijene i kvalitete, rizik od sukoba interesa.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Višestruki izravni postupak:</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rPr>
        <w:t xml:space="preserve">za </w:t>
      </w:r>
      <w:r>
        <w:rPr>
          <w:rFonts w:ascii="Arial" w:hAnsi="Arial"/>
          <w:i/>
          <w:iCs/>
        </w:rPr>
        <w:t>isporuku</w:t>
      </w:r>
      <w:r>
        <w:rPr>
          <w:rFonts w:ascii="Arial" w:hAnsi="Arial"/>
        </w:rPr>
        <w:t xml:space="preserve"> decentraliziranim (polu)javnim ustanovama: &lt; 215 000 EUR</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rPr>
        <w:t xml:space="preserve">za </w:t>
      </w:r>
      <w:r>
        <w:rPr>
          <w:rFonts w:ascii="Arial" w:hAnsi="Arial"/>
          <w:i/>
          <w:iCs/>
        </w:rPr>
        <w:t>isporuku</w:t>
      </w:r>
      <w:r>
        <w:rPr>
          <w:rFonts w:ascii="Arial" w:hAnsi="Arial"/>
        </w:rPr>
        <w:t xml:space="preserve"> organizacijama u, među ostalim, vodnom, energetskom ili prometnom sektoru: &lt; 431 000 EUR</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rPr>
        <w:t xml:space="preserve">za </w:t>
      </w:r>
      <w:r>
        <w:rPr>
          <w:rFonts w:ascii="Arial" w:hAnsi="Arial"/>
          <w:i/>
          <w:iCs/>
        </w:rPr>
        <w:t>radove</w:t>
      </w:r>
      <w:r>
        <w:rPr>
          <w:rFonts w:ascii="Arial" w:hAnsi="Arial"/>
        </w:rPr>
        <w:t>: &lt; 1 500 000 EUR.</w:t>
      </w:r>
    </w:p>
    <w:p w14:paraId="41F89E74" w14:textId="46E0540E" w:rsidR="00560408" w:rsidRPr="00FF7CCF" w:rsidRDefault="00624300" w:rsidP="00FF7CCF">
      <w:pPr>
        <w:ind w:left="426"/>
        <w:rPr>
          <w:rFonts w:ascii="Arial" w:hAnsi="Arial" w:cs="Arial"/>
        </w:rPr>
      </w:pPr>
      <w:r>
        <w:rPr>
          <w:rFonts w:ascii="Arial" w:hAnsi="Arial"/>
        </w:rPr>
        <w:t xml:space="preserve">Zatražite ponudu od više dobavljača. Dodjela ugovora „ekonomski najpovoljnijoj ponudi”. </w:t>
      </w:r>
    </w:p>
    <w:p w14:paraId="722B33D7" w14:textId="3BE24D5E" w:rsidR="00560408" w:rsidRPr="00FF7CCF" w:rsidRDefault="00033DC3" w:rsidP="00FF7CCF">
      <w:pPr>
        <w:ind w:left="426"/>
        <w:rPr>
          <w:rFonts w:ascii="Arial" w:hAnsi="Arial" w:cs="Arial"/>
        </w:rPr>
      </w:pPr>
      <w:r>
        <w:rPr>
          <w:rFonts w:ascii="Arial" w:hAnsi="Arial"/>
          <w:i/>
          <w:iCs/>
        </w:rPr>
        <w:t>Prednosti:</w:t>
      </w:r>
      <w:r>
        <w:rPr>
          <w:rFonts w:ascii="Arial" w:hAnsi="Arial"/>
        </w:rPr>
        <w:t xml:space="preserve"> kratko vrijeme obrade, mali troškovi postupka, mogući pregovori, fleksibilnost.   </w:t>
      </w:r>
    </w:p>
    <w:p w14:paraId="13255528" w14:textId="0554B7E5" w:rsidR="00FF7CCF" w:rsidRPr="005C5B6D" w:rsidRDefault="00033DC3" w:rsidP="005C5B6D">
      <w:pPr>
        <w:ind w:left="426"/>
        <w:rPr>
          <w:rFonts w:ascii="Arial" w:hAnsi="Arial" w:cs="Arial"/>
        </w:rPr>
      </w:pPr>
      <w:r>
        <w:rPr>
          <w:rFonts w:ascii="Arial" w:hAnsi="Arial"/>
          <w:i/>
          <w:iCs/>
        </w:rPr>
        <w:t>Nedostatci</w:t>
      </w:r>
      <w:r>
        <w:rPr>
          <w:rFonts w:ascii="Arial" w:hAnsi="Arial"/>
        </w:rPr>
        <w:t xml:space="preserve">: mnogi ponuditelji ne vide poziv, pregovori nisu mogući. </w:t>
      </w:r>
    </w:p>
    <w:p w14:paraId="6F486FC2" w14:textId="1506CA12" w:rsidR="00560408" w:rsidRPr="00FF7CCF" w:rsidRDefault="009E09C2" w:rsidP="0075115D">
      <w:pPr>
        <w:pStyle w:val="ListParagraph"/>
        <w:numPr>
          <w:ilvl w:val="0"/>
          <w:numId w:val="25"/>
        </w:numPr>
        <w:ind w:left="709" w:hanging="283"/>
        <w:rPr>
          <w:rFonts w:ascii="Arial" w:hAnsi="Arial" w:cs="Arial"/>
        </w:rPr>
      </w:pPr>
      <w:r>
        <w:rPr>
          <w:rFonts w:ascii="Arial" w:hAnsi="Arial"/>
          <w:b/>
          <w:bCs/>
          <w:color w:val="3DC3C6"/>
        </w:rPr>
        <w:lastRenderedPageBreak/>
        <w:t>Nacionalni postupak</w:t>
      </w:r>
      <w:r>
        <w:rPr>
          <w:rFonts w:ascii="Arial" w:hAnsi="Arial"/>
          <w:color w:val="3DC3C6"/>
        </w:rPr>
        <w:t xml:space="preserve">: </w:t>
      </w:r>
      <w:r>
        <w:rPr>
          <w:rFonts w:ascii="Arial" w:hAnsi="Arial"/>
        </w:rPr>
        <w:t>s krugom odabira ili bez njega:</w:t>
      </w:r>
    </w:p>
    <w:p w14:paraId="4B7F6BC3" w14:textId="2F9CEEB4" w:rsidR="00560408" w:rsidRPr="004C0EBD" w:rsidRDefault="00560408" w:rsidP="0075115D">
      <w:pPr>
        <w:pStyle w:val="BodyText1"/>
        <w:numPr>
          <w:ilvl w:val="0"/>
          <w:numId w:val="26"/>
        </w:numPr>
        <w:ind w:left="1134" w:firstLine="0"/>
      </w:pPr>
      <w:r>
        <w:t xml:space="preserve">za </w:t>
      </w:r>
      <w:r>
        <w:rPr>
          <w:i/>
          <w:iCs/>
        </w:rPr>
        <w:t>isporuku</w:t>
      </w:r>
      <w:r>
        <w:t xml:space="preserve"> decentraliziranim (polu)javnim tijelima: &lt; 215 000 EUR</w:t>
      </w:r>
    </w:p>
    <w:p w14:paraId="1E677ECC" w14:textId="327E482F" w:rsidR="00560408" w:rsidRPr="004C0EBD" w:rsidRDefault="00560408" w:rsidP="0075115D">
      <w:pPr>
        <w:pStyle w:val="BodyText1"/>
        <w:numPr>
          <w:ilvl w:val="0"/>
          <w:numId w:val="26"/>
        </w:numPr>
        <w:ind w:left="1418" w:hanging="284"/>
      </w:pPr>
      <w:r>
        <w:t xml:space="preserve">za </w:t>
      </w:r>
      <w:r>
        <w:rPr>
          <w:i/>
          <w:iCs/>
        </w:rPr>
        <w:t>isporuku</w:t>
      </w:r>
      <w:r>
        <w:t xml:space="preserve"> organizacijama u, među ostalim, vodnom, energetskom ili prometnom sektoru: &lt; 431 000 EUR</w:t>
      </w:r>
    </w:p>
    <w:p w14:paraId="309D7CF0" w14:textId="31A3EFEB" w:rsidR="00560408" w:rsidRPr="004C0EBD" w:rsidRDefault="00560408" w:rsidP="0075115D">
      <w:pPr>
        <w:pStyle w:val="BodyText1"/>
        <w:numPr>
          <w:ilvl w:val="0"/>
          <w:numId w:val="26"/>
        </w:numPr>
        <w:ind w:left="1134" w:firstLine="0"/>
      </w:pPr>
      <w:r>
        <w:t xml:space="preserve">za </w:t>
      </w:r>
      <w:r>
        <w:rPr>
          <w:i/>
          <w:iCs/>
        </w:rPr>
        <w:t>radove</w:t>
      </w:r>
      <w:r>
        <w:t>: &lt; 5 382 000 EUR.</w:t>
      </w:r>
    </w:p>
    <w:p w14:paraId="78D6BC75" w14:textId="16162A04" w:rsidR="009E09C2" w:rsidRPr="004C0EBD" w:rsidRDefault="00033DC3" w:rsidP="00FF7CCF">
      <w:pPr>
        <w:pStyle w:val="BodyText1"/>
        <w:ind w:left="426"/>
      </w:pPr>
      <w:r>
        <w:t xml:space="preserve">Obavijest o nadmetanju objavljuje se na </w:t>
      </w:r>
      <w:hyperlink r:id="rId16" w:tooltip="Vanjska poveznica: tenderned.nl" w:history="1">
        <w:r>
          <w:rPr>
            <w:color w:val="D52B1E"/>
            <w:u w:val="single"/>
          </w:rPr>
          <w:t>TenderNed</w:t>
        </w:r>
      </w:hyperlink>
      <w:r>
        <w:t xml:space="preserve"> i možda u stručnim časopisima ili novinama. Pri primjeni kruga odabira često se poziva pet dobavljača da dostave ponudu.  </w:t>
      </w:r>
      <w:r>
        <w:br/>
      </w:r>
      <w:r>
        <w:rPr>
          <w:i/>
          <w:iCs/>
        </w:rPr>
        <w:t>Prednosti:</w:t>
      </w:r>
      <w:r>
        <w:t xml:space="preserve"> visoka razina tržišnog natjecanja, omjer cijene i kvalitete u skladu s tržištem, objektivnost, transparentnost.</w:t>
      </w:r>
      <w:r>
        <w:br/>
      </w:r>
      <w:r>
        <w:rPr>
          <w:i/>
          <w:iCs/>
        </w:rPr>
        <w:t>Nedostatci</w:t>
      </w:r>
      <w:r>
        <w:t xml:space="preserve">: dugo vrijeme obrade, znatni troškovi postupka, slaba fleksibilnost.    </w:t>
      </w:r>
      <w:r>
        <w:br/>
      </w:r>
    </w:p>
    <w:p w14:paraId="43613B37" w14:textId="77777777" w:rsidR="00560408" w:rsidRPr="005C5B6D" w:rsidRDefault="009E09C2" w:rsidP="0075115D">
      <w:pPr>
        <w:pStyle w:val="ListParagraph"/>
        <w:numPr>
          <w:ilvl w:val="0"/>
          <w:numId w:val="27"/>
        </w:numPr>
        <w:rPr>
          <w:rFonts w:ascii="Arial" w:hAnsi="Arial" w:cs="Arial"/>
        </w:rPr>
      </w:pPr>
      <w:r>
        <w:rPr>
          <w:rFonts w:ascii="Arial" w:hAnsi="Arial"/>
          <w:b/>
          <w:color w:val="3DC3C6"/>
        </w:rPr>
        <w:t>Europski poziv na dostavu ponuda</w:t>
      </w:r>
      <w:r>
        <w:rPr>
          <w:rFonts w:ascii="Arial" w:hAnsi="Arial"/>
          <w:color w:val="3DC3C6"/>
        </w:rPr>
        <w:t xml:space="preserve">: </w:t>
      </w:r>
      <w:r>
        <w:rPr>
          <w:rFonts w:ascii="Arial" w:hAnsi="Arial"/>
        </w:rPr>
        <w:t xml:space="preserve">s krugom odabira ili bez njega.  </w:t>
      </w:r>
    </w:p>
    <w:p w14:paraId="757143C4" w14:textId="77777777" w:rsidR="005C5B6D" w:rsidRDefault="00033DC3" w:rsidP="005C5B6D">
      <w:pPr>
        <w:pStyle w:val="BodyText1"/>
        <w:ind w:left="426"/>
      </w:pPr>
      <w:r>
        <w:t xml:space="preserve">Obavijest se objavljuje na TenderNed. Ako se primjenjuje krug odabira, često se pet dobavljača poziva da dostave ponudu. </w:t>
      </w:r>
    </w:p>
    <w:p w14:paraId="4143539F" w14:textId="4E9EFE66" w:rsidR="00033DC3" w:rsidRPr="004C0EBD" w:rsidRDefault="00033DC3" w:rsidP="005C5B6D">
      <w:pPr>
        <w:pStyle w:val="BodyText1"/>
        <w:ind w:left="426"/>
      </w:pPr>
      <w:r>
        <w:t xml:space="preserve"> </w:t>
      </w:r>
      <w:r>
        <w:rPr>
          <w:i/>
          <w:iCs/>
        </w:rPr>
        <w:t>Prednosti:</w:t>
      </w:r>
      <w:r>
        <w:t xml:space="preserve"> cijelo tržište može podnijeti ponudu, veliki konkurentski pritisak, objektivnost, transparentnost. </w:t>
      </w:r>
    </w:p>
    <w:p w14:paraId="09E05DD5" w14:textId="57DCC175" w:rsidR="009E09C2" w:rsidRDefault="00033DC3" w:rsidP="005C5B6D">
      <w:pPr>
        <w:pStyle w:val="BodyText1"/>
        <w:ind w:left="426"/>
      </w:pPr>
      <w:r>
        <w:rPr>
          <w:i/>
        </w:rPr>
        <w:t>Nedostatci:</w:t>
      </w:r>
      <w:r>
        <w:t xml:space="preserve"> dugotrajan postupak, veliki troškovi postupka ako ima puno prijava, nisu mogući pregovori, slaba fleksibilnost.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t xml:space="preserve">Za više informacija o iznosima nacionalnih pragova: </w:t>
      </w:r>
      <w:hyperlink r:id="rId17" w:history="1">
        <w:r>
          <w:rPr>
            <w:rStyle w:val="Hyperlink"/>
            <w:color w:val="3DC3C6"/>
          </w:rPr>
          <w:t>https://www.pianoo.nl/nl/inkoopproces/aanbestedingsprocedures/nationale-procedures/circulaire-grensbedragen-rijksoverheid</w:t>
        </w:r>
      </w:hyperlink>
    </w:p>
    <w:p w14:paraId="1FB54116" w14:textId="6FC9952D" w:rsidR="009E09C2" w:rsidRPr="004C0EBD" w:rsidRDefault="00560408" w:rsidP="005C5B6D">
      <w:pPr>
        <w:pStyle w:val="BodyText1"/>
        <w:jc w:val="left"/>
        <w:rPr>
          <w:sz w:val="18"/>
          <w:szCs w:val="18"/>
        </w:rPr>
      </w:pPr>
      <w:r>
        <w:t xml:space="preserve">Za više informacija o iznosima europskih pragova:  </w:t>
      </w:r>
      <w:r>
        <w:br/>
      </w:r>
      <w:hyperlink r:id="rId18" w:history="1">
        <w:r>
          <w:rPr>
            <w:rStyle w:val="Hyperlink"/>
            <w:color w:val="3DC3C6"/>
          </w:rPr>
          <w:t>https://www.pianoo.nl/nl/regelgeving/drempelbedragen-europees-aanbesteden</w:t>
        </w:r>
      </w:hyperlink>
    </w:p>
    <w:p w14:paraId="1AED8077" w14:textId="43C435F7" w:rsidR="009A0DA0" w:rsidRPr="004C0EBD" w:rsidRDefault="000F1F6F" w:rsidP="00A3595E">
      <w:r>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Pr>
          <w:rFonts w:ascii="Arial" w:hAnsi="Arial"/>
          <w:b/>
          <w:color w:val="FFFFFF" w:themeColor="background1"/>
          <w:highlight w:val="darkCyan"/>
        </w:rPr>
        <w:t>Treći savjet</w:t>
      </w:r>
      <w:r>
        <w:rPr>
          <w:rFonts w:ascii="Arial" w:hAnsi="Arial"/>
          <w:color w:val="70AD47" w:themeColor="accent6"/>
        </w:rPr>
        <w:t xml:space="preserve">: </w:t>
      </w:r>
      <w:r>
        <w:rPr>
          <w:rFonts w:ascii="Arial" w:hAnsi="Arial"/>
        </w:rPr>
        <w:t xml:space="preserve">za veće projekte, &gt; 2 MWp, </w:t>
      </w:r>
      <w:r>
        <w:rPr>
          <w:rFonts w:ascii="Arial" w:hAnsi="Arial"/>
          <w:b/>
          <w:color w:val="104D54"/>
        </w:rPr>
        <w:t>Prilog 3</w:t>
      </w:r>
      <w:r>
        <w:rPr>
          <w:rFonts w:ascii="Arial" w:hAnsi="Arial"/>
        </w:rPr>
        <w:t>. sadržava popis</w:t>
      </w:r>
      <w:r w:rsidRPr="005C5B6D">
        <w:rPr>
          <w:rStyle w:val="FootnoteReference"/>
          <w:rFonts w:ascii="Arial" w:hAnsi="Arial" w:cs="Arial"/>
        </w:rPr>
        <w:footnoteReference w:id="1"/>
      </w:r>
      <w:r>
        <w:rPr>
          <w:rFonts w:ascii="Arial" w:hAnsi="Arial"/>
        </w:rPr>
        <w:t xml:space="preserve"> poduzeća za ugradnju, nositelja projekata i EPC-ova [</w:t>
      </w:r>
      <w:r>
        <w:rPr>
          <w:rFonts w:ascii="Arial" w:hAnsi="Arial"/>
          <w:i/>
        </w:rPr>
        <w:t>Energieprestatiecontracten</w:t>
      </w:r>
      <w:r>
        <w:rPr>
          <w:rFonts w:ascii="Arial" w:hAnsi="Arial"/>
        </w:rPr>
        <w:t xml:space="preserve"> – ugovori o energetskom učinku] tj. društava za inženjering, nabavu i izgradnju s iskustvom u većim projektima u Nizozemskoj.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115EAFA8" w14:textId="77777777" w:rsidR="005C5B6D" w:rsidRDefault="005C5B6D" w:rsidP="005C5B6D">
      <w:pPr>
        <w:ind w:left="851"/>
        <w:rPr>
          <w:rFonts w:ascii="Arial" w:eastAsiaTheme="majorEastAsia" w:hAnsi="Arial" w:cs="Arial"/>
          <w:color w:val="92D050"/>
          <w:sz w:val="32"/>
          <w:szCs w:val="32"/>
        </w:rPr>
      </w:pPr>
    </w:p>
    <w:p w14:paraId="487C4BCC" w14:textId="77777777" w:rsidR="005C5B6D" w:rsidRDefault="005C5B6D" w:rsidP="005C5B6D">
      <w:pPr>
        <w:ind w:left="851"/>
        <w:rPr>
          <w:rFonts w:ascii="Arial" w:eastAsiaTheme="majorEastAsia" w:hAnsi="Arial" w:cs="Arial"/>
          <w:color w:val="92D050"/>
          <w:sz w:val="32"/>
          <w:szCs w:val="32"/>
        </w:rPr>
      </w:pPr>
    </w:p>
    <w:p w14:paraId="38677CE4" w14:textId="77777777" w:rsidR="005C5B6D" w:rsidRPr="005C5B6D" w:rsidRDefault="005C5B6D" w:rsidP="005C5B6D">
      <w:pPr>
        <w:ind w:left="851"/>
        <w:rPr>
          <w:rFonts w:ascii="Arial" w:eastAsiaTheme="majorEastAsia" w:hAnsi="Arial" w:cs="Arial"/>
          <w:color w:val="92D050"/>
          <w:sz w:val="32"/>
          <w:szCs w:val="32"/>
        </w:rPr>
      </w:pPr>
    </w:p>
    <w:p w14:paraId="0F9139DA" w14:textId="55EA2FB1" w:rsidR="00FA7BE8" w:rsidRPr="004C0EBD" w:rsidRDefault="00C71DF9" w:rsidP="00904945">
      <w:pPr>
        <w:pStyle w:val="MH2"/>
      </w:pPr>
      <w:bookmarkStart w:id="74" w:name="_Toc180568546"/>
      <w:r>
        <w:t>Četvrti korak: dozvole i priključenje na mrežu</w:t>
      </w:r>
      <w:bookmarkEnd w:id="74"/>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U tom će se koraku usredotočiti na okolišne i građevinske dozvole te razmotriti neke mogućnosti za priključenje na mrežu.</w:t>
      </w:r>
    </w:p>
    <w:p w14:paraId="51CE28AD" w14:textId="77777777" w:rsidR="00BA688B" w:rsidRPr="004C0EBD" w:rsidRDefault="00BA688B" w:rsidP="00A3595E"/>
    <w:p w14:paraId="3536D660" w14:textId="690EBEDC" w:rsidR="00B54C59" w:rsidRPr="004C0EBD" w:rsidRDefault="00444DFF" w:rsidP="00904945">
      <w:pPr>
        <w:pStyle w:val="MH3"/>
      </w:pPr>
      <w:bookmarkStart w:id="75" w:name="_Toc180568547"/>
      <w:r>
        <w:t>4.1. Dozvole</w:t>
      </w:r>
      <w:bookmarkEnd w:id="75"/>
    </w:p>
    <w:p w14:paraId="3795DE65" w14:textId="4B9F62D4" w:rsidR="006171C0" w:rsidRPr="004C0EBD" w:rsidRDefault="00E97EDE" w:rsidP="005C5B6D">
      <w:pPr>
        <w:pStyle w:val="BodyText1"/>
      </w:pPr>
      <w:r>
        <w:t xml:space="preserve">Mnogi projekti kasne jer se zahtjevi za okolišne dozvole ne podnose (na vrijeme).  </w:t>
      </w:r>
      <w:r>
        <w:br/>
        <w:t xml:space="preserve">Zato je najbolje podnijeti zahtjev za potrebne dozvole u što je moguće ranijoj fazi postupka.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To može dovesti do dodatnih zahtjeva: </w:t>
      </w:r>
    </w:p>
    <w:p w14:paraId="038A1C40" w14:textId="77777777" w:rsidR="005C5B6D" w:rsidRDefault="00B54C59" w:rsidP="0075115D">
      <w:pPr>
        <w:pStyle w:val="BodyText1"/>
        <w:numPr>
          <w:ilvl w:val="0"/>
          <w:numId w:val="28"/>
        </w:numPr>
      </w:pPr>
      <w:r>
        <w:t xml:space="preserve">Za projekte </w:t>
      </w:r>
      <w:r>
        <w:rPr>
          <w:b/>
          <w:i/>
          <w:color w:val="3DC3C6"/>
        </w:rPr>
        <w:t>Sunce na krovu</w:t>
      </w:r>
      <w:r>
        <w:t xml:space="preserve"> okolišne dozvole </w:t>
      </w:r>
      <w:r>
        <w:rPr>
          <w:i/>
        </w:rPr>
        <w:t xml:space="preserve">obično nisu </w:t>
      </w:r>
      <w:r>
        <w:t xml:space="preserve">potrebne.  </w:t>
      </w:r>
      <w:r>
        <w:br/>
        <w:t>Međutim, za navedene zgrade potrebna je dozvola.</w:t>
      </w:r>
    </w:p>
    <w:p w14:paraId="77B5D442" w14:textId="74EE968A" w:rsidR="00B54C59" w:rsidRPr="004C0EBD" w:rsidRDefault="00B54C59" w:rsidP="005C5B6D">
      <w:pPr>
        <w:pStyle w:val="BodyText1"/>
        <w:ind w:left="360"/>
      </w:pPr>
      <w:r>
        <w:t xml:space="preserve">   </w:t>
      </w: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rPr>
        <w:t xml:space="preserve">Za projekte </w:t>
      </w:r>
      <w:r>
        <w:rPr>
          <w:rFonts w:ascii="Arial" w:hAnsi="Arial"/>
          <w:b/>
          <w:i/>
          <w:color w:val="3DC3C6"/>
        </w:rPr>
        <w:t>Sunce na zemlji</w:t>
      </w:r>
      <w:r>
        <w:rPr>
          <w:rFonts w:ascii="Arial" w:hAnsi="Arial"/>
        </w:rPr>
        <w:t>, mogu biti potrebne sljedeće dozvole i istraživanja:</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plan prostornog uređenja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građevinska dozvola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okolišna dozvola </w:t>
      </w:r>
    </w:p>
    <w:p w14:paraId="78DB8FD0" w14:textId="77777777" w:rsidR="008A22BE" w:rsidRPr="005C5B6D" w:rsidRDefault="008A22BE" w:rsidP="0075115D">
      <w:pPr>
        <w:pStyle w:val="ListParagraph"/>
        <w:numPr>
          <w:ilvl w:val="1"/>
          <w:numId w:val="2"/>
        </w:numPr>
        <w:rPr>
          <w:rFonts w:ascii="Arial" w:hAnsi="Arial" w:cs="Arial"/>
        </w:rPr>
      </w:pPr>
      <w:r>
        <w:rPr>
          <w:rFonts w:ascii="Arial" w:hAnsi="Arial"/>
        </w:rPr>
        <w:t>pitanja zaštite okoliša / istraživanje rijetkih vrsta životinja</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arheološko istraživanje </w:t>
      </w:r>
    </w:p>
    <w:p w14:paraId="01E78BF9" w14:textId="10ED3E5F" w:rsidR="008A22BE" w:rsidRPr="005C5B6D" w:rsidRDefault="005E3DD0" w:rsidP="0075115D">
      <w:pPr>
        <w:pStyle w:val="ListParagraph"/>
        <w:numPr>
          <w:ilvl w:val="1"/>
          <w:numId w:val="30"/>
        </w:numPr>
        <w:rPr>
          <w:rFonts w:ascii="Arial" w:hAnsi="Arial" w:cs="Arial"/>
        </w:rPr>
      </w:pPr>
      <w:r>
        <w:rPr>
          <w:rFonts w:ascii="Arial" w:hAnsi="Arial"/>
        </w:rPr>
        <w:t>istraživanje napuštenih eksplozivnih sredstava.</w:t>
      </w:r>
      <w:r>
        <w:t xml:space="preserve">  </w:t>
      </w:r>
      <w:r>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 xml:space="preserve">Za projekte </w:t>
      </w:r>
      <w:r>
        <w:rPr>
          <w:rFonts w:ascii="Arial" w:hAnsi="Arial"/>
          <w:b/>
          <w:i/>
          <w:color w:val="3DC3C6"/>
        </w:rPr>
        <w:t>Sunce na vodi</w:t>
      </w:r>
      <w:r>
        <w:rPr>
          <w:rFonts w:ascii="Arial" w:hAnsi="Arial"/>
        </w:rPr>
        <w:t xml:space="preserve">, potrebne su različite dozvole: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okolišna dozvola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plan prostornog uređenja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građevinska dozvola. </w:t>
      </w:r>
    </w:p>
    <w:p w14:paraId="4DB90B34" w14:textId="77777777" w:rsidR="005C5B6D" w:rsidRDefault="005C5B6D" w:rsidP="005C5B6D">
      <w:pPr>
        <w:pStyle w:val="BodyText1"/>
      </w:pPr>
    </w:p>
    <w:p w14:paraId="58500807" w14:textId="3BCD4ABD" w:rsidR="005C5B6D" w:rsidRPr="005C5B6D" w:rsidRDefault="00E97EDE" w:rsidP="005C5B6D">
      <w:pPr>
        <w:pStyle w:val="BodyText1"/>
      </w:pPr>
      <w:r>
        <w:t xml:space="preserve">Za projekte Sunce na vodi imajte na umu sljedeće: fotonaponski projekti nisu dopušteni za određene vrste vodenih područja zbog osjetljivih ili rijetkih vrsta. Takva područja uključuju ribnjake, močvare, izvore i močvarna jezera.  </w:t>
      </w:r>
    </w:p>
    <w:p w14:paraId="7F426014" w14:textId="268BB29D" w:rsidR="00E611E7" w:rsidRPr="005C5B6D" w:rsidRDefault="00E97EDE" w:rsidP="005C5B6D">
      <w:pPr>
        <w:pStyle w:val="BodyText1"/>
      </w:pPr>
      <w:r>
        <w:br/>
        <w:t>Stoga je važno da se prvo posavjetujte s vodnogospodarskim tijelom. Vodnogospodarsko tijelo često će postaviti zahtjeve za konkretni projekt „Sunce na vodi”</w:t>
      </w:r>
      <w:r w:rsidRPr="005C5B6D">
        <w:rPr>
          <w:rStyle w:val="FootnoteReference"/>
          <w:vertAlign w:val="baseline"/>
        </w:rPr>
        <w:footnoteReference w:id="2"/>
      </w:r>
      <w:r>
        <w:t xml:space="preserve">. Osim toga, trebali biste ujedno uzeti u obzir da je „Sunce na vodi” još uvijek relativno nova tehnologija. Postoji mnogo različitih sustava i materijala, ali još uvijek ne postoje pouzdani standardi ili standardizirani testovi za plutače i instalacijske sustave. Čak i na kopnenim vodama postoji rizik da zbog vjetra i valova sustavi neće trajati dulje od 10 ili 15 godina. </w:t>
      </w:r>
    </w:p>
    <w:p w14:paraId="6360BEE7" w14:textId="77777777" w:rsidR="005C5B6D" w:rsidRPr="004C0EBD" w:rsidRDefault="005C5B6D" w:rsidP="005C5B6D">
      <w:pPr>
        <w:pStyle w:val="BodyText1"/>
      </w:pPr>
    </w:p>
    <w:p w14:paraId="5E7E5410" w14:textId="53E4B5B3" w:rsidR="00B54C59" w:rsidRPr="004C0EBD" w:rsidRDefault="00444DFF" w:rsidP="00904945">
      <w:pPr>
        <w:pStyle w:val="MH3"/>
      </w:pPr>
      <w:bookmarkStart w:id="76" w:name="_Toc180568548"/>
      <w:r>
        <w:t>4.2. Priključak na mrežu: mogućnosti i razmatranja</w:t>
      </w:r>
      <w:bookmarkEnd w:id="76"/>
    </w:p>
    <w:p w14:paraId="7DF4F35F" w14:textId="13A80543" w:rsidR="005C7AE9" w:rsidRPr="004C0EBD" w:rsidRDefault="0029163B" w:rsidP="00B848B1">
      <w:pPr>
        <w:pStyle w:val="BodyText1"/>
      </w:pPr>
      <w:r>
        <w:lastRenderedPageBreak/>
        <w:t xml:space="preserve">Mogućnosti spajanja na mrežu ovise o broju solarnih ploča koje odaberete. Ponekad je dobro ugraditi manje od maksimalnog broja ploča koji bi se mogao ugraditi kako bi se ostalo unutar postojećeg priključka na mrežu. </w:t>
      </w:r>
    </w:p>
    <w:p w14:paraId="13DAA618" w14:textId="77777777" w:rsidR="005C7AE9" w:rsidRPr="004C0EBD" w:rsidRDefault="005C7AE9" w:rsidP="00A3595E"/>
    <w:p w14:paraId="6355BFC0" w14:textId="17B38072" w:rsidR="00A111F9" w:rsidRPr="004C0EBD" w:rsidRDefault="00A111F9" w:rsidP="00B848B1">
      <w:pPr>
        <w:pStyle w:val="BodyText1"/>
      </w:pPr>
      <w:r>
        <w:t xml:space="preserve">Sljedeća pitanja i razmatranja važna su za pravi izbor:  </w:t>
      </w:r>
      <w:r>
        <w:br/>
      </w:r>
    </w:p>
    <w:p w14:paraId="0D949EEB" w14:textId="2273F828" w:rsidR="00154E4F" w:rsidRPr="004C0EBD" w:rsidRDefault="00154E4F" w:rsidP="0075115D">
      <w:pPr>
        <w:pStyle w:val="ListParagraph"/>
        <w:numPr>
          <w:ilvl w:val="0"/>
          <w:numId w:val="32"/>
        </w:numPr>
      </w:pPr>
      <w:r>
        <w:rPr>
          <w:rFonts w:ascii="Arial" w:hAnsi="Arial"/>
          <w:b/>
          <w:color w:val="3DC3C6"/>
        </w:rPr>
        <w:t>Vlastita potrošnja na lokaciji</w:t>
      </w:r>
      <w:r>
        <w:br/>
        <w:t xml:space="preserve">Koliki je omjer maksimalnog kapaciteta tijekom dnevnih sati i potrošnje na lokaciji tijekom dnevnih sati zimi i ljeti?  </w:t>
      </w:r>
      <w:r>
        <w:br/>
      </w:r>
    </w:p>
    <w:p w14:paraId="6290D5E8" w14:textId="77777777" w:rsidR="00B848B1" w:rsidRPr="00B848B1" w:rsidRDefault="0029163B" w:rsidP="0075115D">
      <w:pPr>
        <w:pStyle w:val="ListParagraph"/>
        <w:numPr>
          <w:ilvl w:val="0"/>
          <w:numId w:val="33"/>
        </w:numPr>
        <w:tabs>
          <w:tab w:val="left" w:pos="1134"/>
        </w:tabs>
        <w:ind w:left="709" w:hanging="349"/>
      </w:pPr>
      <w:r>
        <w:rPr>
          <w:rFonts w:ascii="Arial" w:hAnsi="Arial"/>
          <w:b/>
          <w:color w:val="3DC3C6"/>
        </w:rPr>
        <w:t>Prilagodba priključka na mrežu ili ugradnja sustava za upravljanje energijom (EMS)</w:t>
      </w:r>
      <w:r>
        <w:rPr>
          <w:color w:val="3DC3C6"/>
        </w:rPr>
        <w:t xml:space="preserve"> </w:t>
      </w:r>
      <w:r>
        <w:br/>
      </w:r>
      <w:r>
        <w:rPr>
          <w:rFonts w:ascii="Arial" w:hAnsi="Arial"/>
        </w:rPr>
        <w:t xml:space="preserve">Kapacitet izmjenične struje invertera obično je 50 – 75 % kapaciteta istosmjerne struje solarnih ploča. Ako je kapacitet izmjenične struje veći od priključka na mrežu, postoje dvije mogućnosti:  </w:t>
      </w:r>
    </w:p>
    <w:p w14:paraId="0E4E0D93" w14:textId="05E94F38" w:rsidR="00B848B1" w:rsidRPr="00B848B1" w:rsidRDefault="0029163B" w:rsidP="00B848B1">
      <w:pPr>
        <w:tabs>
          <w:tab w:val="left" w:pos="1134"/>
        </w:tabs>
        <w:ind w:left="709" w:hanging="349"/>
      </w:pPr>
      <w:r>
        <w:rPr>
          <w:rFonts w:ascii="Arial" w:hAnsi="Arial"/>
        </w:rPr>
        <w:br/>
      </w:r>
      <w:r>
        <w:rPr>
          <w:rFonts w:ascii="Arial" w:hAnsi="Arial"/>
          <w:i/>
          <w:color w:val="3DC3C6"/>
        </w:rPr>
        <w:t>Prva mogućnost – povećanje kapaciteta priključenja na mrežu</w:t>
      </w:r>
      <w:r>
        <w:rPr>
          <w:rFonts w:ascii="Arial" w:hAnsi="Arial"/>
          <w:color w:val="3DC3C6"/>
        </w:rPr>
        <w:t xml:space="preserve"> </w:t>
      </w:r>
      <w:r>
        <w:rPr>
          <w:rFonts w:ascii="Arial" w:hAnsi="Arial"/>
        </w:rPr>
        <w:br/>
        <w:t xml:space="preserve">Trebali biste provjeriti s mrežnim operatorom koliko biste trebali čekati i raspitati se o tome koliko bi to koštalo jer  </w:t>
      </w:r>
    </w:p>
    <w:p w14:paraId="35BAC780" w14:textId="77777777" w:rsidR="00B848B1" w:rsidRPr="00B848B1" w:rsidRDefault="0029163B" w:rsidP="0075115D">
      <w:pPr>
        <w:pStyle w:val="ListParagraph"/>
        <w:numPr>
          <w:ilvl w:val="0"/>
          <w:numId w:val="34"/>
        </w:numPr>
        <w:tabs>
          <w:tab w:val="left" w:pos="1134"/>
        </w:tabs>
        <w:ind w:hanging="1055"/>
        <w:rPr>
          <w:color w:val="000000" w:themeColor="text1"/>
        </w:rPr>
      </w:pPr>
      <w:r>
        <w:rPr>
          <w:rFonts w:ascii="Arial" w:hAnsi="Arial"/>
          <w:color w:val="000000" w:themeColor="text1"/>
        </w:rPr>
        <w:t xml:space="preserve">vrijeme čekanja za veće priključenje na mrežu može biti do pet godina (!) </w:t>
      </w:r>
    </w:p>
    <w:p w14:paraId="743281D9" w14:textId="16181A6F" w:rsidR="00B54067" w:rsidRPr="004C0EBD" w:rsidRDefault="00B848B1" w:rsidP="0075115D">
      <w:pPr>
        <w:pStyle w:val="ListParagraph"/>
        <w:numPr>
          <w:ilvl w:val="0"/>
          <w:numId w:val="34"/>
        </w:numPr>
        <w:tabs>
          <w:tab w:val="left" w:pos="1134"/>
        </w:tabs>
        <w:ind w:left="709" w:firstLine="0"/>
      </w:pPr>
      <w:r>
        <w:rPr>
          <w:rFonts w:ascii="Arial" w:hAnsi="Arial"/>
          <w:color w:val="000000" w:themeColor="text1"/>
        </w:rPr>
        <w:t>Osim toga, početni i godišnji troškovi mogu biti veliki, zbog čega je poslovni model manje privlačan u usporedbi s ostankom unutar kapaciteta postojećeg priključka.</w:t>
      </w:r>
      <w:r>
        <w:rPr>
          <w:rFonts w:ascii="Arial" w:hAnsi="Arial"/>
        </w:rPr>
        <w:br/>
        <w:t xml:space="preserve">   </w:t>
      </w:r>
      <w:r>
        <w:rPr>
          <w:rFonts w:ascii="Arial" w:hAnsi="Arial"/>
        </w:rPr>
        <w:br/>
      </w:r>
      <w:r>
        <w:rPr>
          <w:rFonts w:ascii="Arial" w:hAnsi="Arial"/>
          <w:i/>
          <w:color w:val="3DC3C6"/>
        </w:rPr>
        <w:t xml:space="preserve">Druga mogućnost – upotreba sustava upravljanja energijom </w:t>
      </w:r>
      <w:r>
        <w:rPr>
          <w:rFonts w:ascii="Arial" w:hAnsi="Arial"/>
          <w:color w:val="3DC3C6"/>
        </w:rPr>
        <w:t xml:space="preserve">(EMS) </w:t>
      </w:r>
      <w:r>
        <w:rPr>
          <w:rFonts w:ascii="Arial" w:hAnsi="Arial"/>
        </w:rPr>
        <w:br/>
        <w:t>EMS kontinuirano prati proizvodnju fotonaponske energije i potrošnju električne energije te osigurava da se u mrežu nikada ne vraća više od određene količine energije.</w:t>
      </w:r>
      <w:r>
        <w:t xml:space="preserve">   </w:t>
      </w:r>
      <w:r>
        <w:br/>
      </w:r>
    </w:p>
    <w:p w14:paraId="398544DD" w14:textId="0F95D864" w:rsidR="00560408" w:rsidRPr="004C0EBD" w:rsidRDefault="00B54067" w:rsidP="0075115D">
      <w:pPr>
        <w:pStyle w:val="ListParagraph"/>
        <w:numPr>
          <w:ilvl w:val="0"/>
          <w:numId w:val="35"/>
        </w:numPr>
        <w:ind w:left="709" w:hanging="283"/>
        <w:rPr>
          <w:b/>
          <w:bCs/>
        </w:rPr>
      </w:pPr>
      <w:r>
        <w:rPr>
          <w:rFonts w:ascii="Arial" w:hAnsi="Arial"/>
          <w:b/>
          <w:color w:val="3DC3C6"/>
        </w:rPr>
        <w:t>Mjesta za punjenje i električni automobili</w:t>
      </w:r>
      <w:r>
        <w:br/>
      </w:r>
      <w:r>
        <w:rPr>
          <w:rFonts w:ascii="Arial" w:hAnsi="Arial"/>
        </w:rPr>
        <w:t>Postoje li mjesta za punjenje električnih automobila na lokaciji ili se planira njihova ugradnja u kratkom roku? Što to znači u smislu električnog priključka? Je li „pametno” punjenje poželjno na temelju dostupne solarne energije, tarife za električnu energiju ili priključenja na mrežu?</w:t>
      </w:r>
      <w:r>
        <w:t xml:space="preserve">  </w:t>
      </w:r>
      <w:r>
        <w:br/>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Upravljanje potražnjom</w:t>
      </w:r>
      <w:r>
        <w:br/>
      </w:r>
      <w:r>
        <w:rPr>
          <w:rFonts w:ascii="Arial" w:hAnsi="Arial"/>
        </w:rPr>
        <w:t xml:space="preserve">Je li moguće pokrenuti određene uređaje i strojeve na „pametan” način i uključiti ih samo u određeno vrijeme? Koristi: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ostanak unutar postojećeg priključka na mrežu za potrošnju i proizvodnju</w:t>
      </w:r>
    </w:p>
    <w:p w14:paraId="15D808A4" w14:textId="103A8FF5" w:rsidR="000E3421" w:rsidRPr="00B848B1" w:rsidRDefault="00B848B1"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korištenje niskih cijena i isključenja kad su cijene visoke.</w:t>
      </w:r>
      <w:r>
        <w:rPr>
          <w:color w:val="000000" w:themeColor="text1"/>
        </w:rPr>
        <w:t xml:space="preserve">  </w:t>
      </w:r>
      <w:r>
        <w:br/>
        <w:t xml:space="preserve"> </w:t>
      </w:r>
    </w:p>
    <w:p w14:paraId="5D577BE0" w14:textId="73A16D66" w:rsidR="00585024" w:rsidRPr="004C0EBD" w:rsidRDefault="000E3421" w:rsidP="0075115D">
      <w:pPr>
        <w:pStyle w:val="ListParagraph"/>
        <w:numPr>
          <w:ilvl w:val="0"/>
          <w:numId w:val="38"/>
        </w:numPr>
        <w:ind w:left="709" w:hanging="283"/>
        <w:jc w:val="both"/>
      </w:pPr>
      <w:r>
        <w:rPr>
          <w:rFonts w:ascii="Arial" w:hAnsi="Arial"/>
          <w:b/>
          <w:color w:val="3DC3C6"/>
        </w:rPr>
        <w:t>Baterije</w:t>
      </w:r>
      <w:r>
        <w:br/>
      </w:r>
      <w:r>
        <w:rPr>
          <w:rFonts w:ascii="Arial" w:hAnsi="Arial"/>
        </w:rPr>
        <w:t xml:space="preserve">Dodavanje baterija u EMS pruža više mogućnosti. Kako bi ostala unutar postojećeg priključka na mrežu, sva energija proizvedena iznad maksimalnog kapaciteta priključka na mrežu može se pohraniti u bateriju. </w:t>
      </w:r>
    </w:p>
    <w:p w14:paraId="7232CC23" w14:textId="44ED6275" w:rsidR="000E3421" w:rsidRPr="009F1963" w:rsidRDefault="0052536B" w:rsidP="00585024">
      <w:pPr>
        <w:ind w:left="709"/>
        <w:jc w:val="both"/>
        <w:rPr>
          <w:rFonts w:ascii="Arial" w:hAnsi="Arial" w:cs="Arial"/>
        </w:rPr>
      </w:pPr>
      <w:r>
        <w:rPr>
          <w:rFonts w:ascii="Arial" w:hAnsi="Arial"/>
        </w:rPr>
        <w:lastRenderedPageBreak/>
        <w:t xml:space="preserve">Vrijeme povrata ulaganja za baterije trenutačno je prilično dugo i nepredvidljivo. Mogu se analizirati poslovni slučajevi različitih ciljeva: 1. ograničiti proizvodnju fotonaponske energije tako da se ostane unutar postojećeg priključka 2. ograničiti postotak vlastite potrošnje solarne energije 3. financijska optimizacija.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Četvrti savjet</w:t>
      </w:r>
      <w:r>
        <w:rPr>
          <w:rFonts w:ascii="Arial" w:hAnsi="Arial"/>
          <w:color w:val="FFFFFF" w:themeColor="background1"/>
        </w:rPr>
        <w:t xml:space="preserve">: </w:t>
      </w:r>
      <w:r>
        <w:rPr>
          <w:rFonts w:ascii="Arial" w:hAnsi="Arial"/>
          <w:color w:val="104D54"/>
        </w:rPr>
        <w:t xml:space="preserve">Specijalizirani savjetnici vam mogu pomoći i u ovome. Popis specijaliziranih savjetnika (još uvijek nepotpun) naći ćete u </w:t>
      </w:r>
      <w:r>
        <w:rPr>
          <w:rFonts w:ascii="Arial" w:hAnsi="Arial"/>
          <w:b/>
          <w:color w:val="104D54"/>
          <w:u w:val="single"/>
        </w:rPr>
        <w:t>Prilogu 4</w:t>
      </w:r>
      <w:r>
        <w:rPr>
          <w:rFonts w:ascii="Arial" w:hAnsi="Arial"/>
          <w:color w:val="104D54"/>
        </w:rPr>
        <w:t>.</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t xml:space="preserve">Ako je prikladno dodati mjesta za punjenje, baterije ili EMS projektu, slijedi pitanje hoćete li to </w:t>
      </w:r>
      <w:r>
        <w:rPr>
          <w:i/>
        </w:rPr>
        <w:t>kombinirati</w:t>
      </w:r>
      <w:r>
        <w:t xml:space="preserve"> s fotonaponskom instalacijom u jednom ugovoru/pozivu na podnošenje ponuda. Priprema zasebnog ugovora ili poziva na podnošenje ponuda za to može smanjiti složenosti za naručitelja i izvođača. </w:t>
      </w:r>
    </w:p>
    <w:p w14:paraId="7EF32110" w14:textId="77777777" w:rsidR="009F1963" w:rsidRPr="00C42EE6" w:rsidRDefault="009F1963" w:rsidP="009F1963"/>
    <w:p w14:paraId="04E2F86E" w14:textId="77777777" w:rsidR="009F1963" w:rsidRPr="00644DBC" w:rsidRDefault="009F1963" w:rsidP="009F1963"/>
    <w:p w14:paraId="3899C9E3" w14:textId="77777777" w:rsidR="009F1963" w:rsidRPr="00644DBC" w:rsidRDefault="009F1963" w:rsidP="009F1963"/>
    <w:p w14:paraId="0C43BA5B" w14:textId="126144D1" w:rsidR="00FA7BE8" w:rsidRPr="009F1963" w:rsidRDefault="004D365E" w:rsidP="00904945">
      <w:pPr>
        <w:pStyle w:val="MH2"/>
        <w:rPr>
          <w:rFonts w:eastAsiaTheme="majorEastAsia"/>
          <w:color w:val="92D050"/>
          <w:sz w:val="32"/>
          <w:szCs w:val="32"/>
        </w:rPr>
      </w:pPr>
      <w:bookmarkStart w:id="77" w:name="_Toc180568549"/>
      <w:r>
        <w:t>Peti korak: promet, subvencije, financiranje i osiguranje</w:t>
      </w:r>
      <w:bookmarkEnd w:id="77"/>
    </w:p>
    <w:p w14:paraId="700BB5A0" w14:textId="3C3F6FC7" w:rsidR="00FA7BE8" w:rsidRPr="004C0EBD" w:rsidRDefault="00FA7BE8" w:rsidP="00A3595E"/>
    <w:p w14:paraId="6E1F3C8F" w14:textId="1D308FDD" w:rsidR="004343AC" w:rsidRPr="009F1963" w:rsidRDefault="00295EA1" w:rsidP="009F1963">
      <w:pPr>
        <w:pStyle w:val="BodyText1"/>
      </w:pPr>
      <w:r>
        <w:t xml:space="preserve">U prethodnim koracima utvrđene su tehničke specifikacije. U ovom će se koraku razmotriti ispunjava li projekt uvjete za subvencije te financiranje i osiguranje. </w:t>
      </w:r>
    </w:p>
    <w:p w14:paraId="13C00B39" w14:textId="77777777" w:rsidR="00251095" w:rsidRPr="004C0EBD" w:rsidRDefault="00251095" w:rsidP="00A3595E"/>
    <w:p w14:paraId="500215C8" w14:textId="15872C52" w:rsidR="00F16ACA" w:rsidRPr="004C0EBD" w:rsidRDefault="00F16ACA" w:rsidP="00904945">
      <w:pPr>
        <w:pStyle w:val="MH3"/>
      </w:pPr>
      <w:bookmarkStart w:id="78" w:name="_Toc180568550"/>
      <w:r>
        <w:t>5.1. Promet od povrata električne energije u mrežu</w:t>
      </w:r>
      <w:bookmarkEnd w:id="78"/>
      <w:r>
        <w:t xml:space="preserve"> </w:t>
      </w:r>
    </w:p>
    <w:p w14:paraId="28260D4D" w14:textId="4E17EED4" w:rsidR="00E368C4" w:rsidRPr="004C0EBD" w:rsidRDefault="007733E9" w:rsidP="009F1963">
      <w:pPr>
        <w:pStyle w:val="BodyText1"/>
      </w:pPr>
      <w:r>
        <w:t xml:space="preserve">Tijekom sunčanih razdoblja većina fotonaponskih instalacija proizvodi znatno više energije od </w:t>
      </w:r>
      <w:r>
        <w:br/>
        <w:t xml:space="preserve">onoga što troši za vlastite potrebe. </w:t>
      </w:r>
    </w:p>
    <w:p w14:paraId="06B828EC" w14:textId="045BBABF" w:rsidR="009F1963" w:rsidRPr="009F1963" w:rsidRDefault="007733E9" w:rsidP="009F1963">
      <w:pPr>
        <w:pStyle w:val="BodyText1"/>
      </w:pPr>
      <w:r>
        <w:t xml:space="preserve">Višak energije zatim se može vratiti u mrežu. Koju cijenu možete postići za taj povrat električne energije u mrežu? Prije je bilo moguće sklopiti ugovor s fiksnom cijenom i dugim trajanjem. To je omogućilo visoku razinu sigurnosti, ali nažalost to više nije </w:t>
      </w:r>
      <w:r>
        <w:br/>
        <w:t xml:space="preserve">moguće.  </w:t>
      </w:r>
    </w:p>
    <w:p w14:paraId="04006B7E" w14:textId="6206A7BF" w:rsidR="00F16ACA" w:rsidRPr="009F1963" w:rsidRDefault="007733E9" w:rsidP="00C903B7">
      <w:pPr>
        <w:jc w:val="both"/>
        <w:rPr>
          <w:rFonts w:ascii="Arial" w:hAnsi="Arial" w:cs="Arial"/>
        </w:rPr>
      </w:pPr>
      <w:r>
        <w:t xml:space="preserve"> </w:t>
      </w:r>
      <w:r>
        <w:br/>
      </w:r>
      <w:r>
        <w:rPr>
          <w:rFonts w:ascii="Arial" w:hAnsi="Arial"/>
        </w:rPr>
        <w:t>Trenutačno postoje tri glavne mogućnosti:</w:t>
      </w:r>
    </w:p>
    <w:p w14:paraId="77ACB456" w14:textId="5866EA4C" w:rsidR="007733E9" w:rsidRPr="004C0EBD" w:rsidRDefault="007733E9" w:rsidP="0075115D">
      <w:pPr>
        <w:pStyle w:val="ListParagraph"/>
        <w:numPr>
          <w:ilvl w:val="0"/>
          <w:numId w:val="39"/>
        </w:numPr>
        <w:ind w:left="709"/>
        <w:rPr>
          <w:b/>
          <w:bCs/>
        </w:rPr>
      </w:pPr>
      <w:r>
        <w:rPr>
          <w:rFonts w:ascii="Arial" w:hAnsi="Arial"/>
          <w:b/>
          <w:i/>
          <w:color w:val="3DC3C6"/>
        </w:rPr>
        <w:t>Na temelju ugovora s dobavljačem električne energije (na godišnjoj osnovi)</w:t>
      </w:r>
      <w:r>
        <w:rPr>
          <w:color w:val="3DC3C6"/>
        </w:rPr>
        <w:t xml:space="preserve"> </w:t>
      </w:r>
      <w:r>
        <w:rPr>
          <w:color w:val="3DC3C6"/>
        </w:rPr>
        <w:br/>
      </w:r>
      <w:r>
        <w:rPr>
          <w:rFonts w:ascii="Arial" w:hAnsi="Arial"/>
        </w:rPr>
        <w:t>Možete zatražiti od nekoliko dobavljača električne energije standardni fiksni ugovor za potrošnju i povrat električne energije. Ti se ugovori obično sklapaju na godinu dana. Neizvjesno je kako će se plaćanje za povrat električne energije kretati sljedećih godina. Okvirna cijena za povrat električne energije u mrežu za ljeto 2023. za veće fotonaponske instalacije (&gt; 100 kWp) iznosila je 3 – 5 centa/kWh.</w:t>
      </w:r>
      <w:r>
        <w:t xml:space="preserve"> </w:t>
      </w:r>
      <w:r>
        <w:br/>
      </w:r>
    </w:p>
    <w:p w14:paraId="36DEA566" w14:textId="54637370" w:rsidR="007733E9" w:rsidRPr="004C0EBD" w:rsidRDefault="007733E9" w:rsidP="0075115D">
      <w:pPr>
        <w:pStyle w:val="ListParagraph"/>
        <w:numPr>
          <w:ilvl w:val="0"/>
          <w:numId w:val="40"/>
        </w:numPr>
        <w:ind w:left="709"/>
      </w:pPr>
      <w:r>
        <w:rPr>
          <w:rFonts w:ascii="Arial" w:hAnsi="Arial"/>
          <w:b/>
          <w:i/>
          <w:color w:val="3DC3C6"/>
        </w:rPr>
        <w:t>Na temelju „dinamičnog” ugovora s dobavljačem električne energije:</w:t>
      </w:r>
      <w:r>
        <w:rPr>
          <w:color w:val="3DC3C6"/>
        </w:rPr>
        <w:t xml:space="preserve"> </w:t>
      </w:r>
      <w:r>
        <w:br/>
      </w:r>
      <w:r>
        <w:rPr>
          <w:rFonts w:ascii="Arial" w:hAnsi="Arial"/>
        </w:rPr>
        <w:t>brojni dobavljači električne energije</w:t>
      </w:r>
      <w:r w:rsidRPr="009F1963">
        <w:rPr>
          <w:rStyle w:val="FootnoteReference"/>
          <w:rFonts w:ascii="Arial" w:hAnsi="Arial" w:cs="Arial"/>
        </w:rPr>
        <w:footnoteReference w:id="3"/>
      </w:r>
      <w:r>
        <w:rPr>
          <w:rFonts w:ascii="Arial" w:hAnsi="Arial"/>
        </w:rPr>
        <w:t xml:space="preserve"> nude „dinamični” ugovor u kojem cijena po kWh varira od sata do sata. Osnova cijene po satu je EPEX cijena za dan unaprijed i dodatna pristojba.</w:t>
      </w:r>
      <w:r>
        <w:t xml:space="preserve">  </w:t>
      </w:r>
      <w:r>
        <w:br/>
      </w:r>
      <w:r>
        <w:br/>
      </w:r>
      <w:r>
        <w:rPr>
          <w:rFonts w:ascii="Arial" w:hAnsi="Arial"/>
        </w:rPr>
        <w:t xml:space="preserve">Napomena: Ponekad su te cijene negativne i morat ćete </w:t>
      </w:r>
      <w:r>
        <w:rPr>
          <w:rFonts w:ascii="Arial" w:hAnsi="Arial"/>
          <w:i/>
        </w:rPr>
        <w:t>platiti</w:t>
      </w:r>
      <w:r>
        <w:rPr>
          <w:rFonts w:ascii="Arial" w:hAnsi="Arial"/>
        </w:rPr>
        <w:t xml:space="preserve"> ako vršite povrat </w:t>
      </w:r>
      <w:r>
        <w:rPr>
          <w:rFonts w:ascii="Arial" w:hAnsi="Arial"/>
        </w:rPr>
        <w:lastRenderedPageBreak/>
        <w:t xml:space="preserve">električne energije.  </w:t>
      </w:r>
      <w:r>
        <w:rPr>
          <w:rFonts w:ascii="Arial" w:hAnsi="Arial"/>
        </w:rPr>
        <w:br/>
        <w:t>Od siječnja do kraja srpnja 2023. to se već primjenjivalo na 212 sati, često oko podneva. Kako bi se izbjeglo plaćanje za energiju vraćenu u mrežu, može se ugraditi kutija koja isključuje invertere tijekom sati negativne cijene. Tijekom sati koji imaju pozitivnu cijenu energije, obično ćete dobiti znatno višu cijenu od prethodno navedene fiksne naknade za povrat električne energije.</w:t>
      </w:r>
      <w:r>
        <w:t xml:space="preserve">  </w:t>
      </w:r>
      <w:r>
        <w:br/>
      </w:r>
    </w:p>
    <w:p w14:paraId="1040FDE9" w14:textId="68908AC8" w:rsidR="00D424A6" w:rsidRPr="004C0EBD" w:rsidRDefault="005465FD" w:rsidP="0075115D">
      <w:pPr>
        <w:pStyle w:val="ListParagraph"/>
        <w:numPr>
          <w:ilvl w:val="0"/>
          <w:numId w:val="41"/>
        </w:numPr>
        <w:ind w:left="709" w:hanging="283"/>
      </w:pPr>
      <w:r>
        <w:rPr>
          <w:rFonts w:ascii="Arial" w:hAnsi="Arial"/>
          <w:b/>
          <w:i/>
          <w:color w:val="3DC3C6"/>
        </w:rPr>
        <w:t>Automatizirano trgovanje na EPEX-ovu tržištu dan unaprijed i tržište neuravnoteženja</w:t>
      </w:r>
      <w:r>
        <w:br/>
        <w:t>Moguće je i sklopiti ugovor s trgovačkom platformom</w:t>
      </w:r>
      <w:r w:rsidRPr="004C0EBD">
        <w:rPr>
          <w:rStyle w:val="FootnoteReference"/>
        </w:rPr>
        <w:footnoteReference w:id="4"/>
      </w:r>
      <w:r>
        <w:t xml:space="preserve">. Društva trguju (obično automatizirano) vlastitim softverom na EPEX-ovu tržištu dan unaprijed i unutardnevnom tržištu / tržištu neuravnoteženosti. Radi toga ugrađuju kutiju koja može uključiti ili isključiti invertere; to je rješenje dostupno za projekte iznad određenog praga veličine. </w:t>
      </w:r>
    </w:p>
    <w:p w14:paraId="7C9836F6" w14:textId="794DEEFC" w:rsidR="00C903B7" w:rsidRPr="004C0EBD" w:rsidRDefault="00C903B7" w:rsidP="009F1963">
      <w:pPr>
        <w:pStyle w:val="BodyText1"/>
        <w:rPr>
          <w:rFonts w:cs="Calibri"/>
        </w:rPr>
      </w:pPr>
      <w:r>
        <w:t>Za sve mogućnosti može biti korisno distribuirati fotonaponski sustav na dva priključka na mrežu: glavni i drugi priključak („MLOEA” – (</w:t>
      </w:r>
      <w:r>
        <w:rPr>
          <w:i/>
        </w:rPr>
        <w:t>Meerdere Leveranciers Op Één Aansluiting</w:t>
      </w:r>
      <w:r>
        <w:t xml:space="preserve"> [više dobavljača na jednom priključku] opcija)). Sva vlastita potrošnja dolazi iz glavnog priključka, dok višak odlazi na drugi priključak. Sklapanjem dva različita ugovora (s različitim poduzeće za opskrbu energijom) možete postići višu cijenu.</w:t>
      </w:r>
    </w:p>
    <w:p w14:paraId="3E5405FD" w14:textId="77777777" w:rsidR="00C903B7" w:rsidRPr="004C0EBD" w:rsidRDefault="00C903B7" w:rsidP="00C903B7"/>
    <w:p w14:paraId="5C05686E" w14:textId="3A55C9CC" w:rsidR="00C903B7" w:rsidRPr="004C0EBD" w:rsidRDefault="00444DFF" w:rsidP="00904945">
      <w:pPr>
        <w:pStyle w:val="MH3"/>
      </w:pPr>
      <w:bookmarkStart w:id="79" w:name="_Toc180568551"/>
      <w:r>
        <w:t>5.1. Subvencije</w:t>
      </w:r>
      <w:bookmarkEnd w:id="79"/>
    </w:p>
    <w:p w14:paraId="4023D4DB" w14:textId="344ECD8A" w:rsidR="00CE2638" w:rsidRPr="004C0EBD" w:rsidRDefault="00CE2638" w:rsidP="009F1963">
      <w:pPr>
        <w:pStyle w:val="BodyText1"/>
      </w:pPr>
      <w:r>
        <w:t>Glavni su programi subvencija:</w:t>
      </w:r>
    </w:p>
    <w:p w14:paraId="4C3E4F77" w14:textId="1FDC8A63" w:rsidR="001F2F97" w:rsidRPr="004C0EBD" w:rsidRDefault="001F2F97" w:rsidP="0075115D">
      <w:pPr>
        <w:pStyle w:val="ListParagraph"/>
        <w:numPr>
          <w:ilvl w:val="0"/>
          <w:numId w:val="42"/>
        </w:numPr>
        <w:ind w:left="709" w:hanging="283"/>
        <w:rPr>
          <w:b/>
          <w:bCs/>
          <w:i/>
          <w:iCs/>
        </w:rPr>
      </w:pPr>
      <w:r>
        <w:rPr>
          <w:rFonts w:ascii="Arial" w:hAnsi="Arial"/>
          <w:b/>
          <w:i/>
          <w:color w:val="3DC3C6"/>
        </w:rPr>
        <w:t>Program mjerenja</w:t>
      </w:r>
      <w:r>
        <w:rPr>
          <w:rFonts w:ascii="Arial" w:hAnsi="Arial"/>
          <w:i/>
          <w:color w:val="3DC3C6"/>
        </w:rPr>
        <w:t xml:space="preserve"> </w:t>
      </w:r>
      <w:r>
        <w:rPr>
          <w:rFonts w:ascii="Arial" w:hAnsi="Arial"/>
          <w:b/>
          <w:i/>
          <w:color w:val="3DC3C6"/>
        </w:rPr>
        <w:t>neto potrošnje</w:t>
      </w:r>
      <w:r>
        <w:br/>
      </w:r>
      <w:r>
        <w:rPr>
          <w:rFonts w:ascii="Arial" w:hAnsi="Arial"/>
        </w:rPr>
        <w:t>Program mjerenja neto potrošnje energije („</w:t>
      </w:r>
      <w:r>
        <w:rPr>
          <w:rFonts w:ascii="Arial" w:hAnsi="Arial"/>
          <w:i/>
        </w:rPr>
        <w:t>Salderingsregeling</w:t>
      </w:r>
      <w:r>
        <w:rPr>
          <w:rFonts w:ascii="Arial" w:hAnsi="Arial"/>
        </w:rPr>
        <w:t xml:space="preserve">”) primjenjuje se ne samo na fizičke osobe, nego i na mnoga društva, sportske klubove, urede itd. Preduvjet je postojanje „priključka za malu potrošnju”, tj. priključka na mrežu kapaciteta manjeg od 3 x 80 A. Taj će se program ukinuti 2026. </w:t>
      </w:r>
      <w:r>
        <w:br/>
      </w:r>
    </w:p>
    <w:p w14:paraId="3D58BEB9" w14:textId="7937D0BA"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t>SDE++</w:t>
      </w:r>
      <w:r>
        <w:rPr>
          <w:b/>
          <w:i/>
          <w:color w:val="3DC3C6"/>
        </w:rPr>
        <w:t xml:space="preserve"> </w:t>
      </w:r>
      <w:r>
        <w:rPr>
          <w:color w:val="3DC3C6"/>
        </w:rPr>
        <w:t xml:space="preserve"> </w:t>
      </w:r>
      <w:r>
        <w:br/>
        <w:t xml:space="preserve">Vlada </w:t>
      </w:r>
      <w:r>
        <w:rPr>
          <w:rFonts w:ascii="Arial" w:hAnsi="Arial"/>
        </w:rPr>
        <w:t xml:space="preserve">programom subvencija SDE++ jamči minimalnu cijenu za opskrbu mreže električnom energijom iz obnovljivih izvora.    </w:t>
      </w:r>
      <w:r>
        <w:rPr>
          <w:rFonts w:ascii="Arial" w:hAnsi="Arial"/>
        </w:rPr>
        <w:br/>
        <w:t xml:space="preserve">Za većinu većih fotonaponskih instalacija na krovovima i tlu primjenjuje se taj program, zahvaljujući kojem je Nizozemska sad među prve tri zemlje na svijetu u smislu kapaciteta proizvodnje po stanovniku.  </w:t>
      </w:r>
      <w:r>
        <w:rPr>
          <w:rFonts w:ascii="Arial" w:hAnsi="Arial"/>
        </w:rPr>
        <w:br/>
        <w:t xml:space="preserve">Kome je taj program namijenjen?   </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Priključak na mrežu od najmanje 3 x 80 A</w:t>
      </w:r>
    </w:p>
    <w:p w14:paraId="289046AB" w14:textId="73FD8834" w:rsidR="001F2F97" w:rsidRPr="004C0EBD" w:rsidRDefault="00295EA1" w:rsidP="0075115D">
      <w:pPr>
        <w:pStyle w:val="ListParagraph"/>
        <w:numPr>
          <w:ilvl w:val="1"/>
          <w:numId w:val="3"/>
        </w:numPr>
        <w:rPr>
          <w:b/>
          <w:bCs/>
          <w:i/>
          <w:iCs/>
        </w:rPr>
      </w:pPr>
      <w:r>
        <w:rPr>
          <w:rFonts w:ascii="Arial" w:hAnsi="Arial"/>
        </w:rPr>
        <w:t>Isključene su organizacije središnje vlasti</w:t>
      </w:r>
      <w:r>
        <w:t xml:space="preserve">  </w:t>
      </w:r>
      <w:r>
        <w:br/>
      </w:r>
    </w:p>
    <w:p w14:paraId="5A57A0C9" w14:textId="5B713171" w:rsidR="00F16ACA" w:rsidRPr="004C0EBD" w:rsidRDefault="00CE2638" w:rsidP="0075115D">
      <w:pPr>
        <w:pStyle w:val="ListParagraph"/>
        <w:numPr>
          <w:ilvl w:val="0"/>
          <w:numId w:val="43"/>
        </w:numPr>
        <w:rPr>
          <w:b/>
          <w:bCs/>
          <w:i/>
          <w:iCs/>
        </w:rPr>
      </w:pPr>
      <w:r>
        <w:rPr>
          <w:rFonts w:ascii="Arial" w:hAnsi="Arial"/>
          <w:b/>
          <w:i/>
          <w:color w:val="3DC3C6"/>
        </w:rPr>
        <w:t>„Postcoderoos” [program sniženih stopa] / program SCE</w:t>
      </w:r>
      <w:r>
        <w:t xml:space="preserve"> „</w:t>
      </w:r>
      <w:r>
        <w:rPr>
          <w:i/>
        </w:rPr>
        <w:t>Subsidieregeling Coöperatieve Energieopwekking</w:t>
      </w:r>
      <w:r>
        <w:t xml:space="preserve">” [Program subvencija za kooperativnu proizvodnju energije] omogućuje susjedima da sudjeluju u fotonaponskom projektu na velikom krovu. </w:t>
      </w:r>
      <w:r>
        <w:br/>
      </w:r>
    </w:p>
    <w:p w14:paraId="22002BD8" w14:textId="3D8CF031" w:rsidR="007518EB" w:rsidRPr="004C0EBD" w:rsidRDefault="007518EB" w:rsidP="0075115D">
      <w:pPr>
        <w:pStyle w:val="ListParagraph"/>
        <w:numPr>
          <w:ilvl w:val="0"/>
          <w:numId w:val="45"/>
        </w:numPr>
        <w:rPr>
          <w:b/>
          <w:bCs/>
          <w:i/>
          <w:iCs/>
        </w:rPr>
      </w:pPr>
      <w:r>
        <w:rPr>
          <w:rFonts w:ascii="Arial" w:hAnsi="Arial"/>
          <w:b/>
          <w:i/>
          <w:color w:val="3DC3C6"/>
        </w:rPr>
        <w:t>Procjena utjecaja na okoliš/MIA/VAMIL</w:t>
      </w:r>
      <w:r>
        <w:rPr>
          <w:rFonts w:ascii="Arial" w:hAnsi="Arial"/>
          <w:color w:val="3DC3C6"/>
        </w:rPr>
        <w:t xml:space="preserve"> </w:t>
      </w:r>
      <w:r>
        <w:br/>
      </w:r>
      <w:r>
        <w:rPr>
          <w:rFonts w:ascii="Arial" w:hAnsi="Arial"/>
        </w:rPr>
        <w:t>Tim se programima poduzeća potiču da postanu održivija putem poreznih poticaja, primjerice ubrzanom amortizacijom ulaganja u mjere za poboljšanje održivosti</w:t>
      </w:r>
      <w:r>
        <w:t xml:space="preserve"> </w:t>
      </w:r>
    </w:p>
    <w:p w14:paraId="279AD331" w14:textId="77777777" w:rsidR="004343AC" w:rsidRPr="004C0EBD" w:rsidRDefault="004343AC" w:rsidP="00A3595E"/>
    <w:p w14:paraId="63966417" w14:textId="2698432D" w:rsidR="006A5081" w:rsidRPr="004C0EBD" w:rsidRDefault="00444DFF" w:rsidP="00904945">
      <w:pPr>
        <w:pStyle w:val="MH3"/>
      </w:pPr>
      <w:bookmarkStart w:id="80" w:name="_Toc180568552"/>
      <w:r>
        <w:t>5.2. Financiranje</w:t>
      </w:r>
      <w:bookmarkEnd w:id="80"/>
    </w:p>
    <w:p w14:paraId="6A71FF93" w14:textId="3DBBFC7F" w:rsidR="004A7C5B" w:rsidRPr="004C0EBD" w:rsidRDefault="005E16E5" w:rsidP="009F1963">
      <w:pPr>
        <w:pStyle w:val="BodyText1"/>
      </w:pPr>
      <w:r>
        <w:t>Za većinu projekata Sunce na krovovima vlasnik ili najmoprimac zgrade ujedno postaje vlasnik fotonaponskog sustava</w:t>
      </w:r>
      <w:r w:rsidRPr="004C0EBD">
        <w:rPr>
          <w:rStyle w:val="FootnoteReference"/>
        </w:rPr>
        <w:footnoteReference w:id="5"/>
      </w:r>
      <w:r>
        <w:t xml:space="preserve">. Zbog toga dolazi do pitanja kako financirati projekt, odnosno treba li ga potpuno samofinancirati vlastitim sredstvima ili djelomično uz pomoć vanjskih investitora. Vanjska financijska potpora zahtijeva financijski model za fotonaponski projekt, u kojem se navode prihodi i rashodi, salda i novčani tokovi tijekom projektnog razdoblja. </w:t>
      </w:r>
    </w:p>
    <w:p w14:paraId="22E34513" w14:textId="77777777" w:rsidR="004A7C5B" w:rsidRPr="004C0EBD" w:rsidRDefault="004A7C5B" w:rsidP="00A3595E"/>
    <w:p w14:paraId="480BD65A" w14:textId="36B7E20C" w:rsidR="00077532" w:rsidRDefault="004A7C5B" w:rsidP="00A3595E">
      <w:pPr>
        <w:rPr>
          <w:rFonts w:ascii="Arial" w:hAnsi="Arial" w:cs="Arial"/>
        </w:rPr>
      </w:pPr>
      <w:r>
        <w:rPr>
          <w:rFonts w:ascii="Arial" w:hAnsi="Arial"/>
        </w:rPr>
        <w:t xml:space="preserve">Postoje dvije kategorije financiranja, svaka s različitim rizicima i povratima: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Zajam – nizak rizik i niska stopa povrata</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rPr>
          <w:rFonts w:ascii="Arial" w:hAnsi="Arial"/>
          <w:sz w:val="2"/>
        </w:rPr>
        <w:br/>
      </w:r>
      <w:r>
        <w:rPr>
          <w:rFonts w:ascii="Arial" w:hAnsi="Arial"/>
        </w:rPr>
        <w:t xml:space="preserve">Ovisno o veličini projekta i financijskom podupiratelju, 70 do 90 % projekta može se financirati kroz zajam, često uz nisku kamatnu stopu (2 do 5 %). To znači da ćete sami morati unaprijed osigurati samo 10 do 30 % troškova projekta. Prihodi projekta najprije će se dodijeliti davatelju kredita. </w:t>
      </w:r>
    </w:p>
    <w:p w14:paraId="1E0F514C" w14:textId="415625F2" w:rsidR="00077532" w:rsidRDefault="004A7C5B" w:rsidP="007A5646">
      <w:pPr>
        <w:ind w:left="709"/>
        <w:jc w:val="both"/>
        <w:rPr>
          <w:rFonts w:ascii="Arial" w:hAnsi="Arial" w:cs="Arial"/>
        </w:rPr>
      </w:pPr>
      <w:r>
        <w:rPr>
          <w:rFonts w:ascii="Arial" w:hAnsi="Arial"/>
        </w:rPr>
        <w:t xml:space="preserve"> </w:t>
      </w:r>
      <w:r>
        <w:rPr>
          <w:rFonts w:ascii="Arial" w:hAnsi="Arial"/>
        </w:rPr>
        <w:br/>
        <w:t xml:space="preserve">Najčešći uvjeti: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Minimalni iznos: 1 milijun EUR</w:t>
      </w:r>
    </w:p>
    <w:p w14:paraId="59AF5B5B" w14:textId="17384208" w:rsidR="007A5646" w:rsidRPr="007A5646" w:rsidRDefault="00077532" w:rsidP="007A5646">
      <w:pPr>
        <w:ind w:left="1418" w:firstLine="142"/>
        <w:jc w:val="both"/>
        <w:rPr>
          <w:rFonts w:ascii="Arial" w:hAnsi="Arial" w:cs="Arial"/>
        </w:rPr>
      </w:pPr>
      <w:r>
        <w:rPr>
          <w:rFonts w:ascii="Arial" w:hAnsi="Arial"/>
          <w:sz w:val="2"/>
        </w:rPr>
        <w:br/>
      </w:r>
      <w:r>
        <w:rPr>
          <w:rFonts w:ascii="Arial" w:hAnsi="Arial"/>
        </w:rPr>
        <w:t xml:space="preserve">Investitori često zahtijevaju minimalnu veličinu zbog činjenice da projekti fotonaponskih sustava uključuju veliku količinu posla. Potrebno je preispitati sve financijske i tehničke pojedinosti te procijeniti ugovore. To nije automatizirani zadatak i još uvijek zahtijeva puno utrošenog rada. Iz tog razloga investitori primjenjuju minimalnu veličinu zajma za projekt (ili za niz kombiniranih projekata istog vlasnika).   </w:t>
      </w:r>
    </w:p>
    <w:p w14:paraId="13769C01" w14:textId="1167E455" w:rsidR="00077532" w:rsidRPr="007A5646" w:rsidRDefault="00077532" w:rsidP="007A5646">
      <w:pPr>
        <w:ind w:left="1133"/>
        <w:jc w:val="both"/>
        <w:rPr>
          <w:rFonts w:ascii="Arial" w:hAnsi="Arial" w:cs="Arial"/>
        </w:rPr>
      </w:pPr>
      <w:r>
        <w:rPr>
          <w:rFonts w:ascii="Arial" w:hAnsi="Arial"/>
        </w:rPr>
        <w:br/>
      </w: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Dodatni zahtjevi</w:t>
      </w:r>
    </w:p>
    <w:p w14:paraId="5F37BD1B" w14:textId="35C178CD" w:rsidR="007A5646" w:rsidRPr="007A5646" w:rsidRDefault="004176E3" w:rsidP="007A5646">
      <w:pPr>
        <w:ind w:left="1418"/>
        <w:jc w:val="both"/>
        <w:rPr>
          <w:rFonts w:ascii="Arial" w:hAnsi="Arial" w:cs="Arial"/>
          <w:i/>
          <w:iCs/>
        </w:rPr>
      </w:pPr>
      <w:r>
        <w:rPr>
          <w:rFonts w:ascii="Arial" w:hAnsi="Arial"/>
          <w:sz w:val="2"/>
        </w:rPr>
        <w:br/>
      </w:r>
      <w:r>
        <w:rPr>
          <w:rFonts w:ascii="Arial" w:hAnsi="Arial"/>
        </w:rPr>
        <w:t xml:space="preserve">Uključivanje vanjskih investitora često će značiti da oni postavljaju dodatne zahtjeve kako bi se rizik sveo na najmanju moguću mjeru. Na primjer, neke će banke financirati samo fotonaponske module od dobavljača koji su prema BNEF-u „društva prve razine”; taj je status samo pokazatelj financijskog stanja, ali ne govori ništa o kvaliteti ili održivosti [instalacije].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r>
        <w:rPr>
          <w:rFonts w:ascii="Arial" w:hAnsi="Arial"/>
        </w:rP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Kao dioničar – kapital podložan riziku</w:t>
      </w:r>
    </w:p>
    <w:p w14:paraId="79BEA158" w14:textId="77777777" w:rsidR="007A5646" w:rsidRDefault="00CE2638" w:rsidP="007A5646">
      <w:pPr>
        <w:ind w:left="426" w:hanging="66"/>
        <w:jc w:val="both"/>
        <w:rPr>
          <w:rFonts w:ascii="Arial" w:hAnsi="Arial" w:cs="Arial"/>
        </w:rPr>
      </w:pPr>
      <w:r>
        <w:rPr>
          <w:rFonts w:ascii="Arial" w:hAnsi="Arial"/>
          <w:sz w:val="2"/>
        </w:rPr>
        <w:br/>
      </w:r>
      <w:r>
        <w:rPr>
          <w:rFonts w:ascii="Arial" w:hAnsi="Arial"/>
        </w:rPr>
        <w:t xml:space="preserve">Ako banka daje zajam, to često pokriva 70 do 90 % troškova projekta.  </w:t>
      </w:r>
      <w:r>
        <w:rPr>
          <w:rFonts w:ascii="Arial" w:hAnsi="Arial"/>
        </w:rPr>
        <w:br/>
        <w:t xml:space="preserve">Preostalih 10 do 30 % smatra se rizičnim kapitalom. To je kapital za kojim će se prvo posegnuti u slučaju bilo kakvih problema ili ako prihod ne ispuni očekivanja. </w:t>
      </w:r>
    </w:p>
    <w:p w14:paraId="0843FA2F" w14:textId="2140A9BA" w:rsidR="007A5646" w:rsidRDefault="00CE2638" w:rsidP="007A5646">
      <w:pPr>
        <w:ind w:left="426" w:hanging="66"/>
        <w:jc w:val="both"/>
        <w:rPr>
          <w:rFonts w:ascii="Arial" w:hAnsi="Arial" w:cs="Arial"/>
        </w:rPr>
      </w:pPr>
      <w:r>
        <w:rPr>
          <w:rFonts w:ascii="Arial" w:hAnsi="Arial"/>
        </w:rPr>
        <w:lastRenderedPageBreak/>
        <w:t xml:space="preserve">  </w:t>
      </w:r>
      <w:r>
        <w:rPr>
          <w:rFonts w:ascii="Arial" w:hAnsi="Arial"/>
        </w:rPr>
        <w:br/>
        <w:t>Nositelji projekata/EPC-ovi često će uložiti dio potrebnog vlasničkog kapitala, a to znači da snose i primarni rizik ako rezultati budu razočaravajući. Na taj način daju dodatnu vjerodostojnost činjenici da je projekt pravilno dovršen.</w:t>
      </w:r>
    </w:p>
    <w:p w14:paraId="14563404" w14:textId="4A307488" w:rsidR="004176E3" w:rsidRPr="007A5646" w:rsidRDefault="00CE2638" w:rsidP="007A5646">
      <w:pPr>
        <w:ind w:left="426" w:hanging="66"/>
        <w:jc w:val="both"/>
        <w:rPr>
          <w:rFonts w:ascii="Arial" w:hAnsi="Arial" w:cs="Arial"/>
          <w:i/>
          <w:iCs/>
        </w:rPr>
      </w:pPr>
      <w:r>
        <w:rPr>
          <w:rFonts w:ascii="Arial" w:hAnsi="Arial"/>
        </w:rPr>
        <w:t xml:space="preserve">   </w:t>
      </w:r>
      <w:r>
        <w:rPr>
          <w:rFonts w:ascii="Arial" w:hAnsi="Arial"/>
        </w:rPr>
        <w:br/>
        <w:t xml:space="preserve">Osim nositelja projekata postoje i razni investitori koji su voljni pomoći, na primjer, putem skupnog financiranja ili određenih investicijskih fondova. </w:t>
      </w:r>
    </w:p>
    <w:p w14:paraId="17A2033D" w14:textId="3E2545BE" w:rsidR="00077532" w:rsidRPr="007A5646" w:rsidRDefault="007A5646" w:rsidP="00A3595E">
      <w:pPr>
        <w:rPr>
          <w:rFonts w:ascii="Arial" w:hAnsi="Arial" w:cs="Arial"/>
        </w:rPr>
      </w:pPr>
      <w:r>
        <w:rPr>
          <w:rFonts w:ascii="Arial" w:hAnsi="Arial"/>
          <w:noProof/>
          <w:color w:val="3DC3C6"/>
        </w:rPr>
        <mc:AlternateContent>
          <mc:Choice Requires="wps">
            <w:drawing>
              <wp:anchor distT="0" distB="0" distL="114300" distR="114300" simplePos="0" relativeHeight="251669504" behindDoc="0" locked="0" layoutInCell="1" allowOverlap="1" wp14:anchorId="398ECF67" wp14:editId="1332AE93">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Znatni rizici fotonaponskih projekata: požar</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Priključci su često uzrok požara na fotonaponskim instalacijama. Na primjer, ako su muški i ženski priključak u istosmjernom kabelu oba tipa MC4, ali proizveli su ih različiti proizvođači ili ako je priključak pogrešno spojen na kabel. Ponekad se krovni pokrov zapali i može požar ili dim može oštetiti zgrade i njihove sadržaje. Zahvaljujući istosmjernoj struji u kabelima istosmjerne struje (između solarnih ploča i invertera), jednom kad nastane električni luk, on se ne ispravlja brzo.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Električni luk može uzrokovati da priključci dosegnu iznimno visoke temperature i tope se kroz krovni pokrov, nakon čega luk može uzrokovati da se zapaljivi izolacijski materijali (kao što je EPS) zapale. </w:t>
                            </w:r>
                            <w:r>
                              <w:rPr>
                                <w:rFonts w:ascii="Arial" w:hAnsi="Arial"/>
                              </w:rPr>
                              <w:t xml:space="preserve"> </w:t>
                            </w:r>
                            <w:r>
                              <w:rPr>
                                <w:rFonts w:ascii="Arial" w:hAnsi="Arial"/>
                              </w:rPr>
                              <w:br/>
                            </w:r>
                            <w:r>
                              <w:rPr>
                                <w:rFonts w:ascii="Arial" w:hAnsi="Arial"/>
                                <w:sz w:val="20"/>
                              </w:rPr>
                              <w:t xml:space="preserve">Ovakve vrste požara na krovovima teško je ugasiti, a mogu uništiti cijelu zgradu.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Rješenja za ovaj problem uključuju: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detektor električnog luka s automatskim isključivanjem (naveden u predlošku sa zahtjevima)</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vatrootporne folije (kao što je Solardec) i premaze (kao što su Allshields)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vatrootporno kućište konektora (kao što je ArcBox).</w:t>
                            </w:r>
                          </w:p>
                          <w:p w14:paraId="68E8D737" w14:textId="77777777" w:rsidR="007167EB" w:rsidRPr="007A5646" w:rsidRDefault="007167EB" w:rsidP="007167EB">
                            <w:pPr>
                              <w:jc w:val="both"/>
                              <w:rPr>
                                <w:rFonts w:ascii="Arial" w:hAnsi="Arial" w:cs="Arial"/>
                              </w:rPr>
                            </w:pPr>
                            <w:r>
                              <w:rPr>
                                <w:rFonts w:ascii="Arial" w:hAnsi="Arial"/>
                              </w:rPr>
                              <w:t>Važne su i druge mjere kako bi se rizik od požara sveo na najmanju moguću mjeru: ispravni priključci, ispravna ugradnja priključaka, dimenzije kabela, upravljanje kablovima, održavanje i praćenje itd.</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Znatni rizici fotonaponskih projekata: požar</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Priključci su često uzrok požara na fotonaponskim instalacijama. Na primjer, ako su muški i ženski priključak u istosmjernom kabelu oba tipa MC4, ali proizveli su ih različiti proizvođači ili ako je priključak pogrešno spojen na kabel. Ponekad se krovni pokrov zapali i može požar ili dim može oštetiti zgrade i njihove sadržaje. Zahvaljujući istosmjernoj struji u kabelima istosmjerne struje (između solarnih ploča i invertera), jednom kad nastane električni luk, on se ne ispravlja brzo.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Električni luk može uzrokovati da priključci dosegnu iznimno visoke temperature i tope se kroz krovni pokrov, nakon čega luk može uzrokovati da se zapaljivi izolacijski materijali (kao što je EPS) zapale. </w:t>
                      </w:r>
                      <w:r>
                        <w:rPr>
                          <w:rFonts w:ascii="Arial" w:hAnsi="Arial"/>
                        </w:rPr>
                        <w:t xml:space="preserve"> </w:t>
                      </w:r>
                      <w:r>
                        <w:rPr>
                          <w:rFonts w:ascii="Arial" w:hAnsi="Arial"/>
                        </w:rPr>
                        <w:br/>
                      </w:r>
                      <w:r>
                        <w:rPr>
                          <w:rFonts w:ascii="Arial" w:hAnsi="Arial"/>
                          <w:sz w:val="20"/>
                        </w:rPr>
                        <w:t xml:space="preserve">Ovakve vrste požara na krovovima teško je ugasiti, a mogu uništiti cijelu zgradu.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Rješenja za ovaj problem uključuju: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detektor električnog luka s automatskim isključivanjem (naveden u predlošku sa zahtjevima)</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vatrootporne folije (kao što je Solardec) i premaze (kao što su Allshields)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vatrootporno kućište konektora (kao što je ArcBox).</w:t>
                      </w:r>
                    </w:p>
                    <w:p w14:paraId="68E8D737" w14:textId="77777777" w:rsidR="007167EB" w:rsidRPr="007A5646" w:rsidRDefault="007167EB" w:rsidP="007167EB">
                      <w:pPr>
                        <w:jc w:val="both"/>
                        <w:rPr>
                          <w:rFonts w:ascii="Arial" w:hAnsi="Arial" w:cs="Arial"/>
                        </w:rPr>
                      </w:pPr>
                      <w:r>
                        <w:rPr>
                          <w:rFonts w:ascii="Arial" w:hAnsi="Arial"/>
                        </w:rPr>
                        <w:t>Važne su i druge mjere kako bi se rizik od požara sveo na najmanju moguću mjeru: ispravni priključci, ispravna ugradnja priključaka, dimenzije kabela, upravljanje kablovima, održavanje i praćenje itd.</w:t>
                      </w:r>
                    </w:p>
                    <w:p w14:paraId="561BE267" w14:textId="479542B4" w:rsidR="007167EB" w:rsidRDefault="007167EB"/>
                  </w:txbxContent>
                </v:textbox>
                <w10:wrap type="topAndBottom"/>
              </v:shape>
            </w:pict>
          </mc:Fallback>
        </mc:AlternateContent>
      </w:r>
      <w:r>
        <w:rPr>
          <w:rStyle w:val="SubtleEmphasis"/>
          <w:rFonts w:ascii="Arial" w:hAnsi="Arial"/>
          <w:color w:val="3DC3C6"/>
        </w:rPr>
        <w:t>Pregled potencijalnih investitora</w:t>
      </w:r>
      <w:r>
        <w:rPr>
          <w:rFonts w:ascii="Arial" w:hAnsi="Arial"/>
          <w:color w:val="3DC3C6"/>
        </w:rPr>
        <w:t xml:space="preserve"> </w:t>
      </w:r>
      <w:r>
        <w:rPr>
          <w:rFonts w:ascii="Arial" w:hAnsi="Arial"/>
        </w:rPr>
        <w:br/>
        <w:t xml:space="preserve">Triodos i ASN Bank, velike komercijalne banke, banke u državnom vlasništvu kao što je BNG te mnogi drugi specijalizirani fondovi i pokrovitelji: vidjeti </w:t>
      </w:r>
      <w:r>
        <w:rPr>
          <w:rFonts w:ascii="Arial" w:hAnsi="Arial"/>
          <w:b/>
          <w:color w:val="3DC3C6"/>
          <w:u w:val="single"/>
        </w:rPr>
        <w:t>Prilog 5.</w:t>
      </w:r>
      <w:r>
        <w:rPr>
          <w:rFonts w:ascii="Arial" w:hAnsi="Arial"/>
        </w:rPr>
        <w:t xml:space="preserve"> za popis investitora</w:t>
      </w:r>
      <w:r>
        <w:rPr>
          <w:rStyle w:val="FootnoteReference"/>
          <w:rFonts w:ascii="Arial" w:hAnsi="Arial"/>
        </w:rPr>
        <w:t>2</w:t>
      </w:r>
      <w:r>
        <w:rPr>
          <w:rFonts w:ascii="Arial" w:hAnsi="Arial"/>
        </w:rPr>
        <w:t>.</w:t>
      </w:r>
    </w:p>
    <w:p w14:paraId="05E2FA74" w14:textId="1A86BD9F" w:rsidR="00321C0F" w:rsidRPr="004C0EBD" w:rsidRDefault="00321C0F" w:rsidP="00A3595E">
      <w:pPr>
        <w:rPr>
          <w:i/>
          <w:iCs/>
        </w:rPr>
      </w:pPr>
    </w:p>
    <w:p w14:paraId="0C149A44" w14:textId="77777777" w:rsidR="00D424A6" w:rsidRPr="004C0EBD" w:rsidRDefault="00D424A6" w:rsidP="00A3595E">
      <w:pPr>
        <w:pStyle w:val="Heading3"/>
      </w:pPr>
    </w:p>
    <w:p w14:paraId="319C0F84" w14:textId="4B0C013C" w:rsidR="006A5081" w:rsidRPr="004C0EBD" w:rsidRDefault="00CD425D" w:rsidP="00904945">
      <w:pPr>
        <w:pStyle w:val="MH3"/>
      </w:pPr>
      <w:bookmarkStart w:id="81" w:name="_Toc180568553"/>
      <w:r>
        <w:t>5.3. Osiguranje</w:t>
      </w:r>
      <w:bookmarkEnd w:id="81"/>
    </w:p>
    <w:p w14:paraId="7D2C96C5" w14:textId="31310D6D" w:rsidR="00301A85" w:rsidRPr="007A5646" w:rsidRDefault="00681240" w:rsidP="006D0CA6">
      <w:pPr>
        <w:jc w:val="both"/>
        <w:rPr>
          <w:rFonts w:ascii="Arial" w:hAnsi="Arial" w:cs="Arial"/>
        </w:rPr>
      </w:pPr>
      <w:r>
        <w:rPr>
          <w:rFonts w:ascii="Arial" w:hAnsi="Arial"/>
        </w:rPr>
        <w:t xml:space="preserve">Ovisno o situaciji mogu biti primjerena različita osiguranja. Ako projekt plaćate iz vlastitih sredstava, možete sami odlučiti o tome. Ako su banke ili drugi investitori uključeni u projekt, gotovo uvijek traže </w:t>
      </w:r>
      <w:r>
        <w:rPr>
          <w:rFonts w:ascii="Arial" w:hAnsi="Arial"/>
          <w:i/>
        </w:rPr>
        <w:t>„</w:t>
      </w:r>
      <w:r>
        <w:rPr>
          <w:rFonts w:ascii="Arial" w:hAnsi="Arial"/>
        </w:rPr>
        <w:t>Operational All Risk”</w:t>
      </w:r>
      <w:r>
        <w:rPr>
          <w:rFonts w:ascii="Arial" w:hAnsi="Arial"/>
          <w:i/>
        </w:rPr>
        <w:t xml:space="preserve"> </w:t>
      </w:r>
      <w:r>
        <w:rPr>
          <w:rFonts w:ascii="Arial" w:hAnsi="Arial"/>
        </w:rPr>
        <w:t>(OAR)</w:t>
      </w:r>
      <w:r>
        <w:rPr>
          <w:rFonts w:ascii="Arial" w:hAnsi="Arial"/>
          <w:i/>
        </w:rPr>
        <w:t xml:space="preserve"> </w:t>
      </w:r>
      <w:r>
        <w:rPr>
          <w:rFonts w:ascii="Arial" w:hAnsi="Arial"/>
        </w:rPr>
        <w:t>(svi operativni rizici) osiguranje i odgovarajuće osiguranje od poslovne odgovornosti izvođača (</w:t>
      </w:r>
      <w:r>
        <w:rPr>
          <w:rFonts w:ascii="Arial" w:hAnsi="Arial"/>
          <w:i/>
        </w:rPr>
        <w:t xml:space="preserve">Bedrijfsaansprakelijkheidsverzekering – </w:t>
      </w:r>
      <w:r>
        <w:rPr>
          <w:rFonts w:ascii="Arial" w:hAnsi="Arial"/>
        </w:rPr>
        <w:t>AVB</w:t>
      </w:r>
      <w:r>
        <w:rPr>
          <w:rFonts w:ascii="Arial" w:hAnsi="Arial"/>
          <w:i/>
        </w:rPr>
        <w:t>)</w:t>
      </w:r>
      <w:r>
        <w:rPr>
          <w:rFonts w:ascii="Arial" w:hAnsi="Arial"/>
        </w:rPr>
        <w:t>.</w:t>
      </w:r>
    </w:p>
    <w:p w14:paraId="62A7F5F1" w14:textId="77777777" w:rsidR="00301A85" w:rsidRPr="004C0EBD" w:rsidRDefault="00301A85" w:rsidP="00A3595E"/>
    <w:p w14:paraId="48832CD2" w14:textId="57879E66" w:rsidR="00474598" w:rsidRPr="004C0EBD" w:rsidRDefault="00474598" w:rsidP="007A5646">
      <w:pPr>
        <w:pStyle w:val="BodyText1"/>
      </w:pPr>
      <w:r>
        <w:t xml:space="preserve">U nastavku se nalazi kratak opis četiriju relevantnih vrsta osiguranja.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Za Sunce na krovu: osiguranje od požara </w:t>
      </w:r>
    </w:p>
    <w:p w14:paraId="4B57E2F5" w14:textId="74558B0F" w:rsidR="00293FAD" w:rsidRPr="007A5646" w:rsidRDefault="00681240" w:rsidP="00321C0F">
      <w:pPr>
        <w:jc w:val="both"/>
        <w:rPr>
          <w:rFonts w:ascii="Arial" w:hAnsi="Arial" w:cs="Arial"/>
        </w:rPr>
      </w:pPr>
      <w:r>
        <w:rPr>
          <w:rFonts w:ascii="Arial" w:hAnsi="Arial"/>
        </w:rPr>
        <w:t xml:space="preserve">Posljednjih su godina fotonaponske instalacije uzrokovale niz požara u zgradama. Premije za osiguranje zgrada i sadržaja često se povećavaju zbog povećanog rizika od požara nakon postavljanja fotonaponskih instalacija na krov. Osiguravatelj ponekad može postaviti dodatne </w:t>
      </w:r>
      <w:r>
        <w:rPr>
          <w:rFonts w:ascii="Arial" w:hAnsi="Arial"/>
        </w:rPr>
        <w:lastRenderedPageBreak/>
        <w:t>zahtjeve (npr. detektor električnog luka). Zahtjevi moraju biti uključeni u poziv na nadmetanje ili opis ugovora.</w:t>
      </w:r>
    </w:p>
    <w:p w14:paraId="17424A8A" w14:textId="094138F5" w:rsidR="00293FAD" w:rsidRPr="007A5646" w:rsidRDefault="007A5646" w:rsidP="00A3595E">
      <w:pPr>
        <w:rPr>
          <w:rFonts w:ascii="Arial" w:hAnsi="Arial" w:cs="Arial"/>
        </w:rPr>
      </w:pPr>
      <w:r>
        <w:rPr>
          <w:b/>
          <w:noProof/>
          <w:color w:val="104D54"/>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777777" w:rsidR="006A5081" w:rsidRDefault="006D0CA6" w:rsidP="006A5081">
      <w:pPr>
        <w:ind w:left="879" w:hanging="709"/>
        <w:jc w:val="both"/>
        <w:rPr>
          <w:rFonts w:ascii="Arial" w:hAnsi="Arial" w:cs="Arial"/>
          <w:color w:val="104D54"/>
        </w:rPr>
      </w:pPr>
      <w:r>
        <w:rPr>
          <w:rFonts w:ascii="Arial" w:hAnsi="Arial"/>
          <w:b/>
          <w:bCs/>
          <w:color w:val="FFFFFF" w:themeColor="background1"/>
          <w:highlight w:val="darkCyan"/>
        </w:rPr>
        <w:t>Savjet:</w:t>
      </w:r>
      <w:r>
        <w:rPr>
          <w:rFonts w:ascii="Arial" w:hAnsi="Arial"/>
          <w:color w:val="FFFFFF" w:themeColor="background1"/>
        </w:rPr>
        <w:t xml:space="preserve"> </w:t>
      </w:r>
      <w:r>
        <w:rPr>
          <w:rFonts w:ascii="Arial" w:hAnsi="Arial"/>
          <w:color w:val="104D54"/>
        </w:rPr>
        <w:t xml:space="preserve">važno se </w:t>
      </w:r>
      <w:r>
        <w:rPr>
          <w:rFonts w:ascii="Arial" w:hAnsi="Arial"/>
          <w:b/>
          <w:color w:val="104D54"/>
        </w:rPr>
        <w:t>u ranoj fazi</w:t>
      </w:r>
      <w:r>
        <w:rPr>
          <w:rFonts w:ascii="Arial" w:hAnsi="Arial"/>
          <w:color w:val="104D54"/>
        </w:rPr>
        <w:t xml:space="preserve"> raspitati o troškovima novih ili prilagođenih polica osiguranja. U nekim slučajevima premije mogu biti toliko visoke da čine poslovni model za fotonaponski projekt neprofitabilnim. Pokazalo se da je to bio razlog propadanja brojnih </w:t>
      </w:r>
      <w:r>
        <w:rPr>
          <w:rFonts w:ascii="Arial" w:hAnsi="Arial"/>
          <w:color w:val="104D54"/>
        </w:rPr>
        <w:br/>
        <w:t>fotonaponskih projekata.</w:t>
      </w:r>
    </w:p>
    <w:p w14:paraId="363FEB51" w14:textId="2E33142F" w:rsidR="00474598" w:rsidRPr="004C0EBD" w:rsidRDefault="006D0CA6" w:rsidP="007A5646">
      <w:pPr>
        <w:ind w:left="851" w:hanging="709"/>
        <w:jc w:val="both"/>
      </w:pPr>
      <w:r>
        <w:rPr>
          <w:color w:val="104D54"/>
        </w:rPr>
        <w:t xml:space="preserve">  </w:t>
      </w: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Osiguranje od svih operativnih rizika</w:t>
      </w:r>
    </w:p>
    <w:p w14:paraId="7721E1ED" w14:textId="0B869916" w:rsidR="00474598" w:rsidRPr="007A5646" w:rsidRDefault="00293FAD" w:rsidP="00474598">
      <w:pPr>
        <w:rPr>
          <w:rFonts w:ascii="Arial" w:hAnsi="Arial" w:cs="Arial"/>
        </w:rPr>
      </w:pPr>
      <w:r>
        <w:rPr>
          <w:rFonts w:ascii="Arial" w:hAnsi="Arial"/>
        </w:rPr>
        <w:t>To osiguranje sklapa sam naručitelj. Štiti od:</w:t>
      </w:r>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oštećenja instalacije solarnih ploča:</w:t>
      </w:r>
      <w:r>
        <w:rPr>
          <w:rFonts w:ascii="Arial" w:hAnsi="Arial"/>
          <w:color w:val="3DC3C6"/>
        </w:rPr>
        <w:t xml:space="preserve"> </w:t>
      </w:r>
      <w:r>
        <w:rPr>
          <w:rFonts w:ascii="Arial" w:hAnsi="Arial"/>
        </w:rPr>
        <w:br/>
        <w:t>Osiguranje pokriva štetu na fotonaponskoj instalaciji do koje je došlo zbog vanjskih nepredviđenih događaja kao što su požar, oluja, udar munje, krađa ili vandalizam.</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gubitka proizvodnje:</w:t>
      </w:r>
      <w:r>
        <w:rPr>
          <w:rFonts w:ascii="Arial" w:hAnsi="Arial"/>
          <w:color w:val="3DC3C6"/>
        </w:rPr>
        <w:t xml:space="preserve"> </w:t>
      </w:r>
      <w:r>
        <w:rPr>
          <w:rFonts w:ascii="Arial" w:hAnsi="Arial"/>
        </w:rPr>
        <w:br/>
        <w:t>Ako dođe do oštećenja fotonaponske instalacije, može proći neko vrijeme prije nego što se može popraviti ili zamijeniti, što može dovesti do gubitka prihoda. Ovo osiguranje ujedno pokriva gubitak prihoda zbog nastale štete.</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Osiguranje od poslovne odgovornosti (AVB)</w:t>
      </w:r>
    </w:p>
    <w:p w14:paraId="5D96A310" w14:textId="220B64A7" w:rsidR="00B06E62" w:rsidRPr="007A5646" w:rsidRDefault="00B06E62" w:rsidP="00321C0F">
      <w:pPr>
        <w:jc w:val="both"/>
        <w:rPr>
          <w:rFonts w:ascii="Arial" w:hAnsi="Arial" w:cs="Arial"/>
        </w:rPr>
      </w:pPr>
      <w:r>
        <w:rPr>
          <w:rFonts w:ascii="Arial" w:hAnsi="Arial"/>
        </w:rPr>
        <w:t xml:space="preserve">U zahtjevima za fotonaponske projekte obično se navodi da izvođač mora imati odgovarajuće osiguranje od poslovne odgovornosti kako bi se osigurala financijska nagodba ako se utvrdi da je on odgovoran za bilo kakvu štetu nastalu tijekom radova.  </w:t>
      </w:r>
    </w:p>
    <w:p w14:paraId="76FA91B3" w14:textId="77777777" w:rsidR="00B06E62" w:rsidRPr="007A5646" w:rsidRDefault="00B06E62" w:rsidP="00B06E62">
      <w:pPr>
        <w:rPr>
          <w:rFonts w:ascii="Arial" w:hAnsi="Arial" w:cs="Arial"/>
        </w:rPr>
      </w:pPr>
      <w:r>
        <w:rPr>
          <w:rFonts w:ascii="Arial" w:hAnsi="Arial"/>
        </w:rPr>
        <w:t xml:space="preserve"> </w:t>
      </w:r>
      <w:r>
        <w:rPr>
          <w:rFonts w:ascii="Arial" w:hAnsi="Arial"/>
        </w:rPr>
        <w:br/>
        <w:t>Primjeri pokrivenosti:</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oštećenje imovine:</w:t>
      </w:r>
      <w:r>
        <w:rPr>
          <w:rFonts w:ascii="Arial" w:hAnsi="Arial"/>
        </w:rPr>
        <w:t xml:space="preserve"> Šteta na imovini naručitelja (automobili, zgrada itd.) prouzročena nesrećom tijekom radova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osobne ozljede:</w:t>
      </w:r>
      <w:r>
        <w:rPr>
          <w:rFonts w:ascii="Arial" w:hAnsi="Arial"/>
        </w:rPr>
        <w:t xml:space="preserve"> Ako netko pretrpi tjelesnu ozljedu zbog djelovanja izvođača. Time su pokriveni troškovi liječenja i bilo kakva naknada štete.</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 xml:space="preserve">troškovi pravnog zastupanja: </w:t>
      </w:r>
      <w:r>
        <w:rPr>
          <w:rFonts w:ascii="Arial" w:hAnsi="Arial"/>
        </w:rPr>
        <w:t xml:space="preserve">Obuhvaća, među ostalim, odvjetničke naknade i pravne troškove ako društvo sudjeluje u sudskim postupcima. </w:t>
      </w:r>
    </w:p>
    <w:p w14:paraId="43930762" w14:textId="1E0C0EF2" w:rsidR="00B06E62" w:rsidRPr="007A5646" w:rsidRDefault="00B06E62" w:rsidP="00B06E62">
      <w:pPr>
        <w:rPr>
          <w:rStyle w:val="SubtleEmphasis"/>
          <w:rFonts w:ascii="Arial" w:hAnsi="Arial" w:cs="Arial"/>
        </w:rPr>
      </w:pPr>
      <w:r>
        <w:rPr>
          <w:rFonts w:ascii="Arial" w:hAnsi="Arial"/>
        </w:rPr>
        <w:t>Pokrivenost i uvjeti ovog osiguranja razlikuju se od jednog osiguravajućeg društva do drugog i ovisno o vrsti društva.</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color w:val="3DC3C6"/>
        </w:rPr>
        <w:t xml:space="preserve">Osiguranje CAR (Osiguranje od svih građevinskih rizika)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Instalateri/EPC-ovi moraju ugovoriti i platiti osiguranje CAR s dostatnim pokrićem (na primjer: 1 milijun EUR/najmanje jednako vrijednosti ugovora). Osim toga, kao naručitelj možete odabrati da sami ugovorite to osiguranje. Ono pruža istu pokrivenost, ali ste vi taj koji „ima kontrolu”. Osiguranje pokriva različite rizike od onih koje pokriva AVB osiguranje.</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b/>
          <w:color w:val="3DC3C6"/>
          <w:u w:val="single"/>
        </w:rPr>
        <w:t>Prilog 9.</w:t>
      </w:r>
      <w:r>
        <w:rPr>
          <w:rFonts w:ascii="Arial" w:hAnsi="Arial"/>
        </w:rPr>
        <w:t xml:space="preserve"> daje kratak sažetak onoga što pokriva CAR osiguranje.</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904945">
      <w:pPr>
        <w:pStyle w:val="MH2"/>
      </w:pPr>
      <w:bookmarkStart w:id="82" w:name="_Toc180568554"/>
      <w:r>
        <w:t>Šesti korak: aspekti održivosti</w:t>
      </w:r>
      <w:bookmarkEnd w:id="82"/>
      <w:r>
        <w:t xml:space="preserve"> </w:t>
      </w:r>
    </w:p>
    <w:p w14:paraId="678D5D76" w14:textId="77777777" w:rsidR="00E44898" w:rsidRPr="004C0EBD" w:rsidRDefault="00E44898" w:rsidP="00A3595E"/>
    <w:p w14:paraId="1F9A7E9C" w14:textId="27264E51" w:rsidR="002C7DD6" w:rsidRPr="00162562" w:rsidRDefault="00082A07" w:rsidP="00162562">
      <w:pPr>
        <w:jc w:val="both"/>
        <w:rPr>
          <w:rFonts w:ascii="Arial" w:hAnsi="Arial" w:cs="Arial"/>
        </w:rPr>
      </w:pPr>
      <w:r>
        <w:rPr>
          <w:rFonts w:ascii="Arial" w:hAnsi="Arial"/>
        </w:rPr>
        <w:t xml:space="preserve">U točki 6.1. ukratko će se razmotriti aspekti održivosti solarnih ploča, dok će se u točki 6.2. jezgrovito ispitati okolišni aspekti solarnih elektrana i plutajućih fotonaponskih postrojenja.  </w:t>
      </w:r>
      <w:r>
        <w:rPr>
          <w:rFonts w:ascii="Arial" w:hAnsi="Arial"/>
        </w:rPr>
        <w:br/>
      </w:r>
    </w:p>
    <w:p w14:paraId="438BCBE6" w14:textId="4D518DFB" w:rsidR="002C7DD6" w:rsidRPr="00162562" w:rsidRDefault="003869FC" w:rsidP="00162562">
      <w:pPr>
        <w:jc w:val="both"/>
        <w:rPr>
          <w:rFonts w:ascii="Arial" w:hAnsi="Arial" w:cs="Arial"/>
        </w:rPr>
      </w:pPr>
      <w:r>
        <w:rPr>
          <w:rFonts w:ascii="Arial" w:hAnsi="Arial"/>
        </w:rPr>
        <w:t>U ovom se dokumentu neće raspravljati o instalacijskim materijalima ni inverterima. Instalacijski materijali uglavnom su izrađeni od aluminija ili čelika, koji se mogu lako reciklirati. Instalacijski aluminij često je već dobiven od recikliranog aluminija. Zasad nema mnogo informacija o razlikama u radnom vijeku i otpornosti. Održivi aspekti invertera i podstruktura razmotrit će se u budućoj verziji ovog dokumenta.</w:t>
      </w:r>
    </w:p>
    <w:p w14:paraId="2B88D409" w14:textId="77777777" w:rsidR="00FA5774" w:rsidRPr="004C0EBD" w:rsidRDefault="00FA5774" w:rsidP="00A3595E"/>
    <w:p w14:paraId="2085671D" w14:textId="7A892BCC" w:rsidR="003430AD" w:rsidRPr="004C0EBD" w:rsidRDefault="00FA5774" w:rsidP="00904945">
      <w:pPr>
        <w:pStyle w:val="MH3"/>
      </w:pPr>
      <w:bookmarkStart w:id="83" w:name="_Toc180568555"/>
      <w:r>
        <w:t>6.1. Aspekti održivosti solarnih ploča</w:t>
      </w:r>
      <w:bookmarkEnd w:id="83"/>
    </w:p>
    <w:p w14:paraId="1C1BEA61" w14:textId="313EB780" w:rsidR="009F3241" w:rsidRPr="004C0EBD" w:rsidRDefault="009F3241" w:rsidP="00162562">
      <w:pPr>
        <w:pStyle w:val="BodyText1"/>
      </w:pPr>
      <w:r>
        <w:t>U nastavku se navodi sažetak glavnih aspekata održivosti. Te se teme opsežno obrađuju u dokumentu „Aspekti održivosti i ispitivanje tržišta održivijih solarnih ploča”,</w:t>
      </w:r>
      <w:r>
        <w:rPr>
          <w:i/>
        </w:rPr>
        <w:t xml:space="preserve"> </w:t>
      </w:r>
      <w:r>
        <w:t>u kojem se razmatraju i održivije opcije za prodaju i navode dodatni troškovi.</w:t>
      </w:r>
    </w:p>
    <w:p w14:paraId="059AE3F5" w14:textId="337DBCCC" w:rsidR="009F3241" w:rsidRPr="004C0EBD" w:rsidRDefault="009F3241" w:rsidP="009F3241"/>
    <w:p w14:paraId="2227E561" w14:textId="06E5A87F"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bCs/>
          <w:color w:val="FFFFFF" w:themeColor="background1"/>
          <w:highlight w:val="darkCyan"/>
        </w:rPr>
        <w:t>Savjet:</w:t>
      </w:r>
      <w:r>
        <w:rPr>
          <w:rFonts w:ascii="Arial" w:hAnsi="Arial"/>
          <w:color w:val="FFFFFF" w:themeColor="background1"/>
        </w:rPr>
        <w:t xml:space="preserve"> </w:t>
      </w:r>
      <w:r>
        <w:rPr>
          <w:rFonts w:ascii="Arial" w:hAnsi="Arial"/>
          <w:color w:val="104D54"/>
        </w:rPr>
        <w:t xml:space="preserve">Trebali biste razmotriti koji su aspekti održivosti najvažniji za vašu organizaciju u preliminarnoj fazi. Navedeni dokument pomoći će vam da procijenite dodatne troškove određenih zahtjeva i utjecaj na broj dobavljača i poslovni model.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1870"/>
        <w:gridCol w:w="4600"/>
        <w:gridCol w:w="2592"/>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Aspekt</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Objašnjenje</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U predlošku sa zahtjevima?</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t xml:space="preserve">Ugljični otisak fotonaponskih ploča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4E9321B"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Među 20 najvećih svjetskih proizvođača fotonaponskih sustava najniži je otisak četiri puta manji od najvećeg: raspon je od oko 300 do 1200 kg CO</w:t>
            </w:r>
            <w:r>
              <w:rPr>
                <w:rFonts w:ascii="Arial" w:hAnsi="Arial"/>
                <w:sz w:val="20"/>
                <w:vertAlign w:val="subscript"/>
              </w:rPr>
              <w:t>2</w:t>
            </w:r>
            <w:r>
              <w:rPr>
                <w:rFonts w:ascii="Arial" w:hAnsi="Arial"/>
                <w:sz w:val="20"/>
              </w:rPr>
              <w:t>/kW</w:t>
            </w:r>
            <w:r>
              <w:rPr>
                <w:rFonts w:ascii="Arial" w:hAnsi="Arial"/>
                <w:sz w:val="20"/>
                <w:vertAlign w:val="subscript"/>
              </w:rPr>
              <w:t>p</w:t>
            </w:r>
            <w:r>
              <w:rPr>
                <w:rFonts w:ascii="Arial" w:hAnsi="Arial"/>
                <w:sz w:val="20"/>
              </w:rPr>
              <w:t xml:space="preserve">. </w:t>
            </w:r>
            <w:r>
              <w:rPr>
                <w:rFonts w:ascii="Arial" w:hAnsi="Arial"/>
              </w:rPr>
              <w:t xml:space="preserve"> </w:t>
            </w:r>
            <w:r>
              <w:rPr>
                <w:rFonts w:ascii="Arial" w:hAnsi="Arial"/>
              </w:rPr>
              <w:br/>
            </w:r>
            <w:r>
              <w:rPr>
                <w:rFonts w:ascii="Arial" w:hAnsi="Arial"/>
                <w:sz w:val="20"/>
              </w:rPr>
              <w:t>U Nizozemskoj je za instalacije ugrađene 2024. potrebno 8 – 20 godina (ovisno o pretpostavkama) da se nadoknade emisije CO</w:t>
            </w:r>
            <w:r>
              <w:rPr>
                <w:rFonts w:ascii="Arial" w:hAnsi="Arial"/>
                <w:sz w:val="20"/>
                <w:vertAlign w:val="subscript"/>
              </w:rPr>
              <w:t>2</w:t>
            </w:r>
            <w:r>
              <w:rPr>
                <w:rFonts w:ascii="Arial" w:hAnsi="Arial"/>
                <w:sz w:val="20"/>
              </w:rPr>
              <w:t xml:space="preserve"> za standardne solarne ploče. </w:t>
            </w:r>
            <w:r>
              <w:rPr>
                <w:rFonts w:ascii="Arial" w:hAnsi="Arial"/>
              </w:rPr>
              <w:t xml:space="preserve"> </w:t>
            </w:r>
            <w:r>
              <w:rPr>
                <w:rFonts w:ascii="Arial" w:hAnsi="Arial"/>
              </w:rPr>
              <w:br/>
            </w:r>
            <w:r>
              <w:rPr>
                <w:rFonts w:ascii="Arial" w:hAnsi="Arial"/>
                <w:sz w:val="20"/>
              </w:rPr>
              <w:t xml:space="preserve">Za ploče s niskim udjelom ugljika potrebne su 2 – 4 godine.  </w:t>
            </w:r>
            <w:r>
              <w:rPr>
                <w:rFonts w:ascii="Arial" w:hAnsi="Arial"/>
              </w:rPr>
              <w:t xml:space="preserve"> </w:t>
            </w:r>
            <w:r>
              <w:rPr>
                <w:rFonts w:ascii="Arial" w:hAnsi="Arial"/>
              </w:rPr>
              <w:br/>
            </w:r>
            <w:r>
              <w:rPr>
                <w:rFonts w:ascii="Arial" w:hAnsi="Arial"/>
                <w:sz w:val="20"/>
              </w:rPr>
              <w:t>Te su ploče 5 – 20 % skuplje.</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E93B7AE"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Standardni zahtjev:</w:t>
            </w:r>
            <w:r>
              <w:rPr>
                <w:rFonts w:ascii="Arial" w:hAnsi="Arial"/>
                <w:sz w:val="20"/>
              </w:rPr>
              <w:t xml:space="preserve"> 550 kg CO</w:t>
            </w:r>
            <w:r>
              <w:rPr>
                <w:rFonts w:ascii="Arial" w:hAnsi="Arial"/>
                <w:sz w:val="20"/>
                <w:vertAlign w:val="subscript"/>
              </w:rPr>
              <w:t xml:space="preserve">2 </w:t>
            </w:r>
            <w:r>
              <w:rPr>
                <w:rFonts w:ascii="Arial" w:hAnsi="Arial"/>
                <w:sz w:val="20"/>
              </w:rPr>
              <w:t>po</w:t>
            </w:r>
            <w:r>
              <w:rPr>
                <w:rFonts w:ascii="Arial" w:hAnsi="Arial"/>
                <w:sz w:val="20"/>
                <w:vertAlign w:val="subscript"/>
              </w:rPr>
              <w:t xml:space="preserve"> </w:t>
            </w:r>
            <w:r>
              <w:rPr>
                <w:rFonts w:ascii="Arial" w:hAnsi="Arial"/>
                <w:sz w:val="20"/>
              </w:rPr>
              <w:t>kW</w:t>
            </w:r>
            <w:r>
              <w:rPr>
                <w:rFonts w:ascii="Arial" w:hAnsi="Arial"/>
                <w:sz w:val="20"/>
                <w:vertAlign w:val="subscript"/>
              </w:rPr>
              <w:t>p</w:t>
            </w:r>
            <w:r>
              <w:rPr>
                <w:rFonts w:ascii="Arial" w:hAnsi="Arial"/>
                <w:sz w:val="20"/>
              </w:rPr>
              <w:t xml:space="preserve"> prema „Pojednostavnjenoj procjeni ugljika”. </w:t>
            </w:r>
            <w:r>
              <w:rPr>
                <w:rFonts w:ascii="Arial" w:hAnsi="Arial"/>
              </w:rPr>
              <w:t xml:space="preserve"> </w:t>
            </w:r>
            <w:r>
              <w:rPr>
                <w:rFonts w:ascii="Arial" w:hAnsi="Arial"/>
              </w:rPr>
              <w:br/>
              <w:t xml:space="preserve"> </w:t>
            </w:r>
            <w:r>
              <w:rPr>
                <w:rFonts w:ascii="Arial" w:hAnsi="Arial"/>
              </w:rPr>
              <w:br/>
            </w:r>
            <w:r>
              <w:rPr>
                <w:rFonts w:ascii="Arial" w:hAnsi="Arial"/>
                <w:i/>
                <w:sz w:val="20"/>
              </w:rPr>
              <w:t xml:space="preserve">Bonus bodovi: </w:t>
            </w:r>
            <w:r>
              <w:rPr>
                <w:rFonts w:ascii="Arial" w:hAnsi="Arial"/>
                <w:sz w:val="20"/>
              </w:rPr>
              <w:t>za ploče s niskim udjelom ugljika</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t>Štetni materijali koji se mogu izbjeći</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79DE5E01"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Stražnja strana mnogih standardnih solarnih ploča u potpunosti je prekrivena slojem PFAS-a, koji bi mogao uzrokovati onečišćenje tla. Uz to, lem često sadržava olovo, a staklo antimon.  </w:t>
            </w:r>
            <w:r>
              <w:rPr>
                <w:rFonts w:ascii="Arial" w:hAnsi="Arial"/>
              </w:rPr>
              <w:t xml:space="preserve"> </w:t>
            </w:r>
            <w:r>
              <w:rPr>
                <w:rFonts w:ascii="Arial" w:hAnsi="Arial"/>
              </w:rPr>
              <w:br/>
            </w:r>
            <w:r>
              <w:rPr>
                <w:rFonts w:ascii="Arial" w:hAnsi="Arial"/>
                <w:sz w:val="20"/>
              </w:rPr>
              <w:t xml:space="preserve">Solarne ploče bez PFAS-a široko su dostupne. Postoji i mali broj solarnih ploča koje ne sadržavaju ni olovo ni antimon.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t xml:space="preserve">Standardni zahtjev: </w:t>
            </w:r>
            <w:r>
              <w:rPr>
                <w:rFonts w:ascii="Arial" w:hAnsi="Arial"/>
                <w:sz w:val="20"/>
              </w:rPr>
              <w:t>bez PFAS-a.</w:t>
            </w:r>
            <w:r>
              <w:rPr>
                <w:rFonts w:ascii="Arial" w:hAnsi="Arial"/>
              </w:rPr>
              <w:t xml:space="preserve"> </w:t>
            </w:r>
            <w:r>
              <w:rPr>
                <w:rFonts w:ascii="Arial" w:hAnsi="Arial"/>
              </w:rPr>
              <w:br/>
            </w:r>
          </w:p>
          <w:p w14:paraId="018DF276" w14:textId="1036EA65"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 xml:space="preserve">Bonus bodovi: </w:t>
            </w:r>
            <w:r>
              <w:rPr>
                <w:rFonts w:ascii="Arial" w:hAnsi="Arial"/>
              </w:rPr>
              <w:t xml:space="preserve"> </w:t>
            </w:r>
            <w:r>
              <w:rPr>
                <w:rFonts w:ascii="Arial" w:hAnsi="Arial"/>
              </w:rPr>
              <w:br/>
              <w:t>bezolovni lemovi, staklo bez antimona.</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lastRenderedPageBreak/>
              <w:t xml:space="preserve">Radni vijek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3844AD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Tehnički radni vijek mnogih solarnih ploča, uključujući one proizvođača koji su društva „prve razine”, vjerojatno je 10 – 15 godina. </w:t>
            </w:r>
            <w:r>
              <w:rPr>
                <w:rFonts w:ascii="Arial" w:hAnsi="Arial"/>
              </w:rPr>
              <w:t xml:space="preserve"> </w:t>
            </w:r>
            <w:r>
              <w:rPr>
                <w:rFonts w:ascii="Arial" w:hAnsi="Arial"/>
              </w:rPr>
              <w:br/>
            </w:r>
            <w:r>
              <w:rPr>
                <w:rFonts w:ascii="Arial" w:hAnsi="Arial"/>
                <w:sz w:val="20"/>
              </w:rPr>
              <w:t xml:space="preserve">Međutim, ako se koriste visokokvalitetni materijali i otporan dizajn, vrlo je izgledan vijek trajanja od barem 30 godina. </w:t>
            </w:r>
            <w:r>
              <w:rPr>
                <w:rFonts w:ascii="Arial" w:hAnsi="Arial"/>
              </w:rPr>
              <w:t xml:space="preserve"> </w:t>
            </w:r>
            <w:r>
              <w:rPr>
                <w:rFonts w:ascii="Arial" w:hAnsi="Arial"/>
              </w:rPr>
              <w:br/>
            </w:r>
            <w:r>
              <w:rPr>
                <w:rFonts w:ascii="Arial" w:hAnsi="Arial"/>
                <w:sz w:val="20"/>
              </w:rPr>
              <w:t xml:space="preserve">Takve su solarne ploče 10 – 15 % skuplje.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Bonus bodovi: </w:t>
            </w:r>
            <w:r>
              <w:rPr>
                <w:rFonts w:ascii="Arial" w:hAnsi="Arial"/>
              </w:rPr>
              <w:t>30 godina jamstva na proizvod, potkrijepljeno testovima.</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t>Radni uvjeti u lancu opskrbe</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1629C3C7"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U pokrajini Xinjiang zabilježeni su slučajevi prisilnog rada u sektoru proizvodnje solarnih ćelija. Postoje razne inicijative kojima je cilj utvrditi služi li se proizvođač ili njegovi dobavljači prisilnim radom (sporazum </w:t>
            </w:r>
            <w:r>
              <w:rPr>
                <w:rFonts w:ascii="Arial" w:hAnsi="Arial"/>
                <w:i/>
                <w:sz w:val="20"/>
              </w:rPr>
              <w:t>SER-a</w:t>
            </w:r>
            <w:r>
              <w:rPr>
                <w:rFonts w:ascii="Arial" w:hAnsi="Arial"/>
                <w:sz w:val="20"/>
              </w:rPr>
              <w:t xml:space="preserve"> [Socijalno i gospodarsko vijeće Nizozemske] o međunarodnom odgovornom poslovanju u području ljudskih prava; inicijativa „Solar Stewardship” udruženja SolarPower Europe).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Zahtjevi i objektivni kriteriji još su u izradi.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Tijekom ugradnje ploča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Ugradnja solarnih ploča u Nizozemskoj ponekad uključuje iskorištavanje radnika migranata.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iCs/>
                <w:sz w:val="20"/>
              </w:rPr>
              <w:t>Zahtjev</w:t>
            </w:r>
            <w:r>
              <w:rPr>
                <w:rFonts w:ascii="Arial" w:hAnsi="Arial"/>
                <w:sz w:val="20"/>
              </w:rPr>
              <w:t>: kodeks ponašanja dobavljača.</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r>
              <w:rPr>
                <w:rFonts w:ascii="Arial" w:hAnsi="Arial"/>
                <w:sz w:val="24"/>
              </w:rPr>
              <w:t>Kružnost</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Razne ideje i koncepti razvijaju se kao „dizajn za recikliranje”, uključujući obvezu korištenja određenog postotka recikliranih materijala.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Zahtjevi i objektivni kriteriji još su u izradi.</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t>Kraj životnog vijeka</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Zamjena drugim pločama samo ako dođe do kvara. (Obvezni) doprinos za zbrinjavanje mora se platiti zakladi OPEN [Organizacija za odgovornost proizvođača za e-otpad Nizozemska (OPEN)].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Uvjet: </w:t>
            </w:r>
            <w:r>
              <w:rPr>
                <w:rFonts w:ascii="Arial" w:hAnsi="Arial"/>
                <w:sz w:val="20"/>
              </w:rPr>
              <w:t>plaćanje doprinosa za zbrinjavanje.</w:t>
            </w:r>
          </w:p>
        </w:tc>
      </w:tr>
    </w:tbl>
    <w:p w14:paraId="3D4E6FCF" w14:textId="77777777" w:rsidR="00FA5774" w:rsidRPr="004C0EBD" w:rsidRDefault="00FA5774" w:rsidP="00A3595E"/>
    <w:p w14:paraId="1DD59982" w14:textId="77777777" w:rsidR="006A5081" w:rsidRDefault="006A5081" w:rsidP="00904945">
      <w:pPr>
        <w:pStyle w:val="MH3"/>
      </w:pPr>
    </w:p>
    <w:p w14:paraId="16BF8B85" w14:textId="703AE0F9" w:rsidR="00F541A6" w:rsidRPr="004C0EBD" w:rsidRDefault="00FA5774" w:rsidP="00904945">
      <w:pPr>
        <w:pStyle w:val="MH3"/>
      </w:pPr>
      <w:bookmarkStart w:id="84" w:name="_Toc180568556"/>
      <w:r>
        <w:t xml:space="preserve">6.2. Okolišni aspekti uključeni u Sunce na zemlji i </w:t>
      </w:r>
      <w:r>
        <w:br/>
        <w:t>Sunce na vodi</w:t>
      </w:r>
      <w:bookmarkEnd w:id="84"/>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Sunce na Zemlji</w:t>
      </w:r>
    </w:p>
    <w:p w14:paraId="19275623" w14:textId="77777777" w:rsidR="001F15A3" w:rsidRDefault="004E647C" w:rsidP="003869FC">
      <w:pPr>
        <w:jc w:val="both"/>
        <w:rPr>
          <w:rFonts w:ascii="Arial" w:hAnsi="Arial" w:cs="Arial"/>
        </w:rPr>
      </w:pPr>
      <w:r>
        <w:rPr>
          <w:rFonts w:ascii="Arial" w:hAnsi="Arial"/>
        </w:rPr>
        <w:t>Solarne ploče u fotonaponskim instalacijama na kopnu orijentacije istok – zapad ponekad su postavljene tako blizu jedna drugoj da jedva ikakva svjetlost ili voda mogu doći do tla, a to dovodi do nestanka života u tlu ispod ploče. Malo više prostora za svjetlo i kišu čini veliku razliku. Za dodatne pojedinosti vidjeti:</w:t>
      </w:r>
    </w:p>
    <w:p w14:paraId="048EB9A9" w14:textId="0A6CE6E4" w:rsidR="00B04952" w:rsidRPr="001F15A3" w:rsidRDefault="00B42E33" w:rsidP="003869FC">
      <w:pPr>
        <w:jc w:val="both"/>
        <w:rPr>
          <w:rFonts w:ascii="Arial" w:hAnsi="Arial" w:cs="Arial"/>
          <w:color w:val="3DC3C6"/>
        </w:rPr>
      </w:pPr>
      <w:hyperlink r:id="rId19" w:history="1">
        <w:r w:rsidR="0039686D">
          <w:rPr>
            <w:rStyle w:val="Hyperlink"/>
            <w:rFonts w:ascii="Arial" w:hAnsi="Arial"/>
            <w:color w:val="3DC3C6"/>
          </w:rPr>
          <w:t>https://zoninlandschap.nl/u/files/ZonneparkenBeterOntwerpTNOV2.pdf</w:t>
        </w:r>
      </w:hyperlink>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 xml:space="preserve">TNO je razvio ispitivanje tla, kojim se ispituje je li moguć primjeren život u tlu, ovisno o lokaciji, orijentaciji i udaljenosti između redova. I staklene ploče pomažu jer sunčeva svjetlost može proći kroz rubove ploče do tla. U predlošku se sada navodi i da omjer pokrivenosti tla za manje projekte mora biti manji od 70 % i da između ploča moraju biti razmaci od najmanje 2 cm (za kišnicu). Veći projekti moraju biti u skladu s TNO-ovim ispitivanjem tla. </w:t>
      </w:r>
    </w:p>
    <w:p w14:paraId="03586984" w14:textId="77777777" w:rsidR="00CD5D92" w:rsidRPr="001F15A3" w:rsidRDefault="00CD5D92" w:rsidP="003B453F">
      <w:pPr>
        <w:jc w:val="both"/>
        <w:rPr>
          <w:rFonts w:ascii="Arial" w:hAnsi="Arial" w:cs="Arial"/>
        </w:rPr>
      </w:pPr>
    </w:p>
    <w:p w14:paraId="1FFCBD33" w14:textId="046DCCDA" w:rsidR="00C243EB" w:rsidRPr="001F15A3" w:rsidRDefault="00CD5D92" w:rsidP="003B453F">
      <w:pPr>
        <w:jc w:val="both"/>
        <w:rPr>
          <w:rFonts w:ascii="Arial" w:hAnsi="Arial" w:cs="Arial"/>
        </w:rPr>
      </w:pPr>
      <w:r>
        <w:rPr>
          <w:rFonts w:ascii="Arial" w:hAnsi="Arial"/>
        </w:rPr>
        <w:t xml:space="preserve">Bioraznolikost se može promicati određenim biljem, biljkama ili travama, politikom košnje ili postavljanjem hotela za kukce.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 xml:space="preserve">Napomena: konzorcij Sunce na zemlji radi na znaku zaštite okoliša za solarne farme (EcoCertified) te će se uskoro utvrditi niz smjernica.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r>
        <w:rPr>
          <w:rFonts w:ascii="Arial" w:hAnsi="Arial"/>
          <w:b/>
          <w:color w:val="3DC3C6"/>
          <w:sz w:val="24"/>
        </w:rPr>
        <w:t>Agrovoltaika (ili poljoprivredni fotonaponski sustavi)</w:t>
      </w:r>
    </w:p>
    <w:p w14:paraId="2A5586AB" w14:textId="18B85BD4" w:rsidR="00B04952" w:rsidRPr="001F15A3" w:rsidRDefault="00B04952" w:rsidP="00B04952">
      <w:pPr>
        <w:jc w:val="both"/>
        <w:rPr>
          <w:rFonts w:ascii="Arial" w:hAnsi="Arial" w:cs="Arial"/>
        </w:rPr>
      </w:pPr>
      <w:r>
        <w:rPr>
          <w:rFonts w:ascii="Arial" w:hAnsi="Arial"/>
        </w:rPr>
        <w:t>Sve je veći slučajeva kombiniranja poljoprivrede i proizvodnje fotonaponske energije („agrovoltaika”). Primjenjuju se različita rješenja: od redova vertikalno usmjerenih solarnih ploča do nadstrešnica solarnih ploča iznad voćaka. Agrovoltaika je još uvijek u relativno ranoj fazi.</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t>Sunce na vodi</w:t>
      </w:r>
    </w:p>
    <w:p w14:paraId="5C81225C" w14:textId="6168F99E" w:rsidR="009722F8" w:rsidRPr="001F15A3" w:rsidRDefault="00B04952" w:rsidP="00CD5D92">
      <w:pPr>
        <w:jc w:val="both"/>
        <w:rPr>
          <w:rFonts w:ascii="Arial" w:hAnsi="Arial" w:cs="Arial"/>
        </w:rPr>
      </w:pPr>
      <w:r>
        <w:rPr>
          <w:rFonts w:ascii="Arial" w:hAnsi="Arial"/>
        </w:rPr>
        <w:t>U okviru konzorcija „Sunce na vodi” organizacije kao što su Deltares i Udruženje regionalnih tijela nadležnih za vode [</w:t>
      </w:r>
      <w:r>
        <w:rPr>
          <w:rFonts w:ascii="Arial" w:hAnsi="Arial"/>
          <w:i/>
        </w:rPr>
        <w:t>Unie van Waterschappen</w:t>
      </w:r>
      <w:r>
        <w:rPr>
          <w:rFonts w:ascii="Arial" w:hAnsi="Arial"/>
        </w:rPr>
        <w:t xml:space="preserve">] ispituju i okolišne aspekte plutajućih fotonaponskih postrojenja. Te su studije još uvijek u ranim fazama i još nije jasno treba li utvrditi zahtjeve u pogledu zaštite okoliša. Za dodatne pojedinosti vidjeti:  </w:t>
      </w:r>
      <w:hyperlink r:id="rId20" w:history="1">
        <w:r>
          <w:rPr>
            <w:rStyle w:val="Hyperlink"/>
            <w:rFonts w:ascii="Arial" w:hAnsi="Arial"/>
            <w:color w:val="3DC3C6"/>
          </w:rPr>
          <w:t>www.zonopwater.nl</w:t>
        </w:r>
      </w:hyperlink>
    </w:p>
    <w:p w14:paraId="247C88DC" w14:textId="77777777" w:rsidR="00B04952" w:rsidRPr="004C0EBD" w:rsidRDefault="00B04952" w:rsidP="00A3595E"/>
    <w:p w14:paraId="735367AE" w14:textId="027EC848" w:rsidR="00F541A6" w:rsidRPr="004C0EBD" w:rsidRDefault="004D365E" w:rsidP="00904945">
      <w:pPr>
        <w:pStyle w:val="MH2"/>
      </w:pPr>
      <w:bookmarkStart w:id="85" w:name="_Toc180568557"/>
      <w:r>
        <w:t>Sedmi korak: provedba i isporuka</w:t>
      </w:r>
      <w:bookmarkEnd w:id="85"/>
      <w:r>
        <w:t xml:space="preserve"> </w:t>
      </w:r>
    </w:p>
    <w:p w14:paraId="387172F1" w14:textId="77777777" w:rsidR="00F541A6" w:rsidRPr="004C0EBD" w:rsidRDefault="00F541A6" w:rsidP="00A3595E"/>
    <w:p w14:paraId="63EF63FE" w14:textId="5DEB918C" w:rsidR="00F7042B" w:rsidRPr="004C0EBD" w:rsidRDefault="00F7042B" w:rsidP="00904945">
      <w:pPr>
        <w:pStyle w:val="MH3"/>
        <w:rPr>
          <w:rFonts w:asciiTheme="minorHAnsi" w:hAnsiTheme="minorHAnsi"/>
        </w:rPr>
      </w:pPr>
      <w:bookmarkStart w:id="86" w:name="_Toc180568558"/>
      <w:r>
        <w:t>7.1. Vremenski rokovi</w:t>
      </w:r>
      <w:bookmarkEnd w:id="86"/>
      <w:r>
        <w:t xml:space="preserve"> </w:t>
      </w:r>
    </w:p>
    <w:p w14:paraId="0FEAFB5E" w14:textId="0E30AF90" w:rsidR="00E63743" w:rsidRPr="001F15A3" w:rsidRDefault="002C7DD6" w:rsidP="00B7557D">
      <w:pPr>
        <w:jc w:val="both"/>
        <w:rPr>
          <w:rFonts w:ascii="Arial" w:hAnsi="Arial" w:cs="Arial"/>
        </w:rPr>
      </w:pPr>
      <w:r>
        <w:rPr>
          <w:rFonts w:ascii="Arial" w:hAnsi="Arial"/>
        </w:rPr>
        <w:t xml:space="preserve">Kad je riječ o vašoj organizaciji, odlučite kada bi mogao početi rad na fotonaponskom projektu. Je li potrebno uzeti u obzir neke dodatne radove?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t xml:space="preserve">Osim toga, sa savjetnikom raspravite o tome koji bi bio realan datum isporuke. Pritom se mora uzeti u obzir vrijeme potrebno za poziv na podnošenje ponuda i dodjelu ugovora te izgradnju instalacije.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904945">
      <w:pPr>
        <w:pStyle w:val="MH3"/>
      </w:pPr>
      <w:bookmarkStart w:id="87" w:name="_Toc180568559"/>
      <w:r>
        <w:t>7.2. Inspekcije i završna inspekcija</w:t>
      </w:r>
      <w:bookmarkEnd w:id="87"/>
      <w:r>
        <w:t xml:space="preserve"> </w:t>
      </w:r>
    </w:p>
    <w:p w14:paraId="19C5700F" w14:textId="77777777" w:rsidR="00260AB9" w:rsidRPr="001F15A3" w:rsidRDefault="00260AB9" w:rsidP="00904945">
      <w:pPr>
        <w:pStyle w:val="MH3"/>
      </w:pPr>
    </w:p>
    <w:p w14:paraId="2FB722BF" w14:textId="0D7D55EF" w:rsidR="00E63743" w:rsidRPr="00260AB9" w:rsidRDefault="00E63743" w:rsidP="00A3595E">
      <w:pPr>
        <w:rPr>
          <w:rFonts w:ascii="Arial" w:hAnsi="Arial" w:cs="Arial"/>
          <w:b/>
          <w:bCs/>
          <w:color w:val="3DC3C6"/>
          <w:sz w:val="24"/>
          <w:szCs w:val="24"/>
        </w:rPr>
      </w:pPr>
      <w:r>
        <w:rPr>
          <w:rFonts w:ascii="Arial" w:hAnsi="Arial"/>
          <w:b/>
          <w:color w:val="3DC3C6"/>
          <w:sz w:val="24"/>
        </w:rPr>
        <w:t>Inspekcija Scope 12</w:t>
      </w:r>
    </w:p>
    <w:p w14:paraId="4B361ACB" w14:textId="470085FD" w:rsidR="007518EB" w:rsidRPr="001F15A3" w:rsidRDefault="007518EB" w:rsidP="00C42EE6">
      <w:pPr>
        <w:jc w:val="both"/>
        <w:rPr>
          <w:rFonts w:ascii="Arial" w:hAnsi="Arial" w:cs="Arial"/>
        </w:rPr>
      </w:pPr>
      <w:r>
        <w:rPr>
          <w:rFonts w:ascii="Arial" w:hAnsi="Arial"/>
        </w:rPr>
        <w:t>Nakon isporuke svih projekata, bilo velikih ili malih, na krovovima, zemlji ili vodi, važno je da neovisna strana provede sigurnosnu inspekciju u skladu s protokolom SCIOS Scope 12 (norma IEC62446).</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lastRenderedPageBreak/>
        <w:t xml:space="preserve">Inspekcijom „Scope 12” provjerava se sigurnost instalacija i prijavljuju svi nedostaci koji se, među ostalim, odnose na električnu sigurnost, mehaničku sigurnost od vjetra i snijega te zaštitu od udara munje. U predlošku je navedeno da će izvođač naknadno ispraviti sve utvrđene nedostatke („nesukladnosti”). </w:t>
      </w:r>
    </w:p>
    <w:p w14:paraId="62C47759" w14:textId="77777777" w:rsidR="00E63743" w:rsidRPr="001F15A3" w:rsidRDefault="00E63743" w:rsidP="00C42EE6">
      <w:pPr>
        <w:jc w:val="both"/>
        <w:rPr>
          <w:rFonts w:ascii="Arial" w:hAnsi="Arial" w:cs="Arial"/>
        </w:rPr>
      </w:pPr>
    </w:p>
    <w:p w14:paraId="7579FC88" w14:textId="29DB0D87" w:rsidR="00E63743" w:rsidRPr="001F15A3" w:rsidRDefault="00E63743" w:rsidP="00C42EE6">
      <w:pPr>
        <w:jc w:val="both"/>
        <w:rPr>
          <w:rFonts w:ascii="Arial" w:hAnsi="Arial" w:cs="Arial"/>
        </w:rPr>
      </w:pPr>
      <w:r>
        <w:rPr>
          <w:rFonts w:ascii="Arial" w:hAnsi="Arial"/>
        </w:rPr>
        <w:t xml:space="preserve">Preporučujemo da na vrijeme zatražite ponude za inspekciju Scope 12. Moglo bi biti teško pronaći inspektora neposredno prije isporuke, a to može povećati cijenu.  </w:t>
      </w:r>
    </w:p>
    <w:p w14:paraId="5BE0A61D" w14:textId="77777777" w:rsidR="00E63743" w:rsidRPr="004C0EBD" w:rsidRDefault="00E63743" w:rsidP="00E63743"/>
    <w:p w14:paraId="44246CFF" w14:textId="25DBD4C8" w:rsidR="009A2991" w:rsidRPr="001F15A3" w:rsidRDefault="00E63743" w:rsidP="00A3595E">
      <w:pPr>
        <w:rPr>
          <w:rFonts w:ascii="Arial" w:hAnsi="Arial" w:cs="Arial"/>
        </w:rPr>
      </w:pPr>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bCs/>
          <w:color w:val="FFFFFF" w:themeColor="background1"/>
          <w:highlight w:val="darkCyan"/>
        </w:rPr>
        <w:t>Savjet:</w:t>
      </w:r>
      <w:r>
        <w:rPr>
          <w:rFonts w:ascii="Arial" w:hAnsi="Arial"/>
          <w:color w:val="FFFFFF" w:themeColor="background1"/>
        </w:rPr>
        <w:t xml:space="preserve"> </w:t>
      </w:r>
      <w:r>
        <w:rPr>
          <w:rFonts w:ascii="Arial" w:hAnsi="Arial"/>
          <w:color w:val="104D54"/>
        </w:rPr>
        <w:t xml:space="preserve">Kao naručitelj, uvijek biste trebali sami organizirati inspekciju Scope 12. </w:t>
      </w:r>
      <w:r>
        <w:rPr>
          <w:rFonts w:ascii="Arial" w:hAnsi="Arial"/>
          <w:b/>
          <w:color w:val="104D54"/>
          <w:u w:val="single"/>
        </w:rPr>
        <w:t>Prilog 6.</w:t>
      </w:r>
      <w:r>
        <w:rPr>
          <w:rFonts w:ascii="Arial" w:hAnsi="Arial"/>
          <w:color w:val="104D54"/>
        </w:rPr>
        <w:t xml:space="preserve"> sadržava popis organizacija koje mogu provesti inspekciju Scope 12. </w:t>
      </w:r>
      <w:r>
        <w:rPr>
          <w:rFonts w:ascii="Arial" w:hAnsi="Arial"/>
        </w:rPr>
        <w:br/>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Veliki projekti:</w:t>
      </w:r>
      <w:r>
        <w:rPr>
          <w:rStyle w:val="SubtleEmphasis"/>
          <w:rFonts w:ascii="Arial" w:hAnsi="Arial"/>
          <w:i/>
          <w:color w:val="3DC3C6"/>
          <w:sz w:val="24"/>
        </w:rPr>
        <w:t xml:space="preserve"> </w:t>
      </w:r>
      <w:r>
        <w:rPr>
          <w:rStyle w:val="SubtleEmphasis"/>
          <w:rFonts w:ascii="Arial" w:hAnsi="Arial"/>
          <w:color w:val="3DC3C6"/>
          <w:sz w:val="24"/>
        </w:rPr>
        <w:t>Ispitivanja uzorka solarnih ploča i tvorničke revizije</w:t>
      </w:r>
    </w:p>
    <w:p w14:paraId="7F0CC378" w14:textId="2F41FA56" w:rsidR="00E63743" w:rsidRPr="001F15A3" w:rsidRDefault="00E63743" w:rsidP="00C42EE6">
      <w:pPr>
        <w:jc w:val="both"/>
        <w:rPr>
          <w:rFonts w:ascii="Arial" w:hAnsi="Arial" w:cs="Arial"/>
        </w:rPr>
      </w:pPr>
      <w:r>
        <w:rPr>
          <w:rFonts w:ascii="Arial" w:hAnsi="Arial"/>
        </w:rPr>
        <w:t xml:space="preserve">I veliki projekti (veći od 1 MW) ponekad se podvrgavaju ispitivanjima uzoraka i </w:t>
      </w:r>
      <w:r>
        <w:rPr>
          <w:rFonts w:ascii="Arial" w:hAnsi="Arial"/>
        </w:rPr>
        <w:br/>
        <w:t xml:space="preserve">tvorničkim revizijama. </w:t>
      </w:r>
    </w:p>
    <w:p w14:paraId="718FF494" w14:textId="4F812901" w:rsidR="00CD76B5" w:rsidRPr="001F15A3" w:rsidRDefault="00CD76B5" w:rsidP="00C42EE6">
      <w:pPr>
        <w:jc w:val="both"/>
        <w:rPr>
          <w:rFonts w:ascii="Arial" w:hAnsi="Arial" w:cs="Arial"/>
        </w:rPr>
      </w:pPr>
      <w:r>
        <w:rPr>
          <w:rFonts w:ascii="Arial" w:hAnsi="Arial"/>
        </w:rPr>
        <w:t xml:space="preserve">Trebali biste razmotriti hoćete li to uključiti u poziv na podnošenje ponuda, pri čemu bi za organizaciju bio odgovoran izvođač, ili to možete isključiti iz poziva na podnošenje ponuda i sami organizirati. </w:t>
      </w:r>
    </w:p>
    <w:p w14:paraId="2F8C0EF1" w14:textId="77777777" w:rsidR="00CD76B5" w:rsidRPr="001F15A3" w:rsidRDefault="00CD76B5" w:rsidP="00C42EE6">
      <w:pPr>
        <w:jc w:val="both"/>
        <w:rPr>
          <w:rFonts w:ascii="Arial" w:hAnsi="Arial" w:cs="Arial"/>
        </w:rPr>
      </w:pPr>
    </w:p>
    <w:p w14:paraId="4F8A5808" w14:textId="5670805E" w:rsidR="007518EB" w:rsidRPr="001F15A3" w:rsidRDefault="00CD76B5" w:rsidP="00C42EE6">
      <w:pPr>
        <w:jc w:val="both"/>
        <w:rPr>
          <w:rFonts w:ascii="Arial" w:hAnsi="Arial" w:cs="Arial"/>
        </w:rPr>
      </w:pPr>
      <w:r>
        <w:rPr>
          <w:rFonts w:ascii="Arial" w:hAnsi="Arial"/>
          <w:i/>
        </w:rPr>
        <w:t xml:space="preserve">Ispitivanja uzoraka </w:t>
      </w:r>
      <w:r>
        <w:rPr>
          <w:rFonts w:ascii="Arial" w:hAnsi="Arial"/>
        </w:rPr>
        <w:t xml:space="preserve">Solarne ploče ponekad se isporučuju s manjom snagom od one navedene u pratećoj dokumentaciji. Ponekad u tvornici ili tijekom transporta dolazi do vidljivih ili nevidljivih oštećenja, što može uzrokovati znatne novčane gubitke za velike projekte.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U velikim se projektima testira (vrlo mali) broj solarnih ploča nakon što stignu u Nizozemsku i prije nego što se predaju za ugradnju. Tim ispitivanjima uzoraka provjerava se kvaliteta isporučenih solarnih ploča.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Testovi ispituju stvari kao što su:</w:t>
      </w:r>
    </w:p>
    <w:p w14:paraId="56F00D48" w14:textId="3A0C56DC" w:rsidR="007518EB" w:rsidRPr="001F15A3" w:rsidRDefault="007518EB" w:rsidP="0075115D">
      <w:pPr>
        <w:pStyle w:val="ListParagraph"/>
        <w:numPr>
          <w:ilvl w:val="0"/>
          <w:numId w:val="49"/>
        </w:numPr>
        <w:jc w:val="both"/>
        <w:rPr>
          <w:rFonts w:ascii="Arial" w:hAnsi="Arial" w:cs="Arial"/>
        </w:rPr>
      </w:pPr>
      <w:r>
        <w:rPr>
          <w:rFonts w:ascii="Arial" w:hAnsi="Arial"/>
        </w:rPr>
        <w:t>podudara li se navedena vršna snaga u vatima, za što se primjenjuje ispitivanje dielektričke čvrstoće</w:t>
      </w:r>
    </w:p>
    <w:p w14:paraId="523A7173" w14:textId="02990C31" w:rsidR="007518EB" w:rsidRPr="001F15A3" w:rsidRDefault="007518EB" w:rsidP="0075115D">
      <w:pPr>
        <w:pStyle w:val="ListParagraph"/>
        <w:numPr>
          <w:ilvl w:val="0"/>
          <w:numId w:val="49"/>
        </w:numPr>
        <w:jc w:val="both"/>
        <w:rPr>
          <w:rFonts w:ascii="Arial" w:hAnsi="Arial" w:cs="Arial"/>
        </w:rPr>
      </w:pPr>
      <w:r>
        <w:rPr>
          <w:rFonts w:ascii="Arial" w:hAnsi="Arial"/>
        </w:rPr>
        <w:t>ima li previše mikropukotina, što povećava vjerojatnost brzog propadanja, za što se primjenjuje ispitivanje elektroluminiscencije</w:t>
      </w:r>
    </w:p>
    <w:p w14:paraId="271F3101" w14:textId="7190C95E" w:rsidR="007518EB" w:rsidRPr="001F15A3" w:rsidRDefault="007518EB" w:rsidP="0075115D">
      <w:pPr>
        <w:pStyle w:val="ListParagraph"/>
        <w:numPr>
          <w:ilvl w:val="0"/>
          <w:numId w:val="49"/>
        </w:numPr>
        <w:jc w:val="both"/>
        <w:rPr>
          <w:rFonts w:ascii="Arial" w:hAnsi="Arial" w:cs="Arial"/>
        </w:rPr>
      </w:pPr>
      <w:r>
        <w:rPr>
          <w:rFonts w:ascii="Arial" w:hAnsi="Arial"/>
        </w:rPr>
        <w:t>provođenje vizualnog pregleda modula provjerom montaže i završne obrade</w:t>
      </w:r>
    </w:p>
    <w:p w14:paraId="72A7C03D" w14:textId="446C88EC" w:rsidR="007518EB" w:rsidRPr="001F15A3" w:rsidRDefault="007518EB" w:rsidP="0075115D">
      <w:pPr>
        <w:pStyle w:val="ListParagraph"/>
        <w:numPr>
          <w:ilvl w:val="0"/>
          <w:numId w:val="49"/>
        </w:numPr>
        <w:jc w:val="both"/>
        <w:rPr>
          <w:rFonts w:ascii="Arial" w:hAnsi="Arial" w:cs="Arial"/>
        </w:rPr>
      </w:pPr>
      <w:r>
        <w:rPr>
          <w:rFonts w:ascii="Arial" w:hAnsi="Arial"/>
        </w:rPr>
        <w:t xml:space="preserve">provođenje pregleda upotrijebljenih materijala modula provjerom specifikacija. </w:t>
      </w:r>
    </w:p>
    <w:p w14:paraId="2886CBF0" w14:textId="328B15DC" w:rsidR="007518EB" w:rsidRPr="001F15A3" w:rsidRDefault="007518EB" w:rsidP="00B7557D">
      <w:pPr>
        <w:jc w:val="both"/>
        <w:rPr>
          <w:rFonts w:ascii="Arial" w:hAnsi="Arial" w:cs="Arial"/>
        </w:rPr>
      </w:pPr>
      <w:r>
        <w:rPr>
          <w:rFonts w:ascii="Arial" w:hAnsi="Arial"/>
        </w:rPr>
        <w:t xml:space="preserve">Tvornička revizija često se provodi i za vrlo velike projekte (veće od 20 MWp). To podrazumijeva neovisnu provjeru kvalitete serije naručenih solarnih ploča </w:t>
      </w:r>
      <w:r>
        <w:rPr>
          <w:rFonts w:ascii="Arial" w:hAnsi="Arial"/>
          <w:i/>
        </w:rPr>
        <w:t>tijekom proizvodnog procesa u tvornici</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Pr>
          <w:rFonts w:ascii="Arial" w:hAnsi="Arial"/>
        </w:rPr>
        <w:t xml:space="preserve">Ispitivanja uzoraka i tvorničke revizije (često u Kini) su skupi. Za projekt snage 10 MW to može značiti trošak od 4 000 do 6 000 EUR za ispitivanja uzoraka i od 5 000 do 8 000 EUR za tvorničku reviziju. </w:t>
      </w:r>
    </w:p>
    <w:p w14:paraId="3B64231D" w14:textId="77777777" w:rsidR="00CD76B5" w:rsidRPr="001F15A3" w:rsidRDefault="00CD76B5" w:rsidP="00A3595E">
      <w:pPr>
        <w:rPr>
          <w:rFonts w:ascii="Arial" w:hAnsi="Arial" w:cs="Arial"/>
        </w:rPr>
      </w:pPr>
    </w:p>
    <w:p w14:paraId="52F7A134" w14:textId="3E5FD0B6" w:rsidR="007518EB" w:rsidRPr="001F15A3" w:rsidRDefault="006F2353" w:rsidP="00B7557D">
      <w:pPr>
        <w:jc w:val="both"/>
        <w:rPr>
          <w:rFonts w:ascii="Arial" w:hAnsi="Arial" w:cs="Arial"/>
        </w:rPr>
      </w:pPr>
      <w:r>
        <w:rPr>
          <w:rFonts w:ascii="Arial" w:hAnsi="Arial"/>
        </w:rPr>
        <w:t xml:space="preserve">U </w:t>
      </w:r>
      <w:r>
        <w:rPr>
          <w:rFonts w:ascii="Arial" w:hAnsi="Arial"/>
          <w:b/>
          <w:color w:val="3DC3C6"/>
          <w:u w:val="single"/>
        </w:rPr>
        <w:t>Prilogu 7.</w:t>
      </w:r>
      <w:r>
        <w:rPr>
          <w:rFonts w:ascii="Arial" w:hAnsi="Arial"/>
          <w:b/>
          <w:color w:val="92D050"/>
        </w:rPr>
        <w:t xml:space="preserve"> </w:t>
      </w:r>
      <w:r>
        <w:rPr>
          <w:rFonts w:ascii="Arial" w:hAnsi="Arial"/>
        </w:rPr>
        <w:t>nalazi se popis organizacija koje mogu provoditi ispitivanja uzoraka ili tvorničke revizije</w:t>
      </w:r>
      <w:r>
        <w:rPr>
          <w:rStyle w:val="FootnoteReference"/>
          <w:rFonts w:ascii="Arial" w:hAnsi="Arial"/>
        </w:rPr>
        <w:t>2</w:t>
      </w:r>
      <w:r>
        <w:rPr>
          <w:rFonts w:ascii="Arial" w:hAnsi="Arial"/>
        </w:rPr>
        <w:t xml:space="preserve">.  </w:t>
      </w:r>
      <w:r>
        <w:rPr>
          <w:rFonts w:ascii="Arial" w:hAnsi="Arial"/>
        </w:rPr>
        <w:br/>
      </w:r>
    </w:p>
    <w:p w14:paraId="00F0378A" w14:textId="77777777" w:rsidR="007518EB" w:rsidRPr="001F15A3" w:rsidRDefault="007518EB" w:rsidP="00C42EE6">
      <w:pPr>
        <w:jc w:val="both"/>
        <w:rPr>
          <w:rFonts w:ascii="Arial" w:hAnsi="Arial" w:cs="Arial"/>
        </w:rPr>
      </w:pPr>
      <w:r>
        <w:rPr>
          <w:rFonts w:ascii="Arial" w:hAnsi="Arial"/>
        </w:rPr>
        <w:t xml:space="preserve">Za manje projekte dodatni troškovi općenito nisu isplativi s obzirom na rizik.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t xml:space="preserve">Osim toga, moguće je i uobičajeno uključiti jamstvo fiksnog prinosa za prve dvije do četiri godine u ugovor ili poziv na podnošenje ponuda. </w:t>
      </w:r>
    </w:p>
    <w:p w14:paraId="570FEB61" w14:textId="77777777" w:rsidR="007518EB" w:rsidRDefault="007518EB" w:rsidP="00A3595E"/>
    <w:p w14:paraId="02652E9B" w14:textId="77777777" w:rsidR="001F15A3" w:rsidRDefault="001F15A3" w:rsidP="00A3595E"/>
    <w:p w14:paraId="63D58188" w14:textId="77777777" w:rsidR="00260AB9" w:rsidRDefault="00260AB9" w:rsidP="00A3595E"/>
    <w:p w14:paraId="2B7E645F" w14:textId="77777777" w:rsidR="00260AB9" w:rsidRDefault="00260AB9" w:rsidP="00A3595E"/>
    <w:p w14:paraId="5439171D" w14:textId="77777777" w:rsidR="00260AB9" w:rsidRDefault="00260AB9" w:rsidP="00A3595E"/>
    <w:p w14:paraId="684FC943" w14:textId="77777777" w:rsidR="00260AB9" w:rsidRDefault="00260AB9" w:rsidP="00A3595E"/>
    <w:p w14:paraId="0548C1D3" w14:textId="77777777" w:rsidR="00260AB9" w:rsidRPr="004C0EBD" w:rsidRDefault="00260AB9" w:rsidP="00A3595E"/>
    <w:p w14:paraId="256680EF" w14:textId="6B2ADF80" w:rsidR="00F541A6" w:rsidRPr="001F15A3" w:rsidRDefault="004D365E" w:rsidP="00904945">
      <w:pPr>
        <w:pStyle w:val="MH2"/>
        <w:rPr>
          <w:rFonts w:eastAsiaTheme="majorEastAsia"/>
          <w:color w:val="92D050"/>
        </w:rPr>
      </w:pPr>
      <w:bookmarkStart w:id="88" w:name="_Toc180568560"/>
      <w:r>
        <w:t>Osmi korak: održavanje, praćenje i kraj životnog vijeka</w:t>
      </w:r>
      <w:bookmarkEnd w:id="88"/>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Pr>
          <w:rFonts w:ascii="Arial" w:hAnsi="Arial"/>
        </w:rPr>
        <w:t xml:space="preserve">Operativna faza započinje kad je fotonaponski projekt dostavljen i proizvodi električnu energiju. Odluke u vezi s tom fazom donose se u preliminarnoj fazi kako bi se predmetni zahtjevi uključili u popis zahtjeva ili izostavili iz njega.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Pr>
          <w:rFonts w:ascii="Arial" w:hAnsi="Arial"/>
        </w:rPr>
        <w:t xml:space="preserve">Često se od poduzeća za ugradnju / EPC-a koji je postavio fotonaponsku instalaciju traži da osigura dvije do četiri godine održavanja i praćenja. Time se izvođača potiče da isporuči kvalitetnu instalaciju visoke učinkovitosti. </w:t>
      </w:r>
    </w:p>
    <w:p w14:paraId="7D3418EB" w14:textId="77777777" w:rsidR="00961DD0" w:rsidRPr="001F15A3" w:rsidRDefault="00961DD0" w:rsidP="00C42EE6">
      <w:pPr>
        <w:jc w:val="both"/>
        <w:rPr>
          <w:rFonts w:ascii="Arial" w:hAnsi="Arial" w:cs="Arial"/>
        </w:rPr>
      </w:pPr>
      <w:r>
        <w:rPr>
          <w:rFonts w:ascii="Arial" w:hAnsi="Arial"/>
        </w:rPr>
        <w:t xml:space="preserve">Održavanje i praćenje mogu se naručiti i zasebno. Ponekad ih provodi i interni tehnički odjel. </w:t>
      </w:r>
    </w:p>
    <w:p w14:paraId="2C9CF9CA" w14:textId="6FEE291B" w:rsidR="00961DD0" w:rsidRPr="001F15A3" w:rsidRDefault="001E4615" w:rsidP="00C42EE6">
      <w:pPr>
        <w:jc w:val="both"/>
        <w:rPr>
          <w:rFonts w:ascii="Arial" w:hAnsi="Arial" w:cs="Arial"/>
        </w:rPr>
      </w:pPr>
      <w:r>
        <w:rPr>
          <w:rFonts w:ascii="Arial" w:hAnsi="Arial"/>
          <w:b/>
          <w:color w:val="3DC3C6"/>
          <w:u w:val="single"/>
        </w:rPr>
        <w:t>Prilog 8.</w:t>
      </w:r>
      <w:r>
        <w:rPr>
          <w:rFonts w:ascii="Arial" w:hAnsi="Arial"/>
          <w:b/>
          <w:color w:val="92D050"/>
        </w:rPr>
        <w:t xml:space="preserve"> </w:t>
      </w:r>
      <w:r>
        <w:rPr>
          <w:rFonts w:ascii="Arial" w:hAnsi="Arial"/>
        </w:rPr>
        <w:t>sadržava popis</w:t>
      </w:r>
      <w:r>
        <w:rPr>
          <w:rFonts w:ascii="Arial" w:hAnsi="Arial"/>
          <w:vertAlign w:val="superscript"/>
        </w:rPr>
        <w:t>2</w:t>
      </w:r>
      <w:r>
        <w:rPr>
          <w:rFonts w:ascii="Arial" w:hAnsi="Arial"/>
        </w:rPr>
        <w:t xml:space="preserve"> organizacija koje sudjeluju u održavanju i praćenju.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Održavanje i popravci</w:t>
      </w:r>
    </w:p>
    <w:p w14:paraId="7DFCBCD1" w14:textId="77777777" w:rsidR="00C4096C" w:rsidRPr="001F15A3" w:rsidRDefault="00C4096C" w:rsidP="00C4096C">
      <w:pPr>
        <w:rPr>
          <w:rFonts w:ascii="Arial" w:hAnsi="Arial" w:cs="Arial"/>
        </w:rPr>
      </w:pPr>
      <w:r>
        <w:rPr>
          <w:rFonts w:ascii="Arial" w:hAnsi="Arial"/>
        </w:rPr>
        <w:t xml:space="preserve">To, među ostalim, uključuje: </w:t>
      </w:r>
    </w:p>
    <w:p w14:paraId="63E48ED7" w14:textId="77777777" w:rsidR="00C4096C" w:rsidRPr="001F15A3" w:rsidRDefault="00C4096C" w:rsidP="0075115D">
      <w:pPr>
        <w:pStyle w:val="ListParagraph"/>
        <w:numPr>
          <w:ilvl w:val="0"/>
          <w:numId w:val="50"/>
        </w:numPr>
        <w:rPr>
          <w:rFonts w:ascii="Arial" w:hAnsi="Arial" w:cs="Arial"/>
        </w:rPr>
      </w:pPr>
      <w:r>
        <w:rPr>
          <w:rFonts w:ascii="Arial" w:hAnsi="Arial"/>
        </w:rPr>
        <w:t>provjeru invertera i njegovo čišćenje, prema potrebi</w:t>
      </w:r>
    </w:p>
    <w:p w14:paraId="5248C41E" w14:textId="77777777" w:rsidR="00C4096C" w:rsidRPr="001F15A3" w:rsidRDefault="00C4096C" w:rsidP="0075115D">
      <w:pPr>
        <w:pStyle w:val="ListParagraph"/>
        <w:numPr>
          <w:ilvl w:val="0"/>
          <w:numId w:val="50"/>
        </w:numPr>
        <w:rPr>
          <w:rFonts w:ascii="Arial" w:hAnsi="Arial" w:cs="Arial"/>
        </w:rPr>
      </w:pPr>
      <w:r>
        <w:rPr>
          <w:rFonts w:ascii="Arial" w:hAnsi="Arial"/>
        </w:rPr>
        <w:t xml:space="preserve">provjeru kabela i kabelskih kanala </w:t>
      </w:r>
    </w:p>
    <w:p w14:paraId="2D6E8D12" w14:textId="77777777" w:rsidR="00C4096C" w:rsidRPr="001F15A3" w:rsidRDefault="00C4096C" w:rsidP="0075115D">
      <w:pPr>
        <w:pStyle w:val="ListParagraph"/>
        <w:numPr>
          <w:ilvl w:val="0"/>
          <w:numId w:val="50"/>
        </w:numPr>
        <w:rPr>
          <w:rFonts w:ascii="Arial" w:hAnsi="Arial" w:cs="Arial"/>
        </w:rPr>
      </w:pPr>
      <w:r>
        <w:rPr>
          <w:rFonts w:ascii="Arial" w:hAnsi="Arial"/>
        </w:rPr>
        <w:t xml:space="preserve">provjeru konstrukcije </w:t>
      </w:r>
    </w:p>
    <w:p w14:paraId="012872B3" w14:textId="138B4FE3" w:rsidR="00C4096C" w:rsidRPr="001F15A3" w:rsidRDefault="00C4096C" w:rsidP="0075115D">
      <w:pPr>
        <w:pStyle w:val="ListParagraph"/>
        <w:numPr>
          <w:ilvl w:val="0"/>
          <w:numId w:val="50"/>
        </w:numPr>
        <w:rPr>
          <w:rFonts w:ascii="Arial" w:hAnsi="Arial" w:cs="Arial"/>
        </w:rPr>
      </w:pPr>
      <w:r>
        <w:rPr>
          <w:rFonts w:ascii="Arial" w:hAnsi="Arial"/>
        </w:rPr>
        <w:t>zamjenu neispravnih solarnih ploča, prema potrebi.</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Čišćenje</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t xml:space="preserve">U Nizozemskoj se solarne ploče rijetko čiste jer ih ispire kiša. Osim u iznimnim slučajevima (npr. puno ptica u blizini), trošak čišćenja nije opravdan dodatnim prinosom.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Praćenje</w:t>
      </w:r>
    </w:p>
    <w:p w14:paraId="2BCA5E34" w14:textId="4B4CC2C5" w:rsidR="00972B11" w:rsidRPr="001F15A3" w:rsidRDefault="00B160CC" w:rsidP="00C42EE6">
      <w:pPr>
        <w:jc w:val="both"/>
        <w:rPr>
          <w:rFonts w:ascii="Arial" w:hAnsi="Arial" w:cs="Arial"/>
        </w:rPr>
      </w:pPr>
      <w:r>
        <w:rPr>
          <w:rFonts w:ascii="Arial" w:hAnsi="Arial"/>
        </w:rPr>
        <w:t xml:space="preserve">Operativna faza uključuje brzo otkrivanje i rješavanje bilo kakvih problema. Vlasnici kuća često koriste svoju aplikaciju za pametne telefone kako bi provjerili radi li inverter ili fotonaponska instalacija pravilno. Za manje projekte to će učiniti tehnički odjel ili uobičajeno poduzeće za ugradnju. Za velike projekte može se pokazati isplativim angažirati specijalizirano poduzeće da to učini.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Praćenje obuhvaća među ostalim:</w:t>
      </w:r>
    </w:p>
    <w:p w14:paraId="76818A49" w14:textId="4E15A423" w:rsidR="00BB58C5" w:rsidRPr="001F15A3" w:rsidRDefault="00BB58C5" w:rsidP="0075115D">
      <w:pPr>
        <w:pStyle w:val="ListParagraph"/>
        <w:numPr>
          <w:ilvl w:val="0"/>
          <w:numId w:val="51"/>
        </w:numPr>
        <w:jc w:val="both"/>
        <w:rPr>
          <w:rFonts w:ascii="Arial" w:hAnsi="Arial" w:cs="Arial"/>
        </w:rPr>
      </w:pPr>
      <w:r>
        <w:rPr>
          <w:rFonts w:ascii="Arial" w:hAnsi="Arial"/>
        </w:rPr>
        <w:t>daljinsko očitavanje mjerača invertera i električne energije</w:t>
      </w:r>
    </w:p>
    <w:p w14:paraId="62A2FAAC" w14:textId="7973923E" w:rsidR="00BB58C5" w:rsidRPr="001F15A3" w:rsidRDefault="00BB58C5" w:rsidP="0075115D">
      <w:pPr>
        <w:pStyle w:val="ListParagraph"/>
        <w:numPr>
          <w:ilvl w:val="0"/>
          <w:numId w:val="51"/>
        </w:numPr>
        <w:jc w:val="both"/>
        <w:rPr>
          <w:rFonts w:ascii="Arial" w:hAnsi="Arial" w:cs="Arial"/>
        </w:rPr>
      </w:pPr>
      <w:r>
        <w:rPr>
          <w:rFonts w:ascii="Arial" w:hAnsi="Arial"/>
        </w:rPr>
        <w:t>i usporedbu prinosa iz obližnjih sustava, nekoliko puta godišnje</w:t>
      </w:r>
    </w:p>
    <w:p w14:paraId="21777579" w14:textId="6E4FF625" w:rsidR="00BB58C5" w:rsidRPr="001F15A3" w:rsidRDefault="00BB58C5" w:rsidP="0075115D">
      <w:pPr>
        <w:pStyle w:val="ListParagraph"/>
        <w:numPr>
          <w:ilvl w:val="0"/>
          <w:numId w:val="51"/>
        </w:numPr>
        <w:jc w:val="both"/>
        <w:rPr>
          <w:rFonts w:ascii="Arial" w:hAnsi="Arial" w:cs="Arial"/>
        </w:rPr>
      </w:pPr>
      <w:r>
        <w:rPr>
          <w:rFonts w:ascii="Arial" w:hAnsi="Arial"/>
        </w:rPr>
        <w:t xml:space="preserve">za veće projekte, korištenje bespilotne letjelice s infracrvenom kamerom za pregled solarnih ploča. </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Doprinos zbrinjavanju i zamjeni solarnih ploča</w:t>
      </w:r>
    </w:p>
    <w:p w14:paraId="1649F90E" w14:textId="2343532A" w:rsidR="00961DD0" w:rsidRPr="001F15A3" w:rsidRDefault="0007474D" w:rsidP="00961DD0">
      <w:pPr>
        <w:jc w:val="both"/>
        <w:rPr>
          <w:rFonts w:ascii="Arial" w:hAnsi="Arial" w:cs="Arial"/>
        </w:rPr>
      </w:pPr>
      <w:r>
        <w:rPr>
          <w:rFonts w:ascii="Arial" w:hAnsi="Arial"/>
        </w:rPr>
        <w:t>U predlošku sa zahtjevima navodi se da naručitelj plaća obvezni doprinos za zbrinjavanje solarnih ploča zakladi OPEN. Osim toga, solarne ploče trebale bi se upotrebljavati što je dulje moguće kako bi se usporile klimatske promjene. Uostalom, proizvodnja ploča emitira puno CO</w:t>
      </w:r>
      <w:r>
        <w:rPr>
          <w:rFonts w:ascii="Arial" w:hAnsi="Arial"/>
          <w:vertAlign w:val="subscript"/>
        </w:rPr>
        <w:t>2</w:t>
      </w:r>
      <w:r>
        <w:rPr>
          <w:rFonts w:ascii="Arial" w:hAnsi="Arial"/>
        </w:rPr>
        <w:t xml:space="preserve"> i to može značiti da razdoblje povrata CO</w:t>
      </w:r>
      <w:r>
        <w:rPr>
          <w:rFonts w:ascii="Arial" w:hAnsi="Arial"/>
          <w:vertAlign w:val="subscript"/>
        </w:rPr>
        <w:t>2</w:t>
      </w:r>
      <w:r>
        <w:rPr>
          <w:rFonts w:ascii="Arial" w:hAnsi="Arial"/>
        </w:rPr>
        <w:t xml:space="preserve"> za solarne ploče </w:t>
      </w:r>
      <w:r>
        <w:rPr>
          <w:rFonts w:ascii="Arial" w:hAnsi="Arial"/>
        </w:rPr>
        <w:br/>
        <w:t>može trajati godinama.</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Zbog toga se preporučuje uklanjanje solarnih ploča samo ako daju manje od oko 80 % svojeg početnog prinosa. Visokokvalitetne solarne ploče generirat će više od 80 % svojeg početnog prinosa najmanje 25 do 30 godina. </w:t>
      </w:r>
    </w:p>
    <w:p w14:paraId="0AD18F62" w14:textId="77777777" w:rsidR="008A2C89" w:rsidRPr="004C0EBD" w:rsidRDefault="003509F6" w:rsidP="00904945">
      <w:pPr>
        <w:pStyle w:val="MH1"/>
      </w:pPr>
      <w:r>
        <w:br w:type="page"/>
      </w:r>
      <w:bookmarkStart w:id="89" w:name="_Toc176854542"/>
      <w:bookmarkStart w:id="90" w:name="_Toc180568561"/>
      <w:r>
        <w:lastRenderedPageBreak/>
        <w:t>Kratice i pokrate</w:t>
      </w:r>
      <w:bookmarkEnd w:id="89"/>
      <w:bookmarkEnd w:id="90"/>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EPC</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rPr>
              <w:t>inženjering, nabava, izgradnja</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MPP</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rPr>
              <w:t>točka najveće snage</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O&amp;M</w:t>
            </w:r>
          </w:p>
        </w:tc>
        <w:tc>
          <w:tcPr>
            <w:tcW w:w="345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r>
              <w:rPr>
                <w:rFonts w:ascii="Arial" w:hAnsi="Arial"/>
              </w:rPr>
              <w:t>rad i održavanje</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MPPT</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Pr>
                <w:rFonts w:ascii="Arial" w:hAnsi="Arial"/>
              </w:rPr>
              <w:t>uređaj za praćenje točke najveće snage</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r>
              <w:rPr>
                <w:rFonts w:ascii="Arial" w:hAnsi="Arial"/>
              </w:rPr>
              <w:t>V</w:t>
            </w:r>
            <w:r>
              <w:rPr>
                <w:rFonts w:ascii="Arial" w:hAnsi="Arial"/>
                <w:vertAlign w:val="subscript"/>
              </w:rPr>
              <w:t>oc</w:t>
            </w:r>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Pr>
                <w:rFonts w:ascii="Arial" w:hAnsi="Arial"/>
              </w:rPr>
              <w:t>napon otvorenog kruga</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PPA</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rPr>
              <w:t>Ugovor o kupnji energije</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45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r>
              <w:rPr>
                <w:rFonts w:ascii="Arial" w:hAnsi="Arial"/>
              </w:rPr>
              <w:t>ujednačeni troškovi električne energije</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r>
              <w:rPr>
                <w:rFonts w:ascii="Arial" w:hAnsi="Arial"/>
              </w:rPr>
              <w:t>kW</w:t>
            </w:r>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kilovati</w:t>
            </w:r>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HV</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visoki napon</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r>
              <w:rPr>
                <w:rFonts w:ascii="Arial" w:hAnsi="Arial"/>
              </w:rPr>
              <w:t>kWh</w:t>
            </w:r>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r>
              <w:rPr>
                <w:rFonts w:ascii="Arial" w:hAnsi="Arial"/>
              </w:rPr>
              <w:t>kilovat sat</w:t>
            </w:r>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LV</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niskonaponska oprema</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PV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r>
              <w:rPr>
                <w:rFonts w:ascii="Arial" w:hAnsi="Arial"/>
              </w:rPr>
              <w:t>fotonaponski</w:t>
            </w:r>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AC</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izmjenična struja</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PR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omjer radne učinkovitosti</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DC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Istosmjerna struja</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europska norma</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r>
              <w:rPr>
                <w:rFonts w:ascii="Arial" w:hAnsi="Arial"/>
              </w:rPr>
              <w:t>I</w:t>
            </w:r>
            <w:r>
              <w:rPr>
                <w:rFonts w:ascii="Arial" w:hAnsi="Arial"/>
                <w:vertAlign w:val="subscript"/>
              </w:rPr>
              <w:t>sc</w:t>
            </w:r>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struja kratkog spoja</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rPr>
              <w:t>c-Si</w:t>
            </w:r>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kristalni silicij</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Celzijev stupanj</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POA</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Pr>
                <w:rFonts w:ascii="Arial" w:hAnsi="Arial"/>
              </w:rPr>
              <w:t>ravninski niz</w:t>
            </w:r>
          </w:p>
        </w:tc>
      </w:tr>
      <w:tr w:rsidR="008A2C89" w:rsidRPr="004C0EBD"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usklađenost s europskim standardima</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r>
              <w:rPr>
                <w:rFonts w:ascii="Arial" w:hAnsi="Arial"/>
              </w:rPr>
              <w:t>spremno za izgradnju</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GHI</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rPr>
              <w:t>globalno horizontalno zračenje</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subjekt posebne namjene – pravna osoba korištena za financiranje konstrukcija</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CAR</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r>
              <w:rPr>
                <w:rFonts w:ascii="Arial" w:hAnsi="Arial"/>
              </w:rPr>
              <w:t>svi građevinski rizici</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r>
              <w:rPr>
                <w:rFonts w:ascii="Arial" w:hAnsi="Arial"/>
              </w:rPr>
              <w:t>ispitivanje elektroluminescencije – otkriva mikropukotine i pokvarene ćelije</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Pr>
                <w:rFonts w:ascii="Arial" w:hAnsi="Arial"/>
              </w:rPr>
              <w:t>kriteriji za privremeno prihvaćanje</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rPr>
              <w:t>kriteriji za konačno prihvaćanje</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r>
              <w:rPr>
                <w:rFonts w:ascii="Arial" w:hAnsi="Arial"/>
              </w:rPr>
              <w:t>kVA</w:t>
            </w:r>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r>
              <w:rPr>
                <w:rFonts w:ascii="Arial" w:hAnsi="Arial"/>
              </w:rPr>
              <w:t>kilovolt-amper, snaga, slično kW</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megavat</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Pr>
                <w:rFonts w:ascii="Arial" w:hAnsi="Arial"/>
              </w:rPr>
              <w:t>potencijalna inducirana degradacija</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PM</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voditelj projekta</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r>
              <w:rPr>
                <w:rFonts w:ascii="Arial" w:hAnsi="Arial"/>
              </w:rPr>
              <w:t>fotonaponski geografski informacijski sustav</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Q&amp;A</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pitanja i odgovori</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r>
              <w:rPr>
                <w:rFonts w:ascii="Arial" w:hAnsi="Arial"/>
              </w:rPr>
              <w:t>RfP</w:t>
            </w:r>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Pr>
                <w:rFonts w:ascii="Arial" w:hAnsi="Arial"/>
              </w:rPr>
              <w:t>zahtjev za ponudu</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 xml:space="preserve">standardni ispitni uvjeti </w:t>
            </w:r>
            <w:r>
              <w:rPr>
                <w:rFonts w:ascii="Arial" w:hAnsi="Arial"/>
              </w:rPr>
              <w:br/>
              <w:t>(25 C, ozračenje od 1 000 W/m</w:t>
            </w:r>
            <w:r>
              <w:rPr>
                <w:rFonts w:ascii="Arial" w:hAnsi="Arial"/>
                <w:vertAlign w:val="superscript"/>
              </w:rPr>
              <w:t>2</w:t>
            </w:r>
            <w:r>
              <w:rPr>
                <w:rFonts w:ascii="Arial" w:hAnsi="Arial"/>
              </w:rPr>
              <w:t>)</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ultraljubičasto</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TMY</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r>
              <w:rPr>
                <w:rFonts w:ascii="Arial" w:hAnsi="Arial"/>
              </w:rPr>
              <w:t>tipična meteorološka godina</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r>
              <w:rPr>
                <w:rFonts w:ascii="Arial" w:hAnsi="Arial"/>
              </w:rPr>
              <w:t>I</w:t>
            </w:r>
            <w:r>
              <w:rPr>
                <w:rFonts w:ascii="Arial" w:hAnsi="Arial"/>
                <w:vertAlign w:val="subscript"/>
              </w:rPr>
              <w:t>mpp</w:t>
            </w:r>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Pr>
                <w:rFonts w:ascii="Arial" w:hAnsi="Arial"/>
              </w:rPr>
              <w:t>struja u točki najveće snage</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r>
              <w:rPr>
                <w:rFonts w:ascii="Arial" w:hAnsi="Arial"/>
              </w:rPr>
              <w:t>V</w:t>
            </w:r>
            <w:r>
              <w:rPr>
                <w:rFonts w:ascii="Arial" w:hAnsi="Arial"/>
                <w:vertAlign w:val="subscript"/>
              </w:rPr>
              <w:t>mpp</w:t>
            </w:r>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Pr>
                <w:rFonts w:ascii="Arial" w:hAnsi="Arial"/>
              </w:rPr>
              <w:t>napon u točki maksimalne snage</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PU</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infracrvena – npr. bespilotne letjelice upotrebljavaju infracrvene kamere za provjere kvalitete</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PL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r>
              <w:rPr>
                <w:rFonts w:ascii="Arial" w:hAnsi="Arial"/>
              </w:rPr>
              <w:t>fotoluminiscencija</w:t>
            </w:r>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lastRenderedPageBreak/>
              <w:t>ESG</w:t>
            </w:r>
          </w:p>
        </w:tc>
        <w:tc>
          <w:tcPr>
            <w:tcW w:w="345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r>
              <w:rPr>
                <w:rFonts w:ascii="Arial" w:hAnsi="Arial"/>
              </w:rPr>
              <w:t>okolišno i društveno upravljanje</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AQL</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Pr>
                <w:rFonts w:ascii="Arial" w:hAnsi="Arial"/>
              </w:rPr>
              <w:t>prihvatljiva granica kvalitete</w:t>
            </w:r>
          </w:p>
        </w:tc>
      </w:tr>
      <w:tr w:rsidR="008A2C89" w:rsidRPr="004C0EBD"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r>
              <w:rPr>
                <w:rFonts w:ascii="Arial" w:hAnsi="Arial"/>
              </w:rPr>
              <w:t>RfG</w:t>
            </w:r>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r>
              <w:rPr>
                <w:rFonts w:ascii="Arial" w:hAnsi="Arial"/>
              </w:rPr>
              <w:t>zahtjevi za proizvodnju energije</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r>
              <w:rPr>
                <w:rFonts w:ascii="Arial" w:hAnsi="Arial"/>
              </w:rPr>
              <w:t>spremno za izgradnju</w:t>
            </w:r>
          </w:p>
        </w:tc>
      </w:tr>
      <w:tr w:rsidR="008A2C89" w:rsidRPr="004C0EBD"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t>BAFO</w:t>
            </w:r>
          </w:p>
        </w:tc>
        <w:tc>
          <w:tcPr>
            <w:tcW w:w="3454" w:type="dxa"/>
            <w:tcMar>
              <w:top w:w="28" w:type="dxa"/>
              <w:bottom w:w="28" w:type="dxa"/>
            </w:tcMar>
            <w:vAlign w:val="center"/>
          </w:tcPr>
          <w:p w14:paraId="5944A63D" w14:textId="77777777" w:rsidR="5FA5399C" w:rsidRPr="001F15A3" w:rsidRDefault="5FA5399C" w:rsidP="001F15A3">
            <w:pPr>
              <w:rPr>
                <w:rFonts w:ascii="Arial" w:eastAsiaTheme="majorEastAsia" w:hAnsi="Arial" w:cs="Arial"/>
              </w:rPr>
            </w:pPr>
            <w:r>
              <w:rPr>
                <w:rFonts w:ascii="Arial" w:hAnsi="Arial"/>
              </w:rPr>
              <w:t>najbolja i konačna ponuda</w:t>
            </w:r>
          </w:p>
        </w:tc>
        <w:tc>
          <w:tcPr>
            <w:tcW w:w="1380"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904945">
      <w:pPr>
        <w:pStyle w:val="MH1"/>
        <w:rPr>
          <w:rFonts w:eastAsiaTheme="majorEastAsia"/>
          <w:color w:val="92D050"/>
          <w:sz w:val="40"/>
          <w:szCs w:val="40"/>
        </w:rPr>
      </w:pPr>
      <w:r>
        <w:br w:type="page"/>
      </w:r>
      <w:bookmarkStart w:id="91" w:name="_Toc176854543"/>
      <w:bookmarkStart w:id="92" w:name="_Toc180568562"/>
      <w:r>
        <w:lastRenderedPageBreak/>
        <w:t>Prilog 1. – Tehnički savjetnici</w:t>
      </w:r>
      <w:r>
        <w:rPr>
          <w:rStyle w:val="FootnoteReference"/>
        </w:rPr>
        <w:t>2</w:t>
      </w:r>
      <w:bookmarkEnd w:id="91"/>
      <w:bookmarkEnd w:id="92"/>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 xml:space="preserve">Napomena: </w:t>
      </w:r>
      <w:r>
        <w:t xml:space="preserve">Popis u nastavku nije konačan. Nismo proveli nikakva istraživanja o iskustvu, kvaliteti ili cijenama savjetnika navedenih u nastavku.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Društvo</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Mjesto poslovnog nastana</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Kontakt</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E-adresa</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r>
              <w:rPr>
                <w:rFonts w:ascii="Arial" w:hAnsi="Arial"/>
                <w:sz w:val="20"/>
              </w:rPr>
              <w:t>Encon</w:t>
            </w:r>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r>
              <w:rPr>
                <w:rFonts w:ascii="Arial" w:hAnsi="Arial"/>
                <w:sz w:val="20"/>
              </w:rPr>
              <w:t>Nijmegen, NL</w:t>
            </w:r>
          </w:p>
        </w:tc>
        <w:tc>
          <w:tcPr>
            <w:tcW w:w="2268" w:type="dxa"/>
            <w:tcMar>
              <w:top w:w="28" w:type="dxa"/>
              <w:bottom w:w="28" w:type="dxa"/>
            </w:tcMar>
          </w:tcPr>
          <w:p w14:paraId="1FA2EDB0" w14:textId="17B90742"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2FEE3605" w:rsidR="00CA7080" w:rsidRPr="00830EE2" w:rsidRDefault="00B42E33" w:rsidP="00CB76C0">
            <w:pPr>
              <w:rPr>
                <w:rFonts w:ascii="Arial" w:hAnsi="Arial" w:cs="Arial"/>
                <w:sz w:val="20"/>
                <w:szCs w:val="20"/>
              </w:rPr>
            </w:pPr>
            <w:hyperlink r:id="rId21" w:history="1"/>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r>
              <w:rPr>
                <w:rFonts w:ascii="Arial" w:hAnsi="Arial"/>
                <w:sz w:val="20"/>
              </w:rPr>
              <w:t>Straight Forward</w:t>
            </w:r>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r>
              <w:rPr>
                <w:rFonts w:ascii="Arial" w:hAnsi="Arial"/>
                <w:sz w:val="20"/>
              </w:rPr>
              <w:t>Urmond, NL</w:t>
            </w:r>
          </w:p>
        </w:tc>
        <w:tc>
          <w:tcPr>
            <w:tcW w:w="2268" w:type="dxa"/>
            <w:tcMar>
              <w:top w:w="28" w:type="dxa"/>
              <w:bottom w:w="28" w:type="dxa"/>
            </w:tcMar>
          </w:tcPr>
          <w:p w14:paraId="658643B2" w14:textId="305831D0"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65D100CD"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r>
              <w:rPr>
                <w:rFonts w:ascii="Arial" w:hAnsi="Arial"/>
                <w:sz w:val="20"/>
              </w:rPr>
              <w:t>Pulsar Power</w:t>
            </w:r>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r>
              <w:rPr>
                <w:rFonts w:ascii="Arial" w:hAnsi="Arial"/>
                <w:sz w:val="20"/>
              </w:rPr>
              <w:t>Herentals, BE</w:t>
            </w:r>
          </w:p>
        </w:tc>
        <w:tc>
          <w:tcPr>
            <w:tcW w:w="2268" w:type="dxa"/>
            <w:tcMar>
              <w:top w:w="28" w:type="dxa"/>
              <w:bottom w:w="28" w:type="dxa"/>
            </w:tcMar>
          </w:tcPr>
          <w:p w14:paraId="025CE506" w14:textId="427BD34D"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3EDE00C9" w:rsidR="00CA7080" w:rsidRPr="00830EE2" w:rsidRDefault="00CA7080" w:rsidP="00CB76C0">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Pr>
                <w:rFonts w:ascii="Arial" w:hAnsi="Arial"/>
                <w:sz w:val="20"/>
              </w:rPr>
              <w:t>Bruxelles, BE</w:t>
            </w:r>
          </w:p>
        </w:tc>
        <w:tc>
          <w:tcPr>
            <w:tcW w:w="2268" w:type="dxa"/>
            <w:tcMar>
              <w:top w:w="28" w:type="dxa"/>
              <w:bottom w:w="28" w:type="dxa"/>
            </w:tcMar>
          </w:tcPr>
          <w:p w14:paraId="71F1D7AA" w14:textId="2366098A"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0EB4884F"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r>
              <w:rPr>
                <w:rFonts w:ascii="Arial" w:hAnsi="Arial"/>
                <w:sz w:val="20"/>
              </w:rPr>
              <w:t>Arnhem, NL</w:t>
            </w:r>
          </w:p>
        </w:tc>
        <w:tc>
          <w:tcPr>
            <w:tcW w:w="2268" w:type="dxa"/>
            <w:tcMar>
              <w:top w:w="28" w:type="dxa"/>
              <w:bottom w:w="28" w:type="dxa"/>
            </w:tcMar>
          </w:tcPr>
          <w:p w14:paraId="7AB1A51C" w14:textId="1C88C16F"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1E7BCEAD" w:rsidR="00CA7080" w:rsidRPr="00830EE2" w:rsidRDefault="00CA7080" w:rsidP="00CB76C0">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r>
              <w:rPr>
                <w:rFonts w:ascii="Arial" w:hAnsi="Arial"/>
                <w:sz w:val="20"/>
              </w:rPr>
              <w:t>Sunzest Solar</w:t>
            </w:r>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Rotterdam, NL</w:t>
            </w:r>
          </w:p>
        </w:tc>
        <w:tc>
          <w:tcPr>
            <w:tcW w:w="2268" w:type="dxa"/>
            <w:tcMar>
              <w:top w:w="28" w:type="dxa"/>
              <w:bottom w:w="28" w:type="dxa"/>
            </w:tcMar>
          </w:tcPr>
          <w:p w14:paraId="27E8DE7A" w14:textId="4571920C"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7A9AC4C6"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r>
              <w:rPr>
                <w:rFonts w:ascii="Arial" w:hAnsi="Arial"/>
                <w:sz w:val="20"/>
              </w:rPr>
              <w:t>Solar Chills</w:t>
            </w:r>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r>
              <w:rPr>
                <w:rFonts w:ascii="Arial" w:hAnsi="Arial"/>
                <w:sz w:val="20"/>
              </w:rPr>
              <w:t>Haarlem, NL</w:t>
            </w:r>
          </w:p>
        </w:tc>
        <w:tc>
          <w:tcPr>
            <w:tcW w:w="2268" w:type="dxa"/>
            <w:tcMar>
              <w:top w:w="28" w:type="dxa"/>
              <w:bottom w:w="28" w:type="dxa"/>
            </w:tcMar>
          </w:tcPr>
          <w:p w14:paraId="6CB0A123" w14:textId="664E853C"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3B4253EF"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r>
              <w:rPr>
                <w:rFonts w:ascii="Arial" w:hAnsi="Arial"/>
                <w:sz w:val="20"/>
              </w:rPr>
              <w:t>DevCon Ecosystems</w:t>
            </w:r>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r>
              <w:rPr>
                <w:rFonts w:ascii="Arial" w:hAnsi="Arial"/>
                <w:sz w:val="20"/>
              </w:rPr>
              <w:t>Zaandam, NL</w:t>
            </w:r>
          </w:p>
        </w:tc>
        <w:tc>
          <w:tcPr>
            <w:tcW w:w="2268" w:type="dxa"/>
            <w:tcMar>
              <w:top w:w="28" w:type="dxa"/>
              <w:bottom w:w="28" w:type="dxa"/>
            </w:tcMar>
          </w:tcPr>
          <w:p w14:paraId="1A047144" w14:textId="30FC9E38"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6D5A4628"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904945">
      <w:pPr>
        <w:pStyle w:val="MH1"/>
      </w:pPr>
      <w:bookmarkStart w:id="93" w:name="_Toc176854544"/>
      <w:bookmarkStart w:id="94" w:name="_Toc180568563"/>
      <w:r>
        <w:lastRenderedPageBreak/>
        <w:t>Prilog 2. – Savjetnici za građevinsku fiziku, građevinski inženjeri specijalizirani za opterećenje krova</w:t>
      </w:r>
      <w:r>
        <w:rPr>
          <w:rStyle w:val="FootnoteReference"/>
        </w:rPr>
        <w:t>2</w:t>
      </w:r>
      <w:bookmarkEnd w:id="93"/>
      <w:bookmarkEnd w:id="94"/>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 xml:space="preserve">Napomena: </w:t>
      </w:r>
      <w:r>
        <w:t xml:space="preserve">Popis u nastavku nije konačan. Nismo proveli nikakva istraživanja o iskustvu, kvaliteti ili cijenama savjetnika navedenih u nastavku.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405"/>
        <w:gridCol w:w="1813"/>
        <w:gridCol w:w="1873"/>
        <w:gridCol w:w="2971"/>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Društvo</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Mjesto poslovnog nastana</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Kontakt</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E-adresa</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r>
              <w:rPr>
                <w:rFonts w:ascii="Arial" w:hAnsi="Arial"/>
                <w:sz w:val="20"/>
              </w:rPr>
              <w:t>Dakbestek Adviesburo</w:t>
            </w:r>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r>
              <w:rPr>
                <w:rFonts w:ascii="Arial" w:hAnsi="Arial"/>
                <w:sz w:val="20"/>
              </w:rPr>
              <w:t>Vught, NL</w:t>
            </w:r>
          </w:p>
        </w:tc>
        <w:tc>
          <w:tcPr>
            <w:tcW w:w="1873" w:type="dxa"/>
            <w:tcMar>
              <w:top w:w="28" w:type="dxa"/>
              <w:bottom w:w="28" w:type="dxa"/>
            </w:tcMar>
          </w:tcPr>
          <w:p w14:paraId="56C4C3C4" w14:textId="609B2D63"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00360A8A"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Van Doorn Dakspecialist</w:t>
            </w:r>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r>
              <w:rPr>
                <w:rFonts w:ascii="Arial" w:hAnsi="Arial"/>
                <w:sz w:val="20"/>
              </w:rPr>
              <w:t>Rilland, NL</w:t>
            </w:r>
          </w:p>
        </w:tc>
        <w:tc>
          <w:tcPr>
            <w:tcW w:w="1873" w:type="dxa"/>
            <w:tcMar>
              <w:top w:w="28" w:type="dxa"/>
              <w:bottom w:w="28" w:type="dxa"/>
            </w:tcMar>
          </w:tcPr>
          <w:p w14:paraId="773F72CB" w14:textId="3C292B6C"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2B08807D"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r>
              <w:rPr>
                <w:rFonts w:ascii="Arial" w:hAnsi="Arial"/>
                <w:sz w:val="20"/>
              </w:rPr>
              <w:t>Delft, NL</w:t>
            </w:r>
          </w:p>
        </w:tc>
        <w:tc>
          <w:tcPr>
            <w:tcW w:w="1873" w:type="dxa"/>
            <w:tcMar>
              <w:top w:w="28" w:type="dxa"/>
              <w:bottom w:w="28" w:type="dxa"/>
            </w:tcMar>
          </w:tcPr>
          <w:p w14:paraId="123F0BED" w14:textId="07640D82"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2466E24F"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r>
              <w:rPr>
                <w:rFonts w:ascii="Arial" w:hAnsi="Arial"/>
                <w:sz w:val="20"/>
              </w:rPr>
              <w:t>Arnhem, NL</w:t>
            </w:r>
          </w:p>
        </w:tc>
        <w:tc>
          <w:tcPr>
            <w:tcW w:w="1873" w:type="dxa"/>
            <w:tcMar>
              <w:top w:w="28" w:type="dxa"/>
              <w:bottom w:w="28" w:type="dxa"/>
            </w:tcMar>
          </w:tcPr>
          <w:p w14:paraId="04165859" w14:textId="12739CC3"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1A04BF60"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r>
              <w:rPr>
                <w:rFonts w:ascii="Arial" w:hAnsi="Arial"/>
                <w:sz w:val="20"/>
              </w:rPr>
              <w:t>Buro Bouwfysica</w:t>
            </w:r>
          </w:p>
        </w:tc>
        <w:tc>
          <w:tcPr>
            <w:tcW w:w="1813" w:type="dxa"/>
            <w:tcMar>
              <w:top w:w="28" w:type="dxa"/>
              <w:bottom w:w="28" w:type="dxa"/>
            </w:tcMar>
          </w:tcPr>
          <w:p w14:paraId="6D9EB62C" w14:textId="714E2A97" w:rsidR="006E596B" w:rsidRPr="00830EE2" w:rsidRDefault="5FA5399C" w:rsidP="00A3595E">
            <w:pPr>
              <w:rPr>
                <w:rFonts w:ascii="Arial" w:hAnsi="Arial" w:cs="Arial"/>
                <w:sz w:val="20"/>
                <w:szCs w:val="20"/>
              </w:rPr>
            </w:pPr>
            <w:r>
              <w:rPr>
                <w:rFonts w:ascii="Arial" w:hAnsi="Arial"/>
                <w:sz w:val="20"/>
              </w:rPr>
              <w:t>Cappelle aan de Ijssel, NL</w:t>
            </w:r>
          </w:p>
        </w:tc>
        <w:tc>
          <w:tcPr>
            <w:tcW w:w="1873" w:type="dxa"/>
            <w:tcMar>
              <w:top w:w="28" w:type="dxa"/>
              <w:bottom w:w="28" w:type="dxa"/>
            </w:tcMar>
          </w:tcPr>
          <w:p w14:paraId="7CBF9C09" w14:textId="7851A619"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432E9513"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r>
              <w:rPr>
                <w:rFonts w:ascii="Arial" w:hAnsi="Arial"/>
                <w:sz w:val="20"/>
              </w:rPr>
              <w:t>Tricij</w:t>
            </w:r>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r>
              <w:rPr>
                <w:rFonts w:ascii="Arial" w:hAnsi="Arial"/>
                <w:sz w:val="20"/>
              </w:rPr>
              <w:t>Breda, NL</w:t>
            </w:r>
          </w:p>
        </w:tc>
        <w:tc>
          <w:tcPr>
            <w:tcW w:w="1873" w:type="dxa"/>
            <w:tcMar>
              <w:top w:w="28" w:type="dxa"/>
              <w:bottom w:w="28" w:type="dxa"/>
            </w:tcMar>
          </w:tcPr>
          <w:p w14:paraId="69ED4681" w14:textId="6F5E154D"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343EFC6B"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904945">
      <w:pPr>
        <w:pStyle w:val="MH1"/>
      </w:pPr>
      <w:bookmarkStart w:id="95" w:name="_Toc176854545"/>
      <w:bookmarkStart w:id="96" w:name="_Toc180568564"/>
      <w:r>
        <w:lastRenderedPageBreak/>
        <w:t xml:space="preserve">Prilog 3. – Poduzeća za ugradnju </w:t>
      </w:r>
      <w:r>
        <w:br/>
        <w:t xml:space="preserve">EPC-ovi i nositelji projekata </w:t>
      </w:r>
      <w:r>
        <w:br/>
        <w:t>za poduzeća koja se bave fotonaponskom tehnologijom</w:t>
      </w:r>
      <w:r>
        <w:rPr>
          <w:rStyle w:val="FootnoteReference"/>
        </w:rPr>
        <w:t>2</w:t>
      </w:r>
      <w:bookmarkEnd w:id="95"/>
      <w:bookmarkEnd w:id="96"/>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 xml:space="preserve">Napomena: </w:t>
      </w:r>
      <w:r>
        <w:t xml:space="preserve">Popis u nastavku nije konačan. Nismo proveli nikakva istraživanja o iskustvu, kvaliteti ili cijenama savjetnika navedenih u nastavku.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Vrsta društva</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Društvo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Internetska stranica</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E-adresa </w:t>
            </w:r>
          </w:p>
        </w:tc>
      </w:tr>
      <w:tr w:rsidR="00854620" w:rsidRPr="004C0EBD" w14:paraId="45B59C13" w14:textId="77777777" w:rsidTr="00830EE2">
        <w:tc>
          <w:tcPr>
            <w:tcW w:w="1696"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Velika poduzeća za električne i tehničke instalacije</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r>
              <w:rPr>
                <w:rFonts w:ascii="Arial" w:hAnsi="Arial"/>
                <w:sz w:val="20"/>
              </w:rPr>
              <w:t>Unica</w:t>
            </w:r>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6F6655C2" w:rsidR="00854620" w:rsidRPr="00830EE2" w:rsidRDefault="00854620" w:rsidP="00CB76C0">
            <w:pPr>
              <w:rPr>
                <w:rFonts w:ascii="Arial" w:hAnsi="Arial" w:cs="Arial"/>
                <w:sz w:val="20"/>
                <w:szCs w:val="20"/>
              </w:rPr>
            </w:pP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r>
              <w:rPr>
                <w:rFonts w:ascii="Arial" w:hAnsi="Arial"/>
                <w:sz w:val="20"/>
              </w:rPr>
              <w:t>Hoppenbrouwers</w:t>
            </w:r>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43F4E73E" w:rsidR="00854620" w:rsidRPr="00830EE2" w:rsidRDefault="00854620" w:rsidP="00CA7080">
            <w:pPr>
              <w:rPr>
                <w:rFonts w:ascii="Arial" w:hAnsi="Arial" w:cs="Arial"/>
                <w:sz w:val="20"/>
                <w:szCs w:val="20"/>
              </w:rPr>
            </w:pP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r>
              <w:rPr>
                <w:rFonts w:ascii="Arial" w:hAnsi="Arial"/>
                <w:sz w:val="20"/>
              </w:rPr>
              <w:t>Batenburg</w:t>
            </w:r>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0F13DD95" w:rsidR="00854620" w:rsidRPr="00830EE2" w:rsidRDefault="00854620" w:rsidP="5FA5399C">
            <w:pPr>
              <w:rPr>
                <w:rFonts w:ascii="Arial" w:eastAsiaTheme="minorEastAsia" w:hAnsi="Arial" w:cs="Arial"/>
                <w:sz w:val="20"/>
                <w:szCs w:val="20"/>
              </w:rPr>
            </w:pPr>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r>
              <w:rPr>
                <w:rFonts w:ascii="Arial" w:hAnsi="Arial"/>
                <w:sz w:val="20"/>
              </w:rPr>
              <w:t>Spie</w:t>
            </w:r>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3C3B8C83" w:rsidR="00854620" w:rsidRPr="00830EE2" w:rsidRDefault="00854620" w:rsidP="00CA7080">
            <w:pPr>
              <w:rPr>
                <w:rFonts w:ascii="Arial" w:hAnsi="Arial" w:cs="Arial"/>
                <w:sz w:val="20"/>
                <w:szCs w:val="20"/>
              </w:rPr>
            </w:pP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r>
              <w:rPr>
                <w:rFonts w:ascii="Arial" w:hAnsi="Arial"/>
                <w:sz w:val="20"/>
              </w:rPr>
              <w:t>Croon Elektrotechniek</w:t>
            </w:r>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538A563B" w:rsidR="00854620" w:rsidRPr="00830EE2" w:rsidRDefault="00854620" w:rsidP="5FA5399C">
            <w:pPr>
              <w:rPr>
                <w:rFonts w:ascii="Arial" w:hAnsi="Arial" w:cs="Arial"/>
                <w:sz w:val="20"/>
                <w:szCs w:val="20"/>
              </w:rPr>
            </w:pPr>
          </w:p>
        </w:tc>
      </w:tr>
      <w:tr w:rsidR="00854620" w:rsidRPr="004C0EBD" w14:paraId="7EC8E884" w14:textId="77777777" w:rsidTr="00830EE2">
        <w:tc>
          <w:tcPr>
            <w:tcW w:w="1696"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Pr>
                <w:rFonts w:ascii="Arial" w:hAnsi="Arial"/>
                <w:b/>
                <w:color w:val="104D54"/>
                <w:sz w:val="24"/>
              </w:rPr>
              <w:t xml:space="preserve">Velika poduzeća za solarne instalacije / </w:t>
            </w:r>
            <w:r>
              <w:rPr>
                <w:rFonts w:ascii="Arial" w:hAnsi="Arial"/>
                <w:b/>
                <w:color w:val="104D54"/>
                <w:sz w:val="24"/>
              </w:rPr>
              <w:br/>
              <w:t>EPC-ovi</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r>
              <w:rPr>
                <w:rFonts w:ascii="Arial" w:hAnsi="Arial"/>
                <w:sz w:val="20"/>
              </w:rPr>
              <w:t>Zonnegilde</w:t>
            </w:r>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7D1AEAB3" w:rsidR="00854620" w:rsidRPr="00830EE2" w:rsidRDefault="00854620" w:rsidP="00CA7080">
            <w:pPr>
              <w:rPr>
                <w:rFonts w:ascii="Arial" w:hAnsi="Arial" w:cs="Arial"/>
                <w:sz w:val="20"/>
                <w:szCs w:val="20"/>
              </w:rPr>
            </w:pP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r>
              <w:rPr>
                <w:rFonts w:ascii="Arial" w:hAnsi="Arial"/>
                <w:sz w:val="20"/>
              </w:rPr>
              <w:t>SolarNRG</w:t>
            </w:r>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r>
              <w:rPr>
                <w:rFonts w:ascii="Arial" w:hAnsi="Arial"/>
                <w:sz w:val="20"/>
              </w:rPr>
              <w:t>Zonnestroom Nederland</w:t>
            </w:r>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0CAAC9FE" w:rsidR="00854620" w:rsidRPr="00830EE2" w:rsidRDefault="00854620" w:rsidP="00CA7080">
            <w:pPr>
              <w:rPr>
                <w:rFonts w:ascii="Arial" w:hAnsi="Arial" w:cs="Arial"/>
                <w:sz w:val="20"/>
                <w:szCs w:val="20"/>
              </w:rPr>
            </w:pP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r>
              <w:rPr>
                <w:rFonts w:ascii="Arial" w:hAnsi="Arial"/>
                <w:sz w:val="20"/>
              </w:rPr>
              <w:t>Eigen Energie</w:t>
            </w:r>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08285B79" w:rsidR="00854620" w:rsidRPr="00830EE2" w:rsidRDefault="00854620" w:rsidP="00CA7080">
            <w:pPr>
              <w:rPr>
                <w:rFonts w:ascii="Arial" w:hAnsi="Arial" w:cs="Arial"/>
                <w:sz w:val="20"/>
                <w:szCs w:val="20"/>
              </w:rPr>
            </w:pP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r>
              <w:rPr>
                <w:rFonts w:ascii="Arial" w:hAnsi="Arial"/>
                <w:sz w:val="20"/>
              </w:rPr>
              <w:t>Groenleven</w:t>
            </w:r>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0FEA5408" w:rsidR="00854620" w:rsidRPr="00830EE2" w:rsidRDefault="00854620" w:rsidP="00CA7080">
            <w:pPr>
              <w:rPr>
                <w:rFonts w:ascii="Arial" w:hAnsi="Arial" w:cs="Arial"/>
                <w:sz w:val="20"/>
                <w:szCs w:val="20"/>
              </w:rPr>
            </w:pP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r>
              <w:rPr>
                <w:rFonts w:ascii="Arial" w:hAnsi="Arial"/>
                <w:sz w:val="20"/>
              </w:rPr>
              <w:t>Ecorus</w:t>
            </w:r>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0F49E93B" w:rsidR="00854620" w:rsidRPr="00830EE2" w:rsidRDefault="00854620" w:rsidP="00CA7080">
            <w:pPr>
              <w:rPr>
                <w:rFonts w:ascii="Arial" w:hAnsi="Arial" w:cs="Arial"/>
                <w:sz w:val="20"/>
                <w:szCs w:val="20"/>
              </w:rPr>
            </w:pP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21853FB9" w:rsidR="00854620" w:rsidRPr="00830EE2" w:rsidRDefault="00854620" w:rsidP="5FA5399C">
            <w:pPr>
              <w:rPr>
                <w:rFonts w:ascii="Arial" w:eastAsiaTheme="minorEastAsia" w:hAnsi="Arial" w:cs="Arial"/>
                <w:sz w:val="20"/>
                <w:szCs w:val="20"/>
              </w:rPr>
            </w:pP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r>
              <w:rPr>
                <w:rFonts w:ascii="Arial" w:hAnsi="Arial"/>
                <w:sz w:val="20"/>
              </w:rPr>
              <w:t>Solarni partneri</w:t>
            </w:r>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2BA676BF" w:rsidR="00854620" w:rsidRPr="00830EE2" w:rsidRDefault="00854620" w:rsidP="5FA5399C">
            <w:pPr>
              <w:rPr>
                <w:rFonts w:ascii="Arial" w:eastAsia="Lato" w:hAnsi="Arial" w:cs="Arial"/>
                <w:sz w:val="20"/>
                <w:szCs w:val="20"/>
              </w:rPr>
            </w:pP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r>
              <w:rPr>
                <w:rFonts w:ascii="Arial" w:hAnsi="Arial"/>
                <w:sz w:val="20"/>
              </w:rPr>
              <w:t>UniSun</w:t>
            </w:r>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596878B3" w:rsidR="00854620" w:rsidRPr="00830EE2" w:rsidRDefault="00854620" w:rsidP="5FA5399C">
            <w:pPr>
              <w:rPr>
                <w:rFonts w:ascii="Arial" w:eastAsiaTheme="minorEastAsia" w:hAnsi="Arial" w:cs="Arial"/>
                <w:sz w:val="20"/>
                <w:szCs w:val="20"/>
              </w:rPr>
            </w:pPr>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r>
              <w:rPr>
                <w:rFonts w:ascii="Arial" w:hAnsi="Arial"/>
                <w:sz w:val="20"/>
              </w:rPr>
              <w:t>Goldbeck</w:t>
            </w:r>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5488ADC7" w:rsidR="00854620" w:rsidRPr="00830EE2" w:rsidRDefault="00854620" w:rsidP="00CA7080">
            <w:pPr>
              <w:rPr>
                <w:rFonts w:ascii="Arial" w:hAnsi="Arial" w:cs="Arial"/>
                <w:sz w:val="20"/>
                <w:szCs w:val="20"/>
              </w:rPr>
            </w:pP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r>
              <w:rPr>
                <w:rFonts w:ascii="Arial" w:hAnsi="Arial"/>
                <w:sz w:val="20"/>
              </w:rPr>
              <w:t>KiesZon</w:t>
            </w:r>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0D8599C3" w:rsidR="00854620" w:rsidRPr="00830EE2" w:rsidRDefault="00854620" w:rsidP="5FA5399C">
            <w:pPr>
              <w:rPr>
                <w:rFonts w:ascii="Arial" w:eastAsiaTheme="minorEastAsia" w:hAnsi="Arial" w:cs="Arial"/>
                <w:sz w:val="20"/>
                <w:szCs w:val="20"/>
              </w:rPr>
            </w:pP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r>
              <w:rPr>
                <w:rFonts w:ascii="Arial" w:hAnsi="Arial"/>
                <w:sz w:val="20"/>
              </w:rPr>
              <w:t>OranjeDak</w:t>
            </w:r>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1A7F90F9" w:rsidR="00854620" w:rsidRPr="00830EE2" w:rsidRDefault="00854620" w:rsidP="00CA7080">
            <w:pPr>
              <w:rPr>
                <w:rFonts w:ascii="Arial" w:hAnsi="Arial" w:cs="Arial"/>
                <w:sz w:val="20"/>
                <w:szCs w:val="20"/>
              </w:rPr>
            </w:pP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r>
              <w:rPr>
                <w:rFonts w:ascii="Arial" w:hAnsi="Arial"/>
                <w:sz w:val="20"/>
              </w:rPr>
              <w:t>SunProjects</w:t>
            </w:r>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2AE96697" w:rsidR="00854620" w:rsidRPr="00830EE2" w:rsidRDefault="00854620" w:rsidP="00CA7080">
            <w:pPr>
              <w:rPr>
                <w:rFonts w:ascii="Arial" w:hAnsi="Arial" w:cs="Arial"/>
                <w:sz w:val="20"/>
                <w:szCs w:val="20"/>
              </w:rPr>
            </w:pP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r>
              <w:rPr>
                <w:rFonts w:ascii="Arial" w:hAnsi="Arial"/>
                <w:sz w:val="20"/>
              </w:rPr>
              <w:t>Izen</w:t>
            </w:r>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5711894B" w:rsidR="00854620" w:rsidRPr="00830EE2" w:rsidRDefault="00854620" w:rsidP="00CA7080">
            <w:pPr>
              <w:rPr>
                <w:rFonts w:ascii="Arial" w:hAnsi="Arial" w:cs="Arial"/>
                <w:sz w:val="20"/>
                <w:szCs w:val="20"/>
              </w:rPr>
            </w:pP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r>
              <w:rPr>
                <w:rFonts w:ascii="Arial" w:hAnsi="Arial"/>
                <w:sz w:val="20"/>
              </w:rPr>
              <w:t>Pfzal Solar</w:t>
            </w:r>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56CCE54D" w:rsidR="00854620" w:rsidRPr="00830EE2" w:rsidRDefault="00854620" w:rsidP="00CA7080">
            <w:pPr>
              <w:rPr>
                <w:rFonts w:ascii="Arial" w:eastAsia="Titillium Web" w:hAnsi="Arial" w:cs="Arial"/>
                <w:sz w:val="20"/>
                <w:szCs w:val="20"/>
              </w:rPr>
            </w:pP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r>
              <w:rPr>
                <w:rFonts w:ascii="Arial" w:hAnsi="Arial"/>
                <w:sz w:val="20"/>
              </w:rPr>
              <w:t>Engie</w:t>
            </w:r>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17EB40F9" w:rsidR="00854620" w:rsidRPr="00830EE2" w:rsidRDefault="00854620" w:rsidP="00CA7080">
            <w:pPr>
              <w:rPr>
                <w:rFonts w:ascii="Arial" w:hAnsi="Arial" w:cs="Arial"/>
                <w:sz w:val="20"/>
                <w:szCs w:val="20"/>
              </w:rPr>
            </w:pP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r>
              <w:rPr>
                <w:rFonts w:ascii="Arial" w:hAnsi="Arial"/>
                <w:sz w:val="20"/>
              </w:rPr>
              <w:t>Belectric</w:t>
            </w:r>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3728510C" w:rsidR="00854620" w:rsidRPr="00830EE2" w:rsidRDefault="00854620" w:rsidP="00CA7080">
            <w:pPr>
              <w:rPr>
                <w:rFonts w:ascii="Arial" w:hAnsi="Arial" w:cs="Arial"/>
                <w:sz w:val="20"/>
                <w:szCs w:val="20"/>
              </w:rPr>
            </w:pP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r>
              <w:rPr>
                <w:rFonts w:ascii="Arial" w:hAnsi="Arial"/>
                <w:sz w:val="20"/>
              </w:rPr>
              <w:t>ProfiNRG</w:t>
            </w:r>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20BA02DE" w:rsidR="00854620" w:rsidRPr="00830EE2" w:rsidRDefault="00854620" w:rsidP="00CA7080">
            <w:pPr>
              <w:rPr>
                <w:rFonts w:ascii="Arial" w:hAnsi="Arial" w:cs="Arial"/>
                <w:sz w:val="20"/>
                <w:szCs w:val="20"/>
              </w:rPr>
            </w:pP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Nositelji projekta</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r>
              <w:rPr>
                <w:rFonts w:ascii="Arial" w:hAnsi="Arial"/>
                <w:sz w:val="20"/>
              </w:rPr>
              <w:t>Groenleven</w:t>
            </w:r>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1B0CB965" w:rsidR="00854620" w:rsidRPr="00830EE2" w:rsidRDefault="00854620" w:rsidP="00CA7080">
            <w:pPr>
              <w:rPr>
                <w:rFonts w:ascii="Arial" w:hAnsi="Arial" w:cs="Arial"/>
                <w:sz w:val="20"/>
                <w:szCs w:val="20"/>
              </w:rPr>
            </w:pP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r>
              <w:rPr>
                <w:rFonts w:ascii="Arial" w:hAnsi="Arial"/>
                <w:sz w:val="20"/>
              </w:rPr>
              <w:t>Klimaatfonds</w:t>
            </w:r>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62BCC86A" w:rsidR="00854620" w:rsidRPr="00830EE2" w:rsidRDefault="00854620" w:rsidP="00CA7080">
            <w:pPr>
              <w:rPr>
                <w:rFonts w:ascii="Arial" w:hAnsi="Arial" w:cs="Arial"/>
                <w:sz w:val="20"/>
                <w:szCs w:val="20"/>
              </w:rPr>
            </w:pP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r>
              <w:rPr>
                <w:rFonts w:ascii="Arial" w:hAnsi="Arial"/>
                <w:sz w:val="20"/>
              </w:rPr>
              <w:t>TPSolar</w:t>
            </w:r>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52311AC0" w:rsidR="00854620" w:rsidRPr="00830EE2" w:rsidRDefault="00854620" w:rsidP="00CA7080">
            <w:pPr>
              <w:rPr>
                <w:rFonts w:ascii="Arial" w:hAnsi="Arial" w:cs="Arial"/>
                <w:sz w:val="20"/>
                <w:szCs w:val="20"/>
              </w:rPr>
            </w:pP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r>
              <w:rPr>
                <w:rFonts w:ascii="Arial" w:hAnsi="Arial"/>
                <w:sz w:val="20"/>
              </w:rPr>
              <w:t>GreenIpp</w:t>
            </w:r>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40DC2765" w:rsidR="00854620" w:rsidRPr="00830EE2" w:rsidRDefault="00854620" w:rsidP="5FA5399C">
            <w:pPr>
              <w:rPr>
                <w:rFonts w:ascii="Arial" w:hAnsi="Arial" w:cs="Arial"/>
                <w:sz w:val="20"/>
                <w:szCs w:val="20"/>
              </w:rPr>
            </w:pP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r>
              <w:rPr>
                <w:rFonts w:ascii="Arial" w:hAnsi="Arial"/>
                <w:sz w:val="20"/>
              </w:rPr>
              <w:t>Encavis</w:t>
            </w:r>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58E019E4" w:rsidR="00854620" w:rsidRPr="00830EE2" w:rsidRDefault="00854620" w:rsidP="00CA7080">
            <w:pPr>
              <w:rPr>
                <w:rFonts w:ascii="Arial" w:hAnsi="Arial" w:cs="Arial"/>
                <w:sz w:val="20"/>
                <w:szCs w:val="20"/>
              </w:rPr>
            </w:pP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r>
              <w:rPr>
                <w:rFonts w:ascii="Arial" w:hAnsi="Arial"/>
                <w:sz w:val="20"/>
              </w:rPr>
              <w:t>Tomorrow Energy</w:t>
            </w:r>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284E359E" w:rsidR="00854620" w:rsidRPr="00830EE2" w:rsidRDefault="00854620" w:rsidP="5FA5399C">
            <w:pPr>
              <w:rPr>
                <w:rFonts w:ascii="Arial" w:hAnsi="Arial" w:cs="Arial"/>
                <w:sz w:val="20"/>
                <w:szCs w:val="20"/>
              </w:rPr>
            </w:pP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HVC Groep</w:t>
            </w:r>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5B6BB68E" w:rsidR="00854620" w:rsidRPr="00830EE2" w:rsidRDefault="00854620" w:rsidP="5FA5399C">
            <w:pPr>
              <w:rPr>
                <w:rFonts w:ascii="Arial" w:eastAsiaTheme="minorEastAsia" w:hAnsi="Arial" w:cs="Arial"/>
                <w:sz w:val="20"/>
                <w:szCs w:val="20"/>
              </w:rPr>
            </w:pP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r>
              <w:rPr>
                <w:rFonts w:ascii="Arial" w:hAnsi="Arial"/>
                <w:sz w:val="20"/>
              </w:rPr>
              <w:t>Nara Solar</w:t>
            </w:r>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4E473C5A" w:rsidR="00854620" w:rsidRPr="00830EE2" w:rsidRDefault="00854620" w:rsidP="5FA5399C">
            <w:pPr>
              <w:rPr>
                <w:rFonts w:ascii="Arial" w:hAnsi="Arial" w:cs="Arial"/>
                <w:sz w:val="20"/>
                <w:szCs w:val="20"/>
              </w:rPr>
            </w:pP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r>
              <w:rPr>
                <w:rFonts w:ascii="Arial" w:hAnsi="Arial"/>
                <w:sz w:val="20"/>
              </w:rPr>
              <w:t>Statskraft</w:t>
            </w:r>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1DE32F93" w:rsidR="00854620" w:rsidRPr="00830EE2" w:rsidRDefault="00854620" w:rsidP="00CA7080">
            <w:pPr>
              <w:rPr>
                <w:rFonts w:ascii="Arial" w:hAnsi="Arial" w:cs="Arial"/>
                <w:sz w:val="20"/>
                <w:szCs w:val="20"/>
              </w:rPr>
            </w:pP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r>
              <w:rPr>
                <w:rFonts w:ascii="Arial" w:hAnsi="Arial"/>
                <w:sz w:val="20"/>
              </w:rPr>
              <w:t>Pure Energie</w:t>
            </w:r>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2FA4DCF1" w:rsidR="00854620" w:rsidRPr="00830EE2" w:rsidRDefault="00854620" w:rsidP="5FA5399C">
            <w:pPr>
              <w:rPr>
                <w:rFonts w:ascii="Arial" w:hAnsi="Arial" w:cs="Arial"/>
                <w:sz w:val="20"/>
                <w:szCs w:val="20"/>
              </w:rPr>
            </w:pP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LC Energy</w:t>
            </w:r>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r>
              <w:rPr>
                <w:rFonts w:ascii="Arial" w:hAnsi="Arial"/>
                <w:sz w:val="20"/>
              </w:rPr>
              <w:t>Enovos</w:t>
            </w:r>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7F61738E" w:rsidR="00854620" w:rsidRPr="00830EE2" w:rsidRDefault="00854620" w:rsidP="5FA5399C">
            <w:pPr>
              <w:rPr>
                <w:rFonts w:ascii="Arial" w:hAnsi="Arial" w:cs="Arial"/>
                <w:sz w:val="20"/>
                <w:szCs w:val="20"/>
              </w:rPr>
            </w:pP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r>
              <w:rPr>
                <w:rFonts w:ascii="Arial" w:hAnsi="Arial"/>
                <w:sz w:val="20"/>
              </w:rPr>
              <w:t>Lightsource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589B01C0" w:rsidR="00854620" w:rsidRPr="00830EE2" w:rsidRDefault="00854620" w:rsidP="00CA7080">
            <w:pPr>
              <w:rPr>
                <w:rFonts w:ascii="Arial" w:hAnsi="Arial" w:cs="Arial"/>
                <w:sz w:val="20"/>
                <w:szCs w:val="20"/>
              </w:rPr>
            </w:pP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r>
              <w:rPr>
                <w:rFonts w:ascii="Arial" w:hAnsi="Arial"/>
                <w:sz w:val="20"/>
              </w:rPr>
              <w:t>Chint Solar</w:t>
            </w:r>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4D9F03A2" w:rsidR="00854620" w:rsidRPr="00830EE2" w:rsidRDefault="00854620" w:rsidP="00CA7080">
            <w:pPr>
              <w:rPr>
                <w:rFonts w:ascii="Arial" w:hAnsi="Arial" w:cs="Arial"/>
                <w:sz w:val="20"/>
                <w:szCs w:val="20"/>
              </w:rPr>
            </w:pP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r>
              <w:rPr>
                <w:rFonts w:ascii="Arial" w:hAnsi="Arial"/>
                <w:sz w:val="20"/>
              </w:rPr>
              <w:t>SunVest</w:t>
            </w:r>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685B325E" w:rsidR="00854620" w:rsidRPr="00830EE2" w:rsidRDefault="00854620" w:rsidP="00CA7080">
            <w:pPr>
              <w:rPr>
                <w:rFonts w:ascii="Arial" w:hAnsi="Arial" w:cs="Arial"/>
                <w:sz w:val="20"/>
                <w:szCs w:val="20"/>
              </w:rPr>
            </w:pP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r>
              <w:rPr>
                <w:rFonts w:ascii="Arial" w:hAnsi="Arial"/>
                <w:sz w:val="20"/>
              </w:rPr>
              <w:t>SunProjects</w:t>
            </w:r>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0DA83C28" w:rsidR="00854620" w:rsidRPr="00830EE2" w:rsidRDefault="00854620" w:rsidP="00CA7080">
            <w:pPr>
              <w:rPr>
                <w:rFonts w:ascii="Arial" w:hAnsi="Arial" w:cs="Arial"/>
                <w:sz w:val="20"/>
                <w:szCs w:val="20"/>
              </w:rPr>
            </w:pP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r>
              <w:rPr>
                <w:rFonts w:ascii="Arial" w:hAnsi="Arial"/>
                <w:sz w:val="20"/>
              </w:rPr>
              <w:t>Vattenfall</w:t>
            </w:r>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0A18959D" w:rsidR="00854620" w:rsidRPr="00830EE2" w:rsidRDefault="00854620" w:rsidP="00CA7080">
            <w:pPr>
              <w:rPr>
                <w:rFonts w:ascii="Arial" w:hAnsi="Arial" w:cs="Arial"/>
                <w:sz w:val="20"/>
                <w:szCs w:val="20"/>
              </w:rPr>
            </w:pP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r>
              <w:rPr>
                <w:rFonts w:ascii="Arial" w:hAnsi="Arial"/>
                <w:sz w:val="20"/>
              </w:rPr>
              <w:t>Ecorus</w:t>
            </w:r>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6C305BA9" w:rsidR="00854620" w:rsidRPr="00830EE2" w:rsidRDefault="00854620" w:rsidP="00CA7080">
            <w:pPr>
              <w:rPr>
                <w:rFonts w:ascii="Arial" w:hAnsi="Arial" w:cs="Arial"/>
                <w:sz w:val="20"/>
                <w:szCs w:val="20"/>
              </w:rPr>
            </w:pP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r>
              <w:rPr>
                <w:rFonts w:ascii="Arial" w:hAnsi="Arial"/>
                <w:sz w:val="20"/>
              </w:rPr>
              <w:t>Eneco</w:t>
            </w:r>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16394202" w:rsidR="00854620" w:rsidRPr="00830EE2" w:rsidRDefault="00854620" w:rsidP="00CA7080">
            <w:pPr>
              <w:rPr>
                <w:rFonts w:ascii="Arial" w:hAnsi="Arial" w:cs="Arial"/>
                <w:sz w:val="20"/>
                <w:szCs w:val="20"/>
              </w:rPr>
            </w:pP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r>
              <w:rPr>
                <w:rFonts w:ascii="Arial" w:hAnsi="Arial"/>
                <w:sz w:val="20"/>
              </w:rPr>
              <w:t>Powerfield</w:t>
            </w:r>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2DA5F183" w:rsidR="00854620" w:rsidRPr="00830EE2" w:rsidRDefault="00854620" w:rsidP="00CA7080">
            <w:pPr>
              <w:rPr>
                <w:rFonts w:ascii="Arial" w:hAnsi="Arial" w:cs="Arial"/>
                <w:sz w:val="20"/>
                <w:szCs w:val="20"/>
              </w:rPr>
            </w:pP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r>
              <w:rPr>
                <w:rFonts w:ascii="Arial" w:hAnsi="Arial"/>
                <w:sz w:val="20"/>
              </w:rPr>
              <w:t>Novar</w:t>
            </w:r>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522EFD90" w:rsidR="00854620" w:rsidRPr="00830EE2" w:rsidRDefault="00854620" w:rsidP="00CA7080">
            <w:pPr>
              <w:rPr>
                <w:rFonts w:ascii="Arial" w:hAnsi="Arial" w:cs="Arial"/>
                <w:sz w:val="20"/>
                <w:szCs w:val="20"/>
              </w:rPr>
            </w:pP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r>
              <w:rPr>
                <w:rFonts w:ascii="Arial" w:hAnsi="Arial"/>
                <w:sz w:val="20"/>
              </w:rPr>
              <w:t>Groendus</w:t>
            </w:r>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6FC26862" w:rsidR="00854620" w:rsidRPr="00830EE2" w:rsidRDefault="00854620" w:rsidP="00CA7080">
            <w:pPr>
              <w:rPr>
                <w:rFonts w:ascii="Arial" w:hAnsi="Arial" w:cs="Arial"/>
                <w:sz w:val="20"/>
                <w:szCs w:val="20"/>
              </w:rPr>
            </w:pP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IB Vogt</w:t>
            </w:r>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102B6719"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904945">
      <w:pPr>
        <w:pStyle w:val="MH1"/>
      </w:pPr>
      <w:bookmarkStart w:id="97" w:name="_Toc176854546"/>
      <w:bookmarkStart w:id="98" w:name="_Toc180568565"/>
      <w:r>
        <w:lastRenderedPageBreak/>
        <w:t>Prilog 4. – Savjetnici i pružatelji usluga specijalizirani za sustave upravljanja energijom, baterije i upravljanje potražnjom</w:t>
      </w:r>
      <w:r>
        <w:rPr>
          <w:rStyle w:val="FootnoteReference"/>
        </w:rPr>
        <w:t>2</w:t>
      </w:r>
      <w:bookmarkEnd w:id="97"/>
      <w:bookmarkEnd w:id="98"/>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Napomena: </w:t>
      </w:r>
      <w:r>
        <w:t xml:space="preserve">Popis u nastavku nije konačan. Nismo proveli nikakva istraživanja o iskustvu, kvaliteti ili cijenama savjetnika navedenih u nastavku.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163"/>
        <w:gridCol w:w="2177"/>
        <w:gridCol w:w="2194"/>
        <w:gridCol w:w="1825"/>
      </w:tblGrid>
      <w:tr w:rsidR="00830EE2" w:rsidRPr="00830EE2" w14:paraId="5293B041" w14:textId="77777777" w:rsidTr="00B42E33">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Društvo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Mjesto poslovnog nastana</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Kontakt </w:t>
            </w:r>
          </w:p>
        </w:tc>
        <w:tc>
          <w:tcPr>
            <w:tcW w:w="1825"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E-adresa </w:t>
            </w:r>
          </w:p>
        </w:tc>
      </w:tr>
      <w:tr w:rsidR="0052536B" w:rsidRPr="004C0EBD" w14:paraId="564EA913" w14:textId="77777777" w:rsidTr="00B42E33">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r>
              <w:rPr>
                <w:rFonts w:ascii="Arial" w:hAnsi="Arial"/>
                <w:sz w:val="20"/>
              </w:rPr>
              <w:t>Peta Watts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Rotterdam</w:t>
            </w:r>
          </w:p>
        </w:tc>
        <w:tc>
          <w:tcPr>
            <w:tcW w:w="2194" w:type="dxa"/>
            <w:tcMar>
              <w:top w:w="28" w:type="dxa"/>
              <w:bottom w:w="28" w:type="dxa"/>
            </w:tcMar>
            <w:vAlign w:val="center"/>
          </w:tcPr>
          <w:p w14:paraId="68F190C0" w14:textId="502E70E4" w:rsidR="0052536B" w:rsidRPr="00830EE2" w:rsidRDefault="0052536B" w:rsidP="5FA5399C">
            <w:pPr>
              <w:rPr>
                <w:rFonts w:ascii="Arial" w:eastAsiaTheme="minorEastAsia" w:hAnsi="Arial" w:cs="Arial"/>
                <w:sz w:val="20"/>
                <w:szCs w:val="20"/>
              </w:rPr>
            </w:pPr>
          </w:p>
        </w:tc>
        <w:tc>
          <w:tcPr>
            <w:tcW w:w="1825" w:type="dxa"/>
            <w:tcMar>
              <w:top w:w="28" w:type="dxa"/>
              <w:bottom w:w="28" w:type="dxa"/>
            </w:tcMar>
            <w:vAlign w:val="center"/>
          </w:tcPr>
          <w:p w14:paraId="164B0013" w14:textId="20ADC275" w:rsidR="0052536B" w:rsidRPr="00830EE2" w:rsidRDefault="0052536B" w:rsidP="5FA5399C">
            <w:pPr>
              <w:rPr>
                <w:rFonts w:ascii="Arial" w:eastAsiaTheme="minorEastAsia" w:hAnsi="Arial" w:cs="Arial"/>
                <w:sz w:val="20"/>
                <w:szCs w:val="20"/>
              </w:rPr>
            </w:pPr>
          </w:p>
        </w:tc>
      </w:tr>
      <w:tr w:rsidR="00527969" w:rsidRPr="004C0EBD" w14:paraId="55CCA169" w14:textId="77777777" w:rsidTr="00B42E33">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r>
              <w:rPr>
                <w:rFonts w:ascii="Arial" w:hAnsi="Arial"/>
                <w:sz w:val="20"/>
              </w:rPr>
              <w:t>Lyv energy</w:t>
            </w:r>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r>
              <w:rPr>
                <w:rFonts w:ascii="Arial" w:hAnsi="Arial"/>
                <w:sz w:val="20"/>
              </w:rPr>
              <w:t>Blaricum</w:t>
            </w:r>
          </w:p>
        </w:tc>
        <w:tc>
          <w:tcPr>
            <w:tcW w:w="2194" w:type="dxa"/>
            <w:tcMar>
              <w:top w:w="28" w:type="dxa"/>
              <w:bottom w:w="28" w:type="dxa"/>
            </w:tcMar>
            <w:vAlign w:val="center"/>
          </w:tcPr>
          <w:p w14:paraId="0A8A826F" w14:textId="78C475FF" w:rsidR="00527969" w:rsidRPr="00830EE2" w:rsidRDefault="00527969" w:rsidP="5FA5399C">
            <w:pPr>
              <w:rPr>
                <w:rFonts w:ascii="Arial" w:eastAsiaTheme="minorEastAsia" w:hAnsi="Arial" w:cs="Arial"/>
                <w:sz w:val="20"/>
                <w:szCs w:val="20"/>
              </w:rPr>
            </w:pPr>
          </w:p>
        </w:tc>
        <w:tc>
          <w:tcPr>
            <w:tcW w:w="1825" w:type="dxa"/>
            <w:tcMar>
              <w:top w:w="28" w:type="dxa"/>
              <w:bottom w:w="28" w:type="dxa"/>
            </w:tcMar>
            <w:vAlign w:val="center"/>
          </w:tcPr>
          <w:p w14:paraId="7EBA8D53" w14:textId="4509BDFF" w:rsidR="00527969" w:rsidRPr="00830EE2" w:rsidRDefault="00527969" w:rsidP="5FA5399C">
            <w:pPr>
              <w:rPr>
                <w:rFonts w:ascii="Arial" w:eastAsiaTheme="minorEastAsia" w:hAnsi="Arial" w:cs="Arial"/>
                <w:sz w:val="20"/>
                <w:szCs w:val="20"/>
              </w:rPr>
            </w:pPr>
          </w:p>
        </w:tc>
      </w:tr>
      <w:tr w:rsidR="0052536B" w:rsidRPr="004C0EBD" w14:paraId="4F173FF9" w14:textId="77777777" w:rsidTr="00B42E33">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r>
              <w:rPr>
                <w:rFonts w:ascii="Arial" w:hAnsi="Arial"/>
                <w:sz w:val="20"/>
              </w:rPr>
              <w:t>European Solar</w:t>
            </w:r>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r>
              <w:rPr>
                <w:rFonts w:ascii="Arial" w:hAnsi="Arial"/>
                <w:sz w:val="20"/>
              </w:rPr>
              <w:t>Heerenveen</w:t>
            </w:r>
          </w:p>
        </w:tc>
        <w:tc>
          <w:tcPr>
            <w:tcW w:w="2194" w:type="dxa"/>
            <w:tcMar>
              <w:top w:w="28" w:type="dxa"/>
              <w:bottom w:w="28" w:type="dxa"/>
            </w:tcMar>
            <w:vAlign w:val="center"/>
          </w:tcPr>
          <w:p w14:paraId="1280BF28" w14:textId="10F989F7" w:rsidR="0052536B" w:rsidRPr="00830EE2" w:rsidRDefault="0052536B" w:rsidP="5FA5399C">
            <w:pPr>
              <w:rPr>
                <w:rFonts w:ascii="Arial" w:eastAsiaTheme="minorEastAsia" w:hAnsi="Arial" w:cs="Arial"/>
                <w:sz w:val="20"/>
                <w:szCs w:val="20"/>
              </w:rPr>
            </w:pPr>
          </w:p>
        </w:tc>
        <w:tc>
          <w:tcPr>
            <w:tcW w:w="1825" w:type="dxa"/>
            <w:tcMar>
              <w:top w:w="28" w:type="dxa"/>
              <w:bottom w:w="28" w:type="dxa"/>
            </w:tcMar>
            <w:vAlign w:val="center"/>
          </w:tcPr>
          <w:p w14:paraId="70322736" w14:textId="21CAC205" w:rsidR="0052536B" w:rsidRPr="00830EE2" w:rsidRDefault="0052536B" w:rsidP="5FA5399C">
            <w:pPr>
              <w:rPr>
                <w:rFonts w:ascii="Arial" w:eastAsiaTheme="minorEastAsia" w:hAnsi="Arial" w:cs="Arial"/>
                <w:sz w:val="20"/>
                <w:szCs w:val="20"/>
              </w:rPr>
            </w:pPr>
          </w:p>
        </w:tc>
      </w:tr>
      <w:tr w:rsidR="5FA5399C" w:rsidRPr="004C0EBD" w14:paraId="469AD225" w14:textId="77777777" w:rsidTr="00B42E33">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r>
              <w:rPr>
                <w:rFonts w:ascii="Arial" w:hAnsi="Arial"/>
                <w:sz w:val="20"/>
              </w:rPr>
              <w:t>Scholt Energy</w:t>
            </w:r>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42ECC976" w:rsidR="5FA5399C" w:rsidRPr="00830EE2" w:rsidRDefault="5FA5399C" w:rsidP="5FA5399C">
            <w:pPr>
              <w:rPr>
                <w:rFonts w:ascii="Arial" w:eastAsiaTheme="minorEastAsia" w:hAnsi="Arial" w:cs="Arial"/>
                <w:sz w:val="20"/>
                <w:szCs w:val="20"/>
              </w:rPr>
            </w:pPr>
          </w:p>
        </w:tc>
        <w:tc>
          <w:tcPr>
            <w:tcW w:w="1825" w:type="dxa"/>
            <w:tcMar>
              <w:top w:w="28" w:type="dxa"/>
              <w:bottom w:w="28" w:type="dxa"/>
            </w:tcMar>
            <w:vAlign w:val="center"/>
          </w:tcPr>
          <w:p w14:paraId="4899A413" w14:textId="7A82003F" w:rsidR="5FA5399C" w:rsidRPr="00830EE2" w:rsidRDefault="5FA5399C" w:rsidP="5FA5399C">
            <w:pPr>
              <w:rPr>
                <w:rFonts w:ascii="Arial" w:eastAsiaTheme="minorEastAsia" w:hAnsi="Arial" w:cs="Arial"/>
                <w:sz w:val="20"/>
                <w:szCs w:val="20"/>
              </w:rPr>
            </w:pPr>
          </w:p>
        </w:tc>
      </w:tr>
      <w:tr w:rsidR="5FA5399C" w:rsidRPr="004C0EBD" w14:paraId="4989B929" w14:textId="77777777" w:rsidTr="00B42E33">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r>
              <w:rPr>
                <w:rFonts w:ascii="Arial" w:hAnsi="Arial"/>
                <w:sz w:val="20"/>
              </w:rPr>
              <w:t>Odura</w:t>
            </w:r>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23EFA58F" w:rsidR="5FA5399C" w:rsidRPr="00830EE2" w:rsidRDefault="5FA5399C" w:rsidP="5FA5399C">
            <w:pPr>
              <w:rPr>
                <w:rFonts w:ascii="Arial" w:eastAsiaTheme="minorEastAsia" w:hAnsi="Arial" w:cs="Arial"/>
                <w:sz w:val="20"/>
                <w:szCs w:val="20"/>
              </w:rPr>
            </w:pPr>
          </w:p>
        </w:tc>
        <w:tc>
          <w:tcPr>
            <w:tcW w:w="1825" w:type="dxa"/>
            <w:tcMar>
              <w:top w:w="28" w:type="dxa"/>
              <w:bottom w:w="28" w:type="dxa"/>
            </w:tcMar>
            <w:vAlign w:val="center"/>
          </w:tcPr>
          <w:p w14:paraId="00FBA627" w14:textId="45F6B6CC" w:rsidR="5FA5399C" w:rsidRPr="00830EE2" w:rsidRDefault="5FA5399C" w:rsidP="5FA5399C">
            <w:pPr>
              <w:rPr>
                <w:rFonts w:ascii="Arial" w:eastAsiaTheme="minorEastAsia" w:hAnsi="Arial" w:cs="Arial"/>
                <w:sz w:val="20"/>
                <w:szCs w:val="20"/>
              </w:rPr>
            </w:pPr>
          </w:p>
        </w:tc>
      </w:tr>
      <w:tr w:rsidR="0052536B" w:rsidRPr="004C0EBD" w14:paraId="2F25F258" w14:textId="77777777" w:rsidTr="00B42E33">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r>
              <w:rPr>
                <w:rFonts w:ascii="Arial" w:hAnsi="Arial"/>
                <w:sz w:val="20"/>
              </w:rPr>
              <w:t>StoredEnergy</w:t>
            </w:r>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r>
              <w:rPr>
                <w:rFonts w:ascii="Arial" w:hAnsi="Arial"/>
                <w:sz w:val="20"/>
              </w:rPr>
              <w:t>Schiedam</w:t>
            </w:r>
          </w:p>
        </w:tc>
        <w:tc>
          <w:tcPr>
            <w:tcW w:w="2194" w:type="dxa"/>
            <w:tcMar>
              <w:top w:w="28" w:type="dxa"/>
              <w:bottom w:w="28" w:type="dxa"/>
            </w:tcMar>
            <w:vAlign w:val="center"/>
          </w:tcPr>
          <w:p w14:paraId="69DE1BE3" w14:textId="3BAF2469" w:rsidR="0052536B" w:rsidRPr="00830EE2" w:rsidRDefault="0052536B" w:rsidP="5FA5399C">
            <w:pPr>
              <w:rPr>
                <w:rFonts w:ascii="Arial" w:eastAsiaTheme="minorEastAsia" w:hAnsi="Arial" w:cs="Arial"/>
                <w:sz w:val="20"/>
                <w:szCs w:val="20"/>
              </w:rPr>
            </w:pPr>
          </w:p>
        </w:tc>
        <w:tc>
          <w:tcPr>
            <w:tcW w:w="1825" w:type="dxa"/>
            <w:tcMar>
              <w:top w:w="28" w:type="dxa"/>
              <w:bottom w:w="28" w:type="dxa"/>
            </w:tcMar>
            <w:vAlign w:val="center"/>
          </w:tcPr>
          <w:p w14:paraId="08E0B254" w14:textId="68506732" w:rsidR="0052536B" w:rsidRPr="00830EE2" w:rsidRDefault="0052536B" w:rsidP="5FA5399C">
            <w:pPr>
              <w:rPr>
                <w:rFonts w:ascii="Arial" w:eastAsiaTheme="minorEastAsia" w:hAnsi="Arial" w:cs="Arial"/>
                <w:sz w:val="20"/>
                <w:szCs w:val="20"/>
              </w:rPr>
            </w:pPr>
          </w:p>
        </w:tc>
      </w:tr>
      <w:tr w:rsidR="0052536B" w:rsidRPr="004C0EBD" w14:paraId="7E879F35" w14:textId="77777777" w:rsidTr="00B42E33">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r>
              <w:rPr>
                <w:rFonts w:ascii="Arial" w:hAnsi="Arial"/>
                <w:sz w:val="20"/>
              </w:rPr>
              <w:t>MorePV</w:t>
            </w:r>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r>
              <w:rPr>
                <w:rFonts w:ascii="Arial" w:hAnsi="Arial"/>
                <w:sz w:val="20"/>
              </w:rPr>
              <w:t>Schoorl</w:t>
            </w:r>
          </w:p>
        </w:tc>
        <w:tc>
          <w:tcPr>
            <w:tcW w:w="2194" w:type="dxa"/>
            <w:tcMar>
              <w:top w:w="28" w:type="dxa"/>
              <w:bottom w:w="28" w:type="dxa"/>
            </w:tcMar>
            <w:vAlign w:val="center"/>
          </w:tcPr>
          <w:p w14:paraId="22548B1A" w14:textId="4914923B" w:rsidR="0052536B" w:rsidRPr="00830EE2" w:rsidRDefault="0052536B" w:rsidP="00A3595E">
            <w:pPr>
              <w:rPr>
                <w:rFonts w:ascii="Arial" w:hAnsi="Arial" w:cs="Arial"/>
                <w:sz w:val="20"/>
                <w:szCs w:val="20"/>
              </w:rPr>
            </w:pPr>
          </w:p>
        </w:tc>
        <w:tc>
          <w:tcPr>
            <w:tcW w:w="1825" w:type="dxa"/>
            <w:tcMar>
              <w:top w:w="28" w:type="dxa"/>
              <w:bottom w:w="28" w:type="dxa"/>
            </w:tcMar>
            <w:vAlign w:val="center"/>
          </w:tcPr>
          <w:p w14:paraId="206930F3" w14:textId="6F93E22C" w:rsidR="0052536B" w:rsidRPr="00830EE2" w:rsidRDefault="0052536B" w:rsidP="00A3595E">
            <w:pPr>
              <w:rPr>
                <w:rFonts w:ascii="Arial" w:hAnsi="Arial" w:cs="Arial"/>
                <w:sz w:val="20"/>
                <w:szCs w:val="20"/>
              </w:rPr>
            </w:pPr>
          </w:p>
        </w:tc>
      </w:tr>
      <w:tr w:rsidR="5FA5399C" w:rsidRPr="004C0EBD" w14:paraId="6B67DA41" w14:textId="77777777" w:rsidTr="00B42E33">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r>
              <w:rPr>
                <w:rFonts w:ascii="Arial" w:hAnsi="Arial"/>
                <w:sz w:val="20"/>
              </w:rPr>
              <w:t>Alfen</w:t>
            </w:r>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353AC337" w:rsidR="5FA5399C" w:rsidRPr="00830EE2" w:rsidRDefault="5FA5399C" w:rsidP="5FA5399C">
            <w:pPr>
              <w:rPr>
                <w:rFonts w:ascii="Arial" w:hAnsi="Arial" w:cs="Arial"/>
                <w:sz w:val="20"/>
                <w:szCs w:val="20"/>
              </w:rPr>
            </w:pPr>
          </w:p>
        </w:tc>
        <w:tc>
          <w:tcPr>
            <w:tcW w:w="1825" w:type="dxa"/>
            <w:tcMar>
              <w:top w:w="28" w:type="dxa"/>
              <w:bottom w:w="28" w:type="dxa"/>
            </w:tcMar>
            <w:vAlign w:val="center"/>
          </w:tcPr>
          <w:p w14:paraId="64147A1A" w14:textId="1758993D" w:rsidR="5FA5399C" w:rsidRPr="00830EE2" w:rsidRDefault="5FA5399C" w:rsidP="5FA5399C">
            <w:pPr>
              <w:rPr>
                <w:rFonts w:ascii="Arial" w:hAnsi="Arial" w:cs="Arial"/>
                <w:sz w:val="20"/>
                <w:szCs w:val="20"/>
              </w:rPr>
            </w:pPr>
          </w:p>
        </w:tc>
      </w:tr>
      <w:tr w:rsidR="5FA5399C" w:rsidRPr="004C0EBD" w14:paraId="00D67DD7" w14:textId="77777777" w:rsidTr="00B42E33">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r>
              <w:rPr>
                <w:rFonts w:ascii="Arial" w:hAnsi="Arial"/>
                <w:sz w:val="20"/>
              </w:rPr>
              <w:t>Fudura</w:t>
            </w:r>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r>
              <w:rPr>
                <w:rFonts w:ascii="Arial" w:hAnsi="Arial"/>
                <w:sz w:val="20"/>
              </w:rPr>
              <w:t>Zwolle</w:t>
            </w:r>
          </w:p>
        </w:tc>
        <w:tc>
          <w:tcPr>
            <w:tcW w:w="2194" w:type="dxa"/>
            <w:tcMar>
              <w:top w:w="28" w:type="dxa"/>
              <w:bottom w:w="28" w:type="dxa"/>
            </w:tcMar>
            <w:vAlign w:val="center"/>
          </w:tcPr>
          <w:p w14:paraId="73C755F4" w14:textId="2A5FF065" w:rsidR="5FA5399C" w:rsidRPr="00830EE2" w:rsidRDefault="5FA5399C" w:rsidP="5FA5399C">
            <w:pPr>
              <w:rPr>
                <w:rFonts w:ascii="Arial" w:hAnsi="Arial" w:cs="Arial"/>
                <w:sz w:val="20"/>
                <w:szCs w:val="20"/>
              </w:rPr>
            </w:pPr>
          </w:p>
        </w:tc>
        <w:tc>
          <w:tcPr>
            <w:tcW w:w="1825" w:type="dxa"/>
            <w:tcMar>
              <w:top w:w="28" w:type="dxa"/>
              <w:bottom w:w="28" w:type="dxa"/>
            </w:tcMar>
            <w:vAlign w:val="center"/>
          </w:tcPr>
          <w:p w14:paraId="0A535D25" w14:textId="3CFB7853" w:rsidR="5FA5399C" w:rsidRPr="00830EE2" w:rsidRDefault="5FA5399C" w:rsidP="5FA5399C">
            <w:pPr>
              <w:rPr>
                <w:rFonts w:ascii="Arial" w:hAnsi="Arial" w:cs="Arial"/>
                <w:sz w:val="20"/>
                <w:szCs w:val="20"/>
              </w:rPr>
            </w:pPr>
          </w:p>
        </w:tc>
      </w:tr>
      <w:tr w:rsidR="00C81F79" w:rsidRPr="004C0EBD" w14:paraId="0656996A" w14:textId="77777777" w:rsidTr="00B42E33">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r>
              <w:rPr>
                <w:rFonts w:ascii="Arial" w:hAnsi="Arial"/>
                <w:sz w:val="20"/>
              </w:rPr>
              <w:t>Encon</w:t>
            </w:r>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r>
              <w:rPr>
                <w:rFonts w:ascii="Arial" w:hAnsi="Arial"/>
                <w:sz w:val="20"/>
              </w:rPr>
              <w:t>Nijmegen, NL</w:t>
            </w:r>
          </w:p>
        </w:tc>
        <w:tc>
          <w:tcPr>
            <w:tcW w:w="2194" w:type="dxa"/>
            <w:tcMar>
              <w:top w:w="28" w:type="dxa"/>
              <w:bottom w:w="28" w:type="dxa"/>
            </w:tcMar>
            <w:vAlign w:val="center"/>
          </w:tcPr>
          <w:p w14:paraId="6628BE06" w14:textId="3D961D3F" w:rsidR="00C81F79" w:rsidRPr="00830EE2" w:rsidRDefault="00C81F79" w:rsidP="00C81F79">
            <w:pPr>
              <w:rPr>
                <w:rFonts w:ascii="Arial" w:hAnsi="Arial" w:cs="Arial"/>
                <w:sz w:val="20"/>
                <w:szCs w:val="20"/>
              </w:rPr>
            </w:pPr>
          </w:p>
        </w:tc>
        <w:tc>
          <w:tcPr>
            <w:tcW w:w="1825" w:type="dxa"/>
            <w:tcMar>
              <w:top w:w="28" w:type="dxa"/>
              <w:bottom w:w="28" w:type="dxa"/>
            </w:tcMar>
            <w:vAlign w:val="center"/>
          </w:tcPr>
          <w:p w14:paraId="440EC98A" w14:textId="24CF926B" w:rsidR="00C81F79" w:rsidRPr="00830EE2" w:rsidRDefault="00C81F79" w:rsidP="00C81F79">
            <w:pPr>
              <w:rPr>
                <w:rFonts w:ascii="Arial" w:hAnsi="Arial" w:cs="Arial"/>
                <w:sz w:val="20"/>
                <w:szCs w:val="20"/>
              </w:rPr>
            </w:pPr>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bookmarkStart w:id="99" w:name="_Toc176854547"/>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bookmarkEnd w:id="99"/>
    </w:p>
    <w:p w14:paraId="554A8BB8" w14:textId="30668E91" w:rsidR="5FA5399C" w:rsidRPr="004C0EBD" w:rsidRDefault="5FA5399C">
      <w:r>
        <w:br w:type="page"/>
      </w:r>
    </w:p>
    <w:p w14:paraId="6FA05133" w14:textId="77777777" w:rsidR="006A5081" w:rsidRDefault="5FA5399C" w:rsidP="00904945">
      <w:pPr>
        <w:pStyle w:val="MH1"/>
      </w:pPr>
      <w:bookmarkStart w:id="100" w:name="_Toc176854548"/>
      <w:bookmarkStart w:id="101" w:name="_Toc180568566"/>
      <w:r>
        <w:lastRenderedPageBreak/>
        <w:t>Prilog 5. – Kreditni kapital</w:t>
      </w:r>
      <w:bookmarkEnd w:id="100"/>
      <w:bookmarkEnd w:id="101"/>
      <w:r>
        <w:t xml:space="preserve"> </w:t>
      </w:r>
    </w:p>
    <w:p w14:paraId="0F9716BC" w14:textId="72422C09" w:rsidR="00077532" w:rsidRPr="004C0EBD" w:rsidRDefault="5FA5399C" w:rsidP="00904945">
      <w:pPr>
        <w:pStyle w:val="MH1"/>
      </w:pPr>
      <w:bookmarkStart w:id="102" w:name="_Toc176854549"/>
      <w:bookmarkStart w:id="103" w:name="_Toc180568567"/>
      <w:r>
        <w:t>i davatelji kapitala</w:t>
      </w:r>
      <w:r>
        <w:rPr>
          <w:rStyle w:val="FootnoteReference"/>
        </w:rPr>
        <w:t>2</w:t>
      </w:r>
      <w:bookmarkEnd w:id="102"/>
      <w:bookmarkEnd w:id="103"/>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 xml:space="preserve">Napomena: </w:t>
      </w:r>
      <w:r>
        <w:t xml:space="preserve">popis u nastavku nije konačan. Nismo proveli nikakva istraživanja o iskustvu, kvaliteti ili cijenama savjetnika navedenih u nastavku.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Vrsta financiranja</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Društvo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Internetska stranica</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E-adresa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Kreditni kapital</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r>
              <w:rPr>
                <w:rFonts w:ascii="Arial" w:hAnsi="Arial"/>
                <w:sz w:val="20"/>
              </w:rPr>
              <w:t>Commerzbank</w:t>
            </w:r>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27D062F5" w:rsidR="00854620" w:rsidRPr="006A5081" w:rsidRDefault="00854620" w:rsidP="00CB76C0">
            <w:pPr>
              <w:rPr>
                <w:rFonts w:ascii="Arial" w:hAnsi="Arial" w:cs="Arial"/>
                <w:sz w:val="20"/>
                <w:szCs w:val="20"/>
              </w:rPr>
            </w:pP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r>
              <w:rPr>
                <w:rFonts w:ascii="Arial" w:hAnsi="Arial"/>
                <w:sz w:val="20"/>
              </w:rPr>
              <w:t>KfW Bank</w:t>
            </w:r>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6C9D500E" w:rsidR="00854620" w:rsidRPr="006A5081" w:rsidRDefault="00854620" w:rsidP="00CB76C0">
            <w:pPr>
              <w:rPr>
                <w:rFonts w:ascii="Arial" w:hAnsi="Arial" w:cs="Arial"/>
                <w:sz w:val="20"/>
                <w:szCs w:val="20"/>
              </w:rPr>
            </w:pP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r>
              <w:rPr>
                <w:rFonts w:ascii="Arial" w:hAnsi="Arial"/>
                <w:sz w:val="20"/>
              </w:rPr>
              <w:t>Rabobank</w:t>
            </w:r>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00712261" w:rsidR="00854620" w:rsidRPr="006A5081" w:rsidRDefault="00854620" w:rsidP="00CB76C0">
            <w:pPr>
              <w:rPr>
                <w:rFonts w:ascii="Arial" w:hAnsi="Arial" w:cs="Arial"/>
                <w:sz w:val="20"/>
                <w:szCs w:val="20"/>
              </w:rPr>
            </w:pP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0F40A0C2" w:rsidR="00854620" w:rsidRPr="006A5081" w:rsidRDefault="00854620" w:rsidP="00CB76C0">
            <w:pPr>
              <w:rPr>
                <w:rFonts w:ascii="Arial" w:hAnsi="Arial" w:cs="Arial"/>
                <w:sz w:val="20"/>
                <w:szCs w:val="20"/>
              </w:rPr>
            </w:pP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r>
              <w:rPr>
                <w:rFonts w:ascii="Arial" w:hAnsi="Arial"/>
                <w:sz w:val="20"/>
              </w:rPr>
              <w:t>Triodos</w:t>
            </w:r>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3D63EAD3" w:rsidR="00854620" w:rsidRPr="006A5081" w:rsidRDefault="00854620" w:rsidP="00CB76C0">
            <w:pPr>
              <w:rPr>
                <w:rFonts w:ascii="Arial" w:hAnsi="Arial" w:cs="Arial"/>
                <w:sz w:val="20"/>
                <w:szCs w:val="20"/>
              </w:rPr>
            </w:pP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Banka ASN</w:t>
            </w:r>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3D347669" w:rsidR="00854620" w:rsidRPr="006A5081" w:rsidRDefault="00854620" w:rsidP="00CB76C0">
            <w:pPr>
              <w:rPr>
                <w:rFonts w:ascii="Arial" w:hAnsi="Arial" w:cs="Arial"/>
                <w:sz w:val="20"/>
                <w:szCs w:val="20"/>
              </w:rPr>
            </w:pP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Banka BNG</w:t>
            </w:r>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20AF5C89" w:rsidR="00854620" w:rsidRPr="006A5081" w:rsidRDefault="00854620" w:rsidP="00CB76C0">
            <w:pPr>
              <w:rPr>
                <w:rFonts w:ascii="Arial" w:hAnsi="Arial" w:cs="Arial"/>
                <w:sz w:val="20"/>
                <w:szCs w:val="20"/>
              </w:rPr>
            </w:pP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Skupno financiranje</w:t>
            </w:r>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r>
              <w:rPr>
                <w:rFonts w:ascii="Arial" w:hAnsi="Arial"/>
                <w:sz w:val="20"/>
              </w:rPr>
              <w:t>Zonnepanelen Delen</w:t>
            </w:r>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027DA4B4" w:rsidR="00854620" w:rsidRPr="006A5081" w:rsidRDefault="00854620" w:rsidP="00CB76C0">
            <w:pPr>
              <w:rPr>
                <w:rFonts w:ascii="Arial" w:hAnsi="Arial" w:cs="Arial"/>
                <w:sz w:val="20"/>
                <w:szCs w:val="20"/>
              </w:rPr>
            </w:pP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r>
              <w:rPr>
                <w:rFonts w:ascii="Arial" w:hAnsi="Arial"/>
                <w:sz w:val="20"/>
              </w:rPr>
              <w:t>Duurzaaminvesteren</w:t>
            </w:r>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292431F5"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904945">
      <w:pPr>
        <w:pStyle w:val="MH1"/>
      </w:pPr>
      <w:bookmarkStart w:id="104" w:name="_Toc176854550"/>
      <w:bookmarkStart w:id="105" w:name="_Toc180568568"/>
      <w:r>
        <w:lastRenderedPageBreak/>
        <w:t>Prilog 6. – Inspekcija Scope 12</w:t>
      </w:r>
      <w:r>
        <w:rPr>
          <w:rStyle w:val="FootnoteReference"/>
        </w:rPr>
        <w:t>2</w:t>
      </w:r>
      <w:bookmarkEnd w:id="104"/>
      <w:bookmarkEnd w:id="105"/>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 xml:space="preserve">Napomena: </w:t>
      </w:r>
      <w:r>
        <w:t xml:space="preserve">popis u nastavku nije konačan. Nismo proveli nikakva istraživanja o iskustvu, kvaliteti ili cijenama savjetnika navedenih u nastavku.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Društvo</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Mjesto poslovnog nastana</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Internetska stranica</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E-adresa</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Omega Energie Techniek</w:t>
            </w:r>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Vianen,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6A1527F0"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RJ Inspecties</w:t>
            </w:r>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Best,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48AA0FF5"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Entheq Inspecties</w:t>
            </w:r>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6571B086"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Wassenaar Inspecties</w:t>
            </w:r>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Wassenaar,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3F3307D1"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GreenHero Inspecties en Opledingen</w:t>
            </w:r>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Dronten,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23BFA04A"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Stroomwijs</w:t>
            </w:r>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Apeldoorn,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0974F5AD"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Install Keur</w:t>
            </w:r>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Woerden,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6701A990"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TUV Nord</w:t>
            </w:r>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Son,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45D2F099"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Beverwijk,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4864FE04"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904945">
      <w:pPr>
        <w:pStyle w:val="MH1"/>
      </w:pPr>
      <w:bookmarkStart w:id="106" w:name="_Toc176854551"/>
      <w:bookmarkStart w:id="107" w:name="_Toc180568569"/>
      <w:r>
        <w:lastRenderedPageBreak/>
        <w:t xml:space="preserve">Prilog 7. – Tvornička revizija </w:t>
      </w:r>
      <w:r>
        <w:br/>
        <w:t>i ispitivanje uzoraka</w:t>
      </w:r>
      <w:r>
        <w:rPr>
          <w:rStyle w:val="FootnoteReference"/>
        </w:rPr>
        <w:t>2</w:t>
      </w:r>
      <w:bookmarkEnd w:id="106"/>
      <w:bookmarkEnd w:id="107"/>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Napomena: </w:t>
      </w:r>
      <w:r>
        <w:t xml:space="preserve">popis u nastavku nije konačan. Nismo proveli nikakva istraživanja o iskustvu, kvaliteti ili cijenama savjetnika navedenih u nastavku.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Društvo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Mjesto poslovnog nastana</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Internetska stranica</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E-adresa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r>
              <w:rPr>
                <w:rFonts w:ascii="Arial" w:hAnsi="Arial"/>
                <w:sz w:val="20"/>
              </w:rPr>
              <w:t>Sinovoltaics</w:t>
            </w:r>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Hong Kong,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558DF30C"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r>
              <w:rPr>
                <w:rFonts w:ascii="Arial" w:hAnsi="Arial"/>
                <w:sz w:val="20"/>
              </w:rPr>
              <w:t>Odin Spire/Sunchine</w:t>
            </w:r>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Rotterdam,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41B2028E"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Pr>
                <w:rFonts w:ascii="Arial" w:hAnsi="Arial"/>
                <w:sz w:val="20"/>
              </w:rPr>
              <w:t>Šangaj,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6518CA57"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r>
              <w:rPr>
                <w:rFonts w:ascii="Arial" w:hAnsi="Arial"/>
                <w:sz w:val="20"/>
              </w:rPr>
              <w:t>Solar Tester</w:t>
            </w:r>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r>
              <w:rPr>
                <w:rFonts w:ascii="Arial" w:hAnsi="Arial"/>
                <w:sz w:val="20"/>
              </w:rPr>
              <w:t>Schinnen,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1EC8948F" w:rsidR="00781A6E" w:rsidRPr="00260AB9" w:rsidRDefault="00781A6E" w:rsidP="00CB76C0">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Pr>
                <w:rFonts w:ascii="Arial" w:hAnsi="Arial"/>
                <w:sz w:val="20"/>
              </w:rPr>
              <w:t>Šangaj,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41F63E80"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PI Berlin</w:t>
            </w:r>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r>
              <w:rPr>
                <w:rFonts w:ascii="Arial" w:hAnsi="Arial"/>
                <w:sz w:val="20"/>
              </w:rPr>
              <w:t>Berlin, DE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30F4FF63"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74E8D27C" w:rsidR="00A451D4" w:rsidRPr="004C0EBD" w:rsidRDefault="00A451D4" w:rsidP="00904945">
      <w:pPr>
        <w:pStyle w:val="MH1"/>
      </w:pPr>
      <w:bookmarkStart w:id="108" w:name="_Toc176854552"/>
      <w:bookmarkStart w:id="109" w:name="_Toc180568570"/>
      <w:r>
        <w:lastRenderedPageBreak/>
        <w:t xml:space="preserve">Prilog 8. – Praćenje, održavanje </w:t>
      </w:r>
      <w:r>
        <w:br/>
        <w:t>i popravci</w:t>
      </w:r>
      <w:r>
        <w:rPr>
          <w:rStyle w:val="FootnoteReference"/>
        </w:rPr>
        <w:t>2</w:t>
      </w:r>
      <w:bookmarkEnd w:id="108"/>
      <w:bookmarkEnd w:id="109"/>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 xml:space="preserve">Napomena: </w:t>
      </w:r>
      <w:r>
        <w:t xml:space="preserve">Popis u nastavku nije konačan. Nismo proveli nikakva istraživanja o iskustvu, kvaliteti ili cijenama savjetnika navedenih u nastavku.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Društvo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Mjesto poslovnog nastana</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Internetska stranica</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E-adresa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r>
              <w:rPr>
                <w:rFonts w:ascii="Arial" w:hAnsi="Arial"/>
                <w:sz w:val="20"/>
              </w:rPr>
              <w:t>Zonnepark Services Nederland</w:t>
            </w:r>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r>
              <w:rPr>
                <w:rFonts w:ascii="Arial" w:hAnsi="Arial"/>
                <w:sz w:val="20"/>
              </w:rPr>
              <w:t>Utrecht,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37DB585A"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r>
              <w:rPr>
                <w:rFonts w:ascii="Arial" w:hAnsi="Arial"/>
                <w:sz w:val="20"/>
              </w:rPr>
              <w:t>Solora</w:t>
            </w:r>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r>
              <w:rPr>
                <w:rFonts w:ascii="Arial" w:hAnsi="Arial"/>
                <w:sz w:val="20"/>
              </w:rPr>
              <w:t>Hilversum,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0FF8068C"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r>
              <w:rPr>
                <w:rFonts w:ascii="Arial" w:hAnsi="Arial"/>
                <w:sz w:val="20"/>
              </w:rPr>
              <w:t>Everday</w:t>
            </w:r>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r>
              <w:rPr>
                <w:rFonts w:ascii="Arial" w:hAnsi="Arial"/>
                <w:sz w:val="20"/>
              </w:rPr>
              <w:t>Rosmalen,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74D950C7"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r>
              <w:rPr>
                <w:rFonts w:ascii="Arial" w:hAnsi="Arial"/>
                <w:sz w:val="20"/>
              </w:rPr>
              <w:t>Stern Energy</w:t>
            </w:r>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r>
              <w:rPr>
                <w:rFonts w:ascii="Arial" w:hAnsi="Arial"/>
                <w:sz w:val="20"/>
              </w:rPr>
              <w:t>Schoorl,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r>
              <w:rPr>
                <w:rFonts w:ascii="Arial" w:hAnsi="Arial"/>
                <w:sz w:val="20"/>
              </w:rPr>
              <w:t>nije dostupno</w:t>
            </w:r>
          </w:p>
        </w:tc>
        <w:tc>
          <w:tcPr>
            <w:tcW w:w="2266" w:type="dxa"/>
            <w:tcMar>
              <w:top w:w="28" w:type="dxa"/>
              <w:bottom w:w="28" w:type="dxa"/>
            </w:tcMar>
            <w:vAlign w:val="center"/>
          </w:tcPr>
          <w:p w14:paraId="0808A1C5" w14:textId="16BEFC22"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904945">
      <w:pPr>
        <w:pStyle w:val="MH1"/>
      </w:pPr>
      <w:bookmarkStart w:id="110" w:name="_Toc176854553"/>
      <w:bookmarkStart w:id="111" w:name="_Toc180568571"/>
      <w:r>
        <w:lastRenderedPageBreak/>
        <w:t>Prilog 9. – Pregled pokrića osiguranja CAR</w:t>
      </w:r>
      <w:bookmarkEnd w:id="110"/>
      <w:bookmarkEnd w:id="111"/>
    </w:p>
    <w:p w14:paraId="6661C4AB" w14:textId="77777777" w:rsidR="00027167" w:rsidRPr="004C0EBD" w:rsidRDefault="00027167" w:rsidP="00027167"/>
    <w:p w14:paraId="163D15A6" w14:textId="1FF9D596" w:rsidR="00DE7E3C" w:rsidRPr="00536BD4" w:rsidRDefault="00DE7E3C" w:rsidP="00904945">
      <w:pPr>
        <w:pStyle w:val="MH3"/>
        <w:rPr>
          <w:szCs w:val="24"/>
        </w:rPr>
      </w:pPr>
      <w:bookmarkStart w:id="112" w:name="_Toc180568572"/>
      <w:r>
        <w:t>Odjeljak I.: Radovi</w:t>
      </w:r>
      <w:bookmarkEnd w:id="112"/>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Radovi obuhvaćaju one dogovorene u ugovoru o izgradnji. Osigurani iznos za građevinske radove odgovara troškovima popravaka za vraćanje u stanje prije oštećenja.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rPr>
        <w:br/>
      </w:r>
      <w:r>
        <w:rPr>
          <w:rFonts w:ascii="Arial" w:hAnsi="Arial"/>
          <w:color w:val="000000" w:themeColor="text1"/>
        </w:rPr>
        <w:t xml:space="preserve">Rizici obuhvaćeni policom osiguranja CAR: poplave, vjetar, potresi, oštećenja od vode i plijesni, građevinski nedostaci i nemar.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Uobičajeno trošenje i namjerni nemar nisu obuhvaćeni. </w:t>
      </w:r>
    </w:p>
    <w:p w14:paraId="49C23B5A" w14:textId="77777777" w:rsidR="00536BD4" w:rsidRDefault="00DE7E3C" w:rsidP="00536BD4">
      <w:pPr>
        <w:jc w:val="both"/>
        <w:rPr>
          <w:rFonts w:ascii="Arial" w:hAnsi="Arial" w:cs="Arial"/>
        </w:rPr>
      </w:pPr>
      <w:r>
        <w:rPr>
          <w:rFonts w:ascii="Arial" w:hAnsi="Arial"/>
        </w:rPr>
        <w:t xml:space="preserve"> </w:t>
      </w:r>
      <w:r>
        <w:rPr>
          <w:rFonts w:ascii="Arial" w:hAnsi="Arial"/>
        </w:rPr>
        <w:br/>
      </w:r>
      <w:r>
        <w:rPr>
          <w:rFonts w:ascii="Arial" w:hAnsi="Arial"/>
          <w:i/>
          <w:color w:val="3DC3C6"/>
        </w:rPr>
        <w:t>Veći prekidi u radu (nije obvezno)</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sz w:val="2"/>
        </w:rPr>
        <w:br/>
      </w:r>
      <w:r>
        <w:rPr>
          <w:rFonts w:ascii="Arial" w:hAnsi="Arial"/>
          <w:color w:val="000000" w:themeColor="text1"/>
        </w:rPr>
        <w:t>To obuhvaća sve financijske gubitke osiguranika uslijed prekida ugovorenog rada koji uzrokuje kašnjenja u odnosu na planirani početak komercijalnog poslovanja.</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000000" w:themeColor="text1"/>
          <w:sz w:val="24"/>
        </w:rPr>
        <w:t>O</w:t>
      </w:r>
      <w:r>
        <w:rPr>
          <w:rFonts w:ascii="Arial" w:hAnsi="Arial"/>
          <w:b/>
          <w:color w:val="104D54"/>
          <w:sz w:val="24"/>
        </w:rPr>
        <w:t>djeljak II.: Odgovornost</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color w:val="000000" w:themeColor="text1"/>
        </w:rPr>
        <w:t xml:space="preserve">Klauzula o odgovornosti obuhvaća odgovornost osiguranika </w:t>
      </w:r>
      <w:r>
        <w:rPr>
          <w:rFonts w:ascii="Arial" w:hAnsi="Arial"/>
          <w:b/>
          <w:color w:val="104D54"/>
        </w:rPr>
        <w:t>i drugih stranaka</w:t>
      </w:r>
      <w:r>
        <w:rPr>
          <w:rFonts w:ascii="Arial" w:hAnsi="Arial"/>
          <w:color w:val="104D54"/>
        </w:rPr>
        <w:t xml:space="preserve">, </w:t>
      </w:r>
      <w:r>
        <w:rPr>
          <w:rFonts w:ascii="Arial" w:hAnsi="Arial"/>
          <w:color w:val="000000" w:themeColor="text1"/>
        </w:rPr>
        <w:t>na primjer izvođača, prema trećim osobama za događaje povezane s izvođenjem radova, kao što su:</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ozljeda osoba</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gubitak, oštećenje ili uništenje materijalne imovine.</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Osim toga, postoji i odgovornost osiguranika jednih prema drugima. Ako izvođač prouzroči štetu klijentu (i oba su osigurana na temelju police), izvođač može podnijeti odštetni zahtjev na temelju police jer je pokrivena njegova odgovornost prema naručitelju.</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Odjeljak III. Postojeća imovina naručitelja</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Šteta na postojećoj imovini naručitelja nastala tijekom izvođenja osiguranih radova. Šteta stoga mora biti izravna posljedica izvršenih radova.</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Odjeljak IV. Materijali izvođača</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Oštećenje opreme izvođača koje je posljedica vanjskih događaja kao što su oluja, požar i krađa. Takva oprema uključuje skele, okvire, kabine, spremišta, alate itd. koji moraju biti na lokaciji radi izvođenja radova.</w:t>
      </w:r>
      <w:r>
        <w:rPr>
          <w:rFonts w:ascii="Arial" w:hAnsi="Arial"/>
          <w:color w:val="000000" w:themeColor="text1"/>
          <w:sz w:val="27"/>
        </w:rPr>
        <w:t xml:space="preserve"> </w:t>
      </w:r>
      <w:r>
        <w:rPr>
          <w:rFonts w:ascii="Arial" w:hAnsi="Arial"/>
          <w:color w:val="000000" w:themeColor="text1"/>
        </w:rPr>
        <w:t xml:space="preserve">Sljedeće se isključuje: oprema za jedrenje i plutanje, bageri sajlaši, buldožeri, dizalice i druga prijevozna sredstva na mehanički pogon.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Odjeljak V.: Vlasništvo uprave i osoblja</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Šteta na osobnoj imovini u vlasništvu uprave i osoblja osiguranika nastala na predmetnoj lokaciji i uzrokovana vanjskim događajima kao što su oluje i krađe.</w:t>
      </w:r>
      <w:r>
        <w:rPr>
          <w:rFonts w:ascii="Arial" w:hAnsi="Arial"/>
          <w:color w:val="000000" w:themeColor="text1"/>
          <w:sz w:val="27"/>
        </w:rPr>
        <w:t xml:space="preserve"> </w:t>
      </w:r>
      <w:r>
        <w:rPr>
          <w:rFonts w:ascii="Arial" w:hAnsi="Arial"/>
          <w:color w:val="000000" w:themeColor="text1"/>
        </w:rPr>
        <w:t>Sljedeće se isključuje:</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gotovina i vrijedni dokumenti itd.</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vozila na mehanički pogon.</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Odjeljak VI.: Prijevoz</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Ovaj odjeljak obuhvaća oštećenje ili krađu građevinskog materijala tijekom prijevoza.</w:t>
      </w:r>
      <w:r>
        <w:rPr>
          <w:rFonts w:ascii="Arial" w:hAnsi="Arial"/>
        </w:rPr>
        <w:br/>
      </w:r>
      <w:r>
        <w:rPr>
          <w:rFonts w:ascii="Arial" w:hAnsi="Arial"/>
          <w:color w:val="000000" w:themeColor="text1"/>
        </w:rPr>
        <w:t>Važni čimbenici za pokrivenost u ovom odjeljku:</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Pr>
          <w:rFonts w:ascii="Arial" w:hAnsi="Arial"/>
          <w:color w:val="000000" w:themeColor="text1"/>
        </w:rPr>
        <w:t>prijevoz se naplaćuje osiguraniku i provodi se na njegov rizik</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even" r:id="rId22"/>
          <w:headerReference w:type="default" r:id="rId23"/>
          <w:footerReference w:type="even" r:id="rId24"/>
          <w:footerReference w:type="default" r:id="rId25"/>
          <w:headerReference w:type="first" r:id="rId26"/>
          <w:footerReference w:type="first" r:id="rId27"/>
          <w:pgSz w:w="11906" w:h="16838" w:code="9"/>
          <w:pgMar w:top="1417" w:right="1417" w:bottom="1417" w:left="1417" w:header="709" w:footer="709" w:gutter="0"/>
          <w:pgNumType w:start="0"/>
          <w:cols w:space="708"/>
          <w:titlePg/>
          <w:docGrid w:linePitch="360"/>
        </w:sectPr>
      </w:pPr>
      <w:r>
        <w:rPr>
          <w:rFonts w:ascii="Arial" w:hAnsi="Arial"/>
          <w:color w:val="000000" w:themeColor="text1"/>
        </w:rPr>
        <w:t>osiguranje mora obuhvaćati aktivnosti od utovara do istovara na predmetnoj lokaciji.</w:t>
      </w:r>
      <w:bookmarkEnd w:id="0"/>
    </w:p>
    <w:p w14:paraId="3B1999A5" w14:textId="4FFCEB90" w:rsidR="00026952" w:rsidRPr="007061E0" w:rsidRDefault="00026952" w:rsidP="00B42E33">
      <w:pPr>
        <w:pStyle w:val="MH1"/>
        <w:ind w:left="0"/>
        <w:rPr>
          <w:rFonts w:eastAsia="Aptos"/>
          <w:kern w:val="2"/>
          <w:sz w:val="16"/>
          <w:szCs w:val="16"/>
          <w14:ligatures w14:val="standardContextual"/>
        </w:rPr>
      </w:pPr>
    </w:p>
    <w:sectPr w:rsidR="00026952" w:rsidRPr="007061E0" w:rsidSect="005E0F9F">
      <w:headerReference w:type="even" r:id="rId28"/>
      <w:headerReference w:type="default" r:id="rId29"/>
      <w:headerReference w:type="first" r:id="rId30"/>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E9B7D2" w14:textId="77777777" w:rsidR="00EE7CEC" w:rsidRDefault="00EE7CEC" w:rsidP="00A3595E">
      <w:r>
        <w:separator/>
      </w:r>
    </w:p>
  </w:endnote>
  <w:endnote w:type="continuationSeparator" w:id="0">
    <w:p w14:paraId="52989CE1" w14:textId="77777777" w:rsidR="00EE7CEC" w:rsidRDefault="00EE7CEC"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16FD7" w14:textId="77777777" w:rsidR="0075115D" w:rsidRDefault="007511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E115D" w14:textId="77777777" w:rsidR="0075115D" w:rsidRDefault="007511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9DCECA" w14:textId="77777777" w:rsidR="00EE7CEC" w:rsidRDefault="00EE7CEC" w:rsidP="00A3595E">
      <w:r>
        <w:separator/>
      </w:r>
    </w:p>
  </w:footnote>
  <w:footnote w:type="continuationSeparator" w:id="0">
    <w:p w14:paraId="3E1FEB59" w14:textId="77777777" w:rsidR="00EE7CEC" w:rsidRDefault="00EE7CEC" w:rsidP="00A3595E">
      <w:r>
        <w:continuationSeparator/>
      </w:r>
    </w:p>
  </w:footnote>
  <w:footnote w:id="1">
    <w:p w14:paraId="0B2EA604" w14:textId="08D49676"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 Verzija je ovog izvješća 1.0, a dodatna društva mogu se dodati u kasnijoj fazi. </w:t>
      </w:r>
    </w:p>
  </w:footnote>
  <w:footnote w:id="2">
    <w:p w14:paraId="1B1BAC7A" w14:textId="77777777"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Vidjeti i: </w:t>
      </w:r>
      <w:hyperlink r:id="rId1" w:history="1">
        <w:r>
          <w:rPr>
            <w:rFonts w:ascii="Arial" w:hAnsi="Arial"/>
            <w:color w:val="3DC3C6"/>
            <w:u w:val="single"/>
          </w:rPr>
          <w:t>UvW 2021-XX Praktische handreiking ZOW sjabloon UvW versie jan 2022.pdf (stowa.nl)</w:t>
        </w:r>
      </w:hyperlink>
      <w:r>
        <w:rPr>
          <w:rFonts w:ascii="Arial" w:hAnsi="Arial"/>
          <w:color w:val="3DC3C6"/>
        </w:rPr>
        <w:t xml:space="preserve">  </w:t>
      </w:r>
      <w:r>
        <w:rPr>
          <w:rFonts w:ascii="Arial" w:hAnsi="Arial"/>
        </w:rPr>
        <w:br/>
      </w:r>
    </w:p>
  </w:footnote>
  <w:footnote w:id="3">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xml:space="preserve"> Na primjer: Tibber, ANWB Energy, NextEnergy, Eneco, EnergyZero, Zonneplan, Frank Energie, Innova</w:t>
      </w:r>
    </w:p>
  </w:footnote>
  <w:footnote w:id="4">
    <w:p w14:paraId="26802840" w14:textId="6C0164F0" w:rsidR="00A76E5A" w:rsidRPr="009A284F" w:rsidRDefault="00A76E5A">
      <w:pPr>
        <w:pStyle w:val="FootnoteText"/>
      </w:pPr>
      <w:r>
        <w:rPr>
          <w:rStyle w:val="FootnoteReference"/>
          <w:rFonts w:ascii="Arial" w:hAnsi="Arial" w:cs="Arial"/>
        </w:rPr>
        <w:footnoteRef/>
      </w:r>
      <w:r>
        <w:rPr>
          <w:rFonts w:ascii="Arial" w:hAnsi="Arial"/>
        </w:rPr>
        <w:t xml:space="preserve"> Na primjer: Edmij, Energypool, Scholt, Sympower.</w:t>
      </w:r>
    </w:p>
  </w:footnote>
  <w:footnote w:id="5">
    <w:p w14:paraId="4BFDA0F0" w14:textId="09D4E04B" w:rsidR="005E16E5" w:rsidRPr="009F1963" w:rsidRDefault="005E16E5">
      <w:pPr>
        <w:pStyle w:val="FootnoteText"/>
        <w:rPr>
          <w:rFonts w:ascii="Arial" w:hAnsi="Arial" w:cs="Arial"/>
        </w:rPr>
      </w:pPr>
      <w:r>
        <w:rPr>
          <w:rStyle w:val="FootnoteReference"/>
          <w:rFonts w:ascii="Arial" w:hAnsi="Arial" w:cs="Arial"/>
        </w:rPr>
        <w:footnoteRef/>
      </w:r>
      <w:r>
        <w:rPr>
          <w:rFonts w:ascii="Arial" w:hAnsi="Arial"/>
        </w:rPr>
        <w:t xml:space="preserve"> Ako iznajmljujete krov ili zemljište nositelju fotonaponskog projekta, ta će stranka biti zadužena za financiranje.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BF200" w14:textId="250AC013"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28776BC6"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1833260922" name="Picture 1833260922" descr="Plavi pravokutnik s bijelim obrubom&#10;&#10;Automatski generiran 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ZAJEDNICA JAVNIH NARUČITELJA</w:t>
    </w:r>
    <w:r>
      <w:rPr>
        <w:rFonts w:ascii="Arial" w:hAnsi="Arial"/>
        <w:color w:val="104D55"/>
      </w:rPr>
      <w:tab/>
      <w:t xml:space="preserve">                           </w:t>
    </w:r>
    <w:r>
      <w:rPr>
        <w:rFonts w:ascii="Arial" w:hAnsi="Arial"/>
        <w:b/>
        <w:color w:val="DDE3E2"/>
      </w:rPr>
      <w:t>PRELIMINARNE FAZE FOTONAPONSKOG PROJEKTA</w:t>
    </w:r>
  </w:p>
  <w:p w14:paraId="74DCA24C" w14:textId="77777777" w:rsidR="00DE36D8" w:rsidRPr="00DE36D8" w:rsidRDefault="00DE36D8" w:rsidP="00DE36D8">
    <w:pPr>
      <w:pStyle w:val="Header"/>
      <w:rPr>
        <w:b/>
        <w:bCs/>
        <w:sz w:val="20"/>
        <w:szCs w:val="20"/>
      </w:rPr>
    </w:pPr>
    <w:r>
      <w:rPr>
        <w:rFonts w:ascii="Arial" w:hAnsi="Arial"/>
        <w:b/>
        <w:color w:val="104D55"/>
        <w:sz w:val="20"/>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2046646860" name="Picture 2046646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ZAJEDNICA JAVNIH NARUČITELJA</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PRELIMINARNE FAZE FOTONAPONSKOG PROJEKTA</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239"/>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21CF"/>
    <w:rsid w:val="00187179"/>
    <w:rsid w:val="00187D03"/>
    <w:rsid w:val="001900C0"/>
    <w:rsid w:val="00195502"/>
    <w:rsid w:val="001A0646"/>
    <w:rsid w:val="001A2ACF"/>
    <w:rsid w:val="001B06A0"/>
    <w:rsid w:val="001B0E84"/>
    <w:rsid w:val="001B4AF3"/>
    <w:rsid w:val="001B72D8"/>
    <w:rsid w:val="001C2497"/>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090A"/>
    <w:rsid w:val="00282220"/>
    <w:rsid w:val="002830B4"/>
    <w:rsid w:val="00284B28"/>
    <w:rsid w:val="00286C6D"/>
    <w:rsid w:val="0029163B"/>
    <w:rsid w:val="0029348A"/>
    <w:rsid w:val="00293AA4"/>
    <w:rsid w:val="00293FAD"/>
    <w:rsid w:val="00295EA1"/>
    <w:rsid w:val="0029731C"/>
    <w:rsid w:val="002B681B"/>
    <w:rsid w:val="002C36C7"/>
    <w:rsid w:val="002C5DFF"/>
    <w:rsid w:val="002C7DD6"/>
    <w:rsid w:val="002E4ADD"/>
    <w:rsid w:val="002E77C8"/>
    <w:rsid w:val="002F5274"/>
    <w:rsid w:val="00301A85"/>
    <w:rsid w:val="003055A3"/>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0E3F"/>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4139"/>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30D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4DBC"/>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6F77F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0867"/>
    <w:rsid w:val="008A22BE"/>
    <w:rsid w:val="008A2C89"/>
    <w:rsid w:val="008C154A"/>
    <w:rsid w:val="008C35F9"/>
    <w:rsid w:val="008C3DE2"/>
    <w:rsid w:val="008D08BA"/>
    <w:rsid w:val="008D2EA0"/>
    <w:rsid w:val="008D4DCE"/>
    <w:rsid w:val="008D6D0A"/>
    <w:rsid w:val="008D7C29"/>
    <w:rsid w:val="008F3289"/>
    <w:rsid w:val="008F75CC"/>
    <w:rsid w:val="00904945"/>
    <w:rsid w:val="00917A73"/>
    <w:rsid w:val="009310E7"/>
    <w:rsid w:val="0094077C"/>
    <w:rsid w:val="00940F28"/>
    <w:rsid w:val="009424D7"/>
    <w:rsid w:val="0094258B"/>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C32ED"/>
    <w:rsid w:val="009D3D72"/>
    <w:rsid w:val="009E09C2"/>
    <w:rsid w:val="009E6ED6"/>
    <w:rsid w:val="009F1963"/>
    <w:rsid w:val="009F3241"/>
    <w:rsid w:val="009F34FC"/>
    <w:rsid w:val="00A031E5"/>
    <w:rsid w:val="00A111F9"/>
    <w:rsid w:val="00A11B94"/>
    <w:rsid w:val="00A24383"/>
    <w:rsid w:val="00A31B9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2E33"/>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237F"/>
    <w:rsid w:val="00BF4CB3"/>
    <w:rsid w:val="00C02856"/>
    <w:rsid w:val="00C20B3F"/>
    <w:rsid w:val="00C243EB"/>
    <w:rsid w:val="00C26CE0"/>
    <w:rsid w:val="00C30B6E"/>
    <w:rsid w:val="00C3372C"/>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A772B"/>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EF0"/>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5246"/>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76293"/>
    <w:rsid w:val="00E87C9F"/>
    <w:rsid w:val="00E97EDE"/>
    <w:rsid w:val="00EB2D87"/>
    <w:rsid w:val="00EB7AFD"/>
    <w:rsid w:val="00EC16ED"/>
    <w:rsid w:val="00EE47C1"/>
    <w:rsid w:val="00EE7CEC"/>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hr-H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904945"/>
  </w:style>
  <w:style w:type="character" w:customStyle="1" w:styleId="Style2Char">
    <w:name w:val="Style2 Char"/>
    <w:basedOn w:val="Heading1Char"/>
    <w:link w:val="Style2"/>
    <w:rsid w:val="00904945"/>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904945"/>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904945"/>
    <w:pPr>
      <w:ind w:left="-851"/>
    </w:pPr>
  </w:style>
  <w:style w:type="character" w:customStyle="1" w:styleId="SUB1Char">
    <w:name w:val="SUB1 Char"/>
    <w:basedOn w:val="DefaultParagraphFont"/>
    <w:link w:val="SUB1"/>
    <w:rsid w:val="00904945"/>
    <w:rPr>
      <w:rFonts w:ascii="Arial" w:eastAsia="Times New Roman" w:hAnsi="Arial" w:cs="Arial"/>
      <w:b/>
      <w:color w:val="104D54"/>
      <w:sz w:val="36"/>
      <w:szCs w:val="36"/>
      <w:lang w:eastAsia="nl-NL"/>
    </w:rPr>
  </w:style>
  <w:style w:type="character" w:customStyle="1" w:styleId="MH2Char">
    <w:name w:val="MH2 Char"/>
    <w:basedOn w:val="SUB1Char"/>
    <w:link w:val="MH2"/>
    <w:rsid w:val="00904945"/>
    <w:rPr>
      <w:rFonts w:ascii="Arial" w:eastAsia="Times New Roman" w:hAnsi="Arial" w:cs="Arial"/>
      <w:b/>
      <w:color w:val="104D54"/>
      <w:sz w:val="36"/>
      <w:szCs w:val="36"/>
      <w:lang w:eastAsia="nl-NL"/>
    </w:rPr>
  </w:style>
  <w:style w:type="paragraph" w:customStyle="1" w:styleId="MH3">
    <w:name w:val="MH3"/>
    <w:basedOn w:val="SUB2"/>
    <w:link w:val="MH3Char"/>
    <w:qFormat/>
    <w:rsid w:val="00904945"/>
    <w:pPr>
      <w:ind w:hanging="709"/>
    </w:pPr>
  </w:style>
  <w:style w:type="character" w:customStyle="1" w:styleId="SUB2Char">
    <w:name w:val="SUB2 Char"/>
    <w:basedOn w:val="DefaultParagraphFont"/>
    <w:link w:val="SUB2"/>
    <w:rsid w:val="00904945"/>
    <w:rPr>
      <w:rFonts w:ascii="Arial" w:eastAsia="Times New Roman" w:hAnsi="Arial" w:cs="Arial"/>
      <w:b/>
      <w:color w:val="104D54"/>
      <w:sz w:val="28"/>
      <w:szCs w:val="28"/>
      <w:lang w:eastAsia="nl-NL"/>
    </w:rPr>
  </w:style>
  <w:style w:type="character" w:customStyle="1" w:styleId="MH3Char">
    <w:name w:val="MH3 Char"/>
    <w:basedOn w:val="SUB2Char"/>
    <w:link w:val="MH3"/>
    <w:rsid w:val="00904945"/>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904945"/>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www.pianoo.nl/nl/regelgeving/drempelbedragen-europees-aanbesteden"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mailto:info.nl@encon.eu" TargetMode="Externa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inkoopproces/aanbestedingsprocedures/nationale-procedures/circulaire-grensbedragen-rijksoverheid"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tenderned.nl/cms/" TargetMode="External"/><Relationship Id="rId20" Type="http://schemas.openxmlformats.org/officeDocument/2006/relationships/hyperlink" Target="http://www.zonopwater.nl/" TargetMode="Externa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footer" Target="footer1.xm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etten.overheid.nl/BWBR0032203/2022-03-02/0" TargetMode="External"/><Relationship Id="rId23" Type="http://schemas.openxmlformats.org/officeDocument/2006/relationships/header" Target="header2.xml"/><Relationship Id="rId28" Type="http://schemas.openxmlformats.org/officeDocument/2006/relationships/header" Target="header4.xml"/><Relationship Id="rId10" Type="http://schemas.openxmlformats.org/officeDocument/2006/relationships/diagramData" Target="diagrams/data1.xml"/><Relationship Id="rId19" Type="http://schemas.openxmlformats.org/officeDocument/2006/relationships/hyperlink" Target="https://zoninlandschap.nl/u/files/ZonneparkenBeterOntwerpTNOV2.pdf" TargetMode="Externa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header" Target="header6.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hr-HR" sz="900"/>
            <a:t>I. </a:t>
          </a:r>
          <a:br>
            <a:rPr lang="hr-HR" sz="900"/>
          </a:br>
          <a:r>
            <a:rPr lang="hr-HR" sz="900"/>
            <a:t>Preliminarna studija</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hr-HR" sz="850"/>
            <a:t>II.  </a:t>
          </a:r>
          <a:br>
            <a:rPr lang="hr-HR" sz="850"/>
          </a:br>
          <a:r>
            <a:rPr lang="hr-HR" sz="850"/>
            <a:t>Poziv na dostavu ponuda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hr-HR" sz="900"/>
            <a:t>III.        Provedba fotonaponskog projekta</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hr-HR" sz="900"/>
            <a:t>IV. </a:t>
          </a:r>
          <a:br>
            <a:rPr lang="hr-HR" sz="900"/>
          </a:br>
          <a:r>
            <a:rPr lang="hr-HR" sz="900"/>
            <a:t>Operativna faza</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hr-HR" sz="850"/>
            <a:t>V.                </a:t>
          </a:r>
          <a:br>
            <a:rPr lang="hr-HR" sz="850"/>
          </a:br>
          <a:r>
            <a:rPr lang="hr-HR" sz="850"/>
            <a:t>Kraj životnog vijeka / demontaža</a:t>
          </a:r>
          <a:r>
            <a:rPr lang="hr-HR" sz="1000"/>
            <a:t>.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custScaleX="102371">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308" y="156418"/>
          <a:ext cx="1203867" cy="481547"/>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hr-HR" sz="900" kern="1200"/>
            <a:t>I. </a:t>
          </a:r>
          <a:br>
            <a:rPr lang="hr-HR" sz="900" kern="1200"/>
          </a:br>
          <a:r>
            <a:rPr lang="hr-HR" sz="900" kern="1200"/>
            <a:t>Preliminarna studija</a:t>
          </a:r>
        </a:p>
      </dsp:txBody>
      <dsp:txXfrm>
        <a:off x="241082" y="156418"/>
        <a:ext cx="722320" cy="481547"/>
      </dsp:txXfrm>
    </dsp:sp>
    <dsp:sp modelId="{9A067135-72E2-794D-BCB2-752032BD9271}">
      <dsp:nvSpPr>
        <dsp:cNvPr id="0" name=""/>
        <dsp:cNvSpPr/>
      </dsp:nvSpPr>
      <dsp:spPr>
        <a:xfrm>
          <a:off x="1083789" y="156418"/>
          <a:ext cx="1232411" cy="481547"/>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377825">
            <a:lnSpc>
              <a:spcPct val="90000"/>
            </a:lnSpc>
            <a:spcBef>
              <a:spcPct val="0"/>
            </a:spcBef>
            <a:spcAft>
              <a:spcPct val="35000"/>
            </a:spcAft>
            <a:buNone/>
          </a:pPr>
          <a:r>
            <a:rPr lang="hr-HR" sz="850" kern="1200"/>
            <a:t>II.  </a:t>
          </a:r>
          <a:br>
            <a:rPr lang="hr-HR" sz="850" kern="1200"/>
          </a:br>
          <a:r>
            <a:rPr lang="hr-HR" sz="850" kern="1200"/>
            <a:t>Poziv na dostavu ponuda   </a:t>
          </a:r>
        </a:p>
      </dsp:txBody>
      <dsp:txXfrm>
        <a:off x="1324563" y="156418"/>
        <a:ext cx="750864" cy="481547"/>
      </dsp:txXfrm>
    </dsp:sp>
    <dsp:sp modelId="{4AC28A52-AC5D-3B43-827E-D39A5F5EA8B8}">
      <dsp:nvSpPr>
        <dsp:cNvPr id="0" name=""/>
        <dsp:cNvSpPr/>
      </dsp:nvSpPr>
      <dsp:spPr>
        <a:xfrm>
          <a:off x="2195814" y="156418"/>
          <a:ext cx="1410969" cy="481547"/>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hr-HR" sz="900" kern="1200"/>
            <a:t>III.        Provedba fotonaponskog projekta</a:t>
          </a:r>
        </a:p>
      </dsp:txBody>
      <dsp:txXfrm>
        <a:off x="2436588" y="156418"/>
        <a:ext cx="929422" cy="481547"/>
      </dsp:txXfrm>
    </dsp:sp>
    <dsp:sp modelId="{7D2A7A69-8690-F645-ABD1-78DFAFAB70C5}">
      <dsp:nvSpPr>
        <dsp:cNvPr id="0" name=""/>
        <dsp:cNvSpPr/>
      </dsp:nvSpPr>
      <dsp:spPr>
        <a:xfrm>
          <a:off x="3486397" y="156418"/>
          <a:ext cx="1203867" cy="481547"/>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hr-HR" sz="900" kern="1200"/>
            <a:t>IV. </a:t>
          </a:r>
          <a:br>
            <a:rPr lang="hr-HR" sz="900" kern="1200"/>
          </a:br>
          <a:r>
            <a:rPr lang="hr-HR" sz="900" kern="1200"/>
            <a:t>Operativna faza</a:t>
          </a:r>
        </a:p>
      </dsp:txBody>
      <dsp:txXfrm>
        <a:off x="3727171" y="156418"/>
        <a:ext cx="722320" cy="481547"/>
      </dsp:txXfrm>
    </dsp:sp>
    <dsp:sp modelId="{5F2ED416-0001-8B4C-A422-4C9DF4DA7663}">
      <dsp:nvSpPr>
        <dsp:cNvPr id="0" name=""/>
        <dsp:cNvSpPr/>
      </dsp:nvSpPr>
      <dsp:spPr>
        <a:xfrm>
          <a:off x="4569878" y="156418"/>
          <a:ext cx="1203867" cy="481547"/>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377825">
            <a:lnSpc>
              <a:spcPct val="90000"/>
            </a:lnSpc>
            <a:spcBef>
              <a:spcPct val="0"/>
            </a:spcBef>
            <a:spcAft>
              <a:spcPct val="35000"/>
            </a:spcAft>
            <a:buNone/>
          </a:pPr>
          <a:r>
            <a:rPr lang="hr-HR" sz="850" kern="1200"/>
            <a:t>V.                </a:t>
          </a:r>
          <a:br>
            <a:rPr lang="hr-HR" sz="850" kern="1200"/>
          </a:br>
          <a:r>
            <a:rPr lang="hr-HR" sz="850" kern="1200"/>
            <a:t>Kraj životnog vijeka / demontaža</a:t>
          </a:r>
          <a:r>
            <a:rPr lang="hr-HR" sz="1000" kern="1200"/>
            <a:t>. </a:t>
          </a:r>
        </a:p>
      </dsp:txBody>
      <dsp:txXfrm>
        <a:off x="4810652" y="156418"/>
        <a:ext cx="722320" cy="481547"/>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38</Pages>
  <Words>7653</Words>
  <Characters>46992</Characters>
  <Application>Microsoft Office Word</Application>
  <DocSecurity>0</DocSecurity>
  <Lines>2764</Lines>
  <Paragraphs>1011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53634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3</cp:revision>
  <dcterms:created xsi:type="dcterms:W3CDTF">2024-09-17T12:14:00Z</dcterms:created>
  <dcterms:modified xsi:type="dcterms:W3CDTF">2024-10-23T07:35:00Z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