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526428">
      <w:pPr>
        <w:pStyle w:val="NoSpacing"/>
        <w:spacing w:before="1540" w:after="240"/>
        <w:jc w:val="center"/>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3F6482F0">
                <wp:simplePos x="0" y="0"/>
                <wp:positionH relativeFrom="margin">
                  <wp:posOffset>-342265</wp:posOffset>
                </wp:positionH>
                <wp:positionV relativeFrom="margin">
                  <wp:posOffset>2614930</wp:posOffset>
                </wp:positionV>
                <wp:extent cx="5962650" cy="3502660"/>
                <wp:effectExtent l="0" t="0" r="19050" b="2159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3502660"/>
                        </a:xfrm>
                        <a:prstGeom prst="rect">
                          <a:avLst/>
                        </a:prstGeom>
                        <a:noFill/>
                        <a:ln w="6350">
                          <a:solidFill>
                            <a:schemeClr val="accent1"/>
                          </a:solidFill>
                        </a:ln>
                      </wps:spPr>
                      <wps:txbx>
                        <w:txbxContent>
                          <w:p w14:paraId="433801F0" w14:textId="77777777" w:rsidR="006E1674" w:rsidRPr="008843D6" w:rsidRDefault="006E1674" w:rsidP="006E1674">
                            <w:pPr>
                              <w:pStyle w:val="Style2"/>
                              <w:rPr>
                                <w:sz w:val="32"/>
                                <w:szCs w:val="32"/>
                              </w:rPr>
                            </w:pPr>
                            <w:r>
                              <w:t xml:space="preserve">   </w:t>
                            </w:r>
                            <w:bookmarkStart w:id="1" w:name="_Toc175921257"/>
                            <w:bookmarkStart w:id="2" w:name="_Toc175921406"/>
                            <w:bookmarkStart w:id="3" w:name="_Toc175921729"/>
                            <w:r>
                              <w:rPr>
                                <w:color w:val="FFFFFF" w:themeColor="background1"/>
                                <w:sz w:val="56"/>
                              </w:rPr>
                              <w:t>Fasi preliminari di un progetto FV</w:t>
                            </w:r>
                            <w:r>
                              <w:rPr>
                                <w:color w:val="FFFFFF" w:themeColor="background1"/>
                                <w:sz w:val="44"/>
                              </w:rPr>
                              <w:br/>
                            </w:r>
                            <w:r>
                              <w:rPr>
                                <w:sz w:val="44"/>
                              </w:rPr>
                              <w:br/>
                            </w:r>
                            <w:r>
                              <w:rPr>
                                <w:b w:val="0"/>
                                <w:color w:val="104D54"/>
                                <w:sz w:val="44"/>
                              </w:rPr>
                              <w:t xml:space="preserve">   </w:t>
                            </w:r>
                            <w:r>
                              <w:rPr>
                                <w:b w:val="0"/>
                                <w:color w:val="104D54"/>
                                <w:sz w:val="32"/>
                              </w:rPr>
                              <w:t>Guida concisa per:</w:t>
                            </w:r>
                            <w:bookmarkEnd w:id="1"/>
                            <w:bookmarkEnd w:id="2"/>
                            <w:bookmarkEnd w:id="3"/>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4" w:name="_Toc175921258"/>
                            <w:bookmarkStart w:id="5" w:name="_Toc175921407"/>
                            <w:bookmarkStart w:id="6" w:name="_Toc175921730"/>
                            <w:r>
                              <w:rPr>
                                <w:b w:val="0"/>
                                <w:color w:val="FFFFFF" w:themeColor="background1"/>
                                <w:sz w:val="32"/>
                              </w:rPr>
                              <w:t xml:space="preserve">progetti di oltre </w:t>
                            </w:r>
                            <w:proofErr w:type="gramStart"/>
                            <w:r>
                              <w:rPr>
                                <w:b w:val="0"/>
                                <w:color w:val="FFFFFF" w:themeColor="background1"/>
                                <w:sz w:val="32"/>
                              </w:rPr>
                              <w:t>100</w:t>
                            </w:r>
                            <w:proofErr w:type="gramEnd"/>
                            <w:r>
                              <w:rPr>
                                <w:b w:val="0"/>
                                <w:color w:val="FFFFFF" w:themeColor="background1"/>
                                <w:sz w:val="32"/>
                              </w:rPr>
                              <w:t xml:space="preserve"> pannelli solari</w:t>
                            </w:r>
                            <w:bookmarkEnd w:id="4"/>
                            <w:bookmarkEnd w:id="5"/>
                            <w:bookmarkEnd w:id="6"/>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7" w:name="_Toc175921259"/>
                            <w:bookmarkStart w:id="8" w:name="_Toc175921408"/>
                            <w:bookmarkStart w:id="9" w:name="_Toc175921731"/>
                            <w:r>
                              <w:rPr>
                                <w:b w:val="0"/>
                                <w:color w:val="FFFFFF" w:themeColor="background1"/>
                                <w:sz w:val="32"/>
                              </w:rPr>
                              <w:t>organizzazioni del settore pubblico e organizzazioni private</w:t>
                            </w:r>
                            <w:bookmarkEnd w:id="7"/>
                            <w:bookmarkEnd w:id="8"/>
                            <w:bookmarkEnd w:id="9"/>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 w:name="_Toc175921260"/>
                            <w:bookmarkStart w:id="11" w:name="_Toc175921409"/>
                            <w:bookmarkStart w:id="12" w:name="_Toc175921732"/>
                            <w:r>
                              <w:rPr>
                                <w:color w:val="104D54"/>
                                <w:sz w:val="28"/>
                              </w:rPr>
                              <w:t>Come garantire buoni prezzi e buona qualità</w:t>
                            </w:r>
                            <w:bookmarkEnd w:id="10"/>
                            <w:bookmarkEnd w:id="11"/>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5921261"/>
                            <w:bookmarkStart w:id="14" w:name="_Toc175921410"/>
                            <w:bookmarkStart w:id="15" w:name="_Toc175921733"/>
                            <w:r>
                              <w:rPr>
                                <w:color w:val="104D54"/>
                                <w:sz w:val="28"/>
                              </w:rPr>
                              <w:t>Sicurezza e protezione antincendio</w:t>
                            </w:r>
                            <w:bookmarkEnd w:id="13"/>
                            <w:bookmarkEnd w:id="14"/>
                            <w:bookmarkEnd w:id="1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6" w:name="_Toc175921262"/>
                            <w:bookmarkStart w:id="17" w:name="_Toc175921411"/>
                            <w:bookmarkStart w:id="18" w:name="_Toc175921734"/>
                            <w:r>
                              <w:rPr>
                                <w:color w:val="104D54"/>
                                <w:sz w:val="28"/>
                              </w:rPr>
                              <w:t>Opzioni di sostenibilità</w:t>
                            </w:r>
                            <w:bookmarkEnd w:id="16"/>
                            <w:bookmarkEnd w:id="17"/>
                            <w:bookmarkEnd w:id="1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9" w:name="_Toc175921263"/>
                            <w:bookmarkStart w:id="20" w:name="_Toc175921412"/>
                            <w:bookmarkStart w:id="21" w:name="_Toc175921735"/>
                            <w:r>
                              <w:rPr>
                                <w:color w:val="104D54"/>
                                <w:sz w:val="28"/>
                              </w:rPr>
                              <w:t>Consigli pratici con i nomi</w:t>
                            </w:r>
                            <w:bookmarkEnd w:id="19"/>
                            <w:bookmarkEnd w:id="20"/>
                            <w:bookmarkEnd w:id="21"/>
                          </w:p>
                          <w:p w14:paraId="5EAD48E1" w14:textId="7E551FD0" w:rsidR="006E1674" w:rsidRPr="00282220" w:rsidRDefault="006E1674" w:rsidP="00282220">
                            <w:pPr>
                              <w:pStyle w:val="Style2"/>
                              <w:ind w:left="360" w:firstLine="348"/>
                              <w:rPr>
                                <w:bCs/>
                                <w:color w:val="104D54"/>
                                <w:sz w:val="28"/>
                                <w:szCs w:val="28"/>
                              </w:rPr>
                            </w:pPr>
                            <w:bookmarkStart w:id="22" w:name="_Toc175921264"/>
                            <w:bookmarkStart w:id="23" w:name="_Toc175921413"/>
                            <w:bookmarkStart w:id="24" w:name="_Toc175921736"/>
                            <w:r>
                              <w:rPr>
                                <w:color w:val="104D54"/>
                                <w:sz w:val="28"/>
                              </w:rPr>
                              <w:t>delle società di consulenza tecnica</w:t>
                            </w:r>
                            <w:bookmarkEnd w:id="22"/>
                            <w:bookmarkEnd w:id="23"/>
                            <w:bookmarkEnd w:id="2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6.95pt;margin-top:205.9pt;width:469.5pt;height:275.8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q95PAIAAHIEAAAOAAAAZHJzL2Uyb0RvYy54bWysVE2P2jAQvVfqf7B8LwkU0m5EWFFWVJXQ&#10;7kpstWfj2CSq43FtQ0J/fcdO+NC2p6oXM+N5Gc+bN8P8vmsUOQrratAFHY9SSoTmUNZ6X9DvL+sP&#10;nylxnumSKdCioCfh6P3i/bt5a3IxgQpUKSzBJNrlrSlo5b3Jk8TxSjTMjcAIjUEJtmEeXbtPSsta&#10;zN6oZJKmWdKCLY0FLpzD24c+SBcxv5SC+ycpnfBEFRRr8/G08dyFM1nMWb63zFQ1H8pg/1BFw2qN&#10;j15SPTDPyMHWf6Rqam7BgfQjDk0CUtZcRA7IZpy+YbOtmBGRCzbHmUub3P9Lyx+PW/Nsie++QIcC&#10;RhLObID/cNibpDUuHzChpy53iA5EO2mb8IsUCH6IvT1d+ik6Tzhezu6ySTbDEMfYx1k6ybLY8eT6&#10;ubHOfxXQkGAU1KJgsQR23DgfCmD5GRJe07CulYqiKU3agmaYtq8ZVF2GYIDF8RErZcmRofCMc6H9&#10;OIiN+dwViZ7SA8ueWKDou12H0GDuoDxhdyz0g+MMX9dY6IY5/8wsTgqSw+n3T3hIBVgQDBYlFdhf&#10;f7sPeBQQo5S0OHkFdT8PzApK1DeN0t6Np9MwqtGZzj5N0LG3kd1tRB+aFSDHMe6Z4dEMeK/OprTQ&#10;vOKSLMOrGGKa49sF9Wdz5ft9wCXjYrmMIBxOw/xGbw0/D0WQ4aV7ZdYMWnmU+RHOM8ryN5L12F60&#10;5cGDrKOe164OfcfBjrIMSxg259aPqOtfxeI3AAAA//8DAFBLAwQUAAYACAAAACEAzQRXs+IAAAAL&#10;AQAADwAAAGRycy9kb3ducmV2LnhtbEyPQWuDQBCF74X+h2UKvSWriYoaxxAKhV7SkjQUctvoVCXu&#10;rLibxPz7bk/tcZiP975XrCfdiyuNtjOMEM4DEMSVqTtuEA6fr7MUhHWKa9UbJoQ7WViXjw+Fymtz&#10;4x1d964RPoRtrhBa54ZcSlu1pJWdm4HY/77NqJXz59jIelQ3H657uQiCRGrVsW9o1UAvLVXn/UUj&#10;xLtInd8XyVd63JiP+0Fuk+1bhvj8NG1WIBxN7g+GX32vDqV3OpkL11b0CLN4mXkUIQpDv8ETaRqH&#10;IE4IWbKMQJaF/L+h/AEAAP//AwBQSwECLQAUAAYACAAAACEAtoM4kv4AAADhAQAAEwAAAAAAAAAA&#10;AAAAAAAAAAAAW0NvbnRlbnRfVHlwZXNdLnhtbFBLAQItABQABgAIAAAAIQA4/SH/1gAAAJQBAAAL&#10;AAAAAAAAAAAAAAAAAC8BAABfcmVscy8ucmVsc1BLAQItABQABgAIAAAAIQCYjq95PAIAAHIEAAAO&#10;AAAAAAAAAAAAAAAAAC4CAABkcnMvZTJvRG9jLnhtbFBLAQItABQABgAIAAAAIQDNBFez4gAAAAsB&#10;AAAPAAAAAAAAAAAAAAAAAJYEAABkcnMvZG93bnJldi54bWxQSwUGAAAAAAQABADzAAAApQUAAAAA&#10;" filled="f" strokecolor="#4472c4 [3204]" strokeweight=".5pt">
                <v:path arrowok="t"/>
                <v:textbox>
                  <w:txbxContent>
                    <w:p w14:paraId="433801F0" w14:textId="77777777" w:rsidR="006E1674" w:rsidRPr="008843D6" w:rsidRDefault="006E1674" w:rsidP="006E1674">
                      <w:pPr>
                        <w:pStyle w:val="Style2"/>
                        <w:rPr>
                          <w:sz w:val="32"/>
                          <w:szCs w:val="32"/>
                        </w:rPr>
                      </w:pPr>
                      <w:r>
                        <w:t xml:space="preserve">   </w:t>
                      </w:r>
                      <w:bookmarkStart w:id="25" w:name="_Toc175921257"/>
                      <w:bookmarkStart w:id="26" w:name="_Toc175921406"/>
                      <w:bookmarkStart w:id="27" w:name="_Toc175921729"/>
                      <w:r>
                        <w:rPr>
                          <w:color w:val="FFFFFF" w:themeColor="background1"/>
                          <w:sz w:val="56"/>
                        </w:rPr>
                        <w:t>Fasi preliminari di un progetto FV</w:t>
                      </w:r>
                      <w:r>
                        <w:rPr>
                          <w:color w:val="FFFFFF" w:themeColor="background1"/>
                          <w:sz w:val="44"/>
                        </w:rPr>
                        <w:br/>
                      </w:r>
                      <w:r>
                        <w:rPr>
                          <w:sz w:val="44"/>
                        </w:rPr>
                        <w:br/>
                      </w:r>
                      <w:r>
                        <w:rPr>
                          <w:b w:val="0"/>
                          <w:color w:val="104D54"/>
                          <w:sz w:val="44"/>
                        </w:rPr>
                        <w:t xml:space="preserve">   </w:t>
                      </w:r>
                      <w:r>
                        <w:rPr>
                          <w:b w:val="0"/>
                          <w:color w:val="104D54"/>
                          <w:sz w:val="32"/>
                        </w:rPr>
                        <w:t>Guida concisa per:</w:t>
                      </w:r>
                      <w:bookmarkEnd w:id="25"/>
                      <w:bookmarkEnd w:id="26"/>
                      <w:bookmarkEnd w:id="27"/>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8" w:name="_Toc175921258"/>
                      <w:bookmarkStart w:id="29" w:name="_Toc175921407"/>
                      <w:bookmarkStart w:id="30" w:name="_Toc175921730"/>
                      <w:r>
                        <w:rPr>
                          <w:b w:val="0"/>
                          <w:color w:val="FFFFFF" w:themeColor="background1"/>
                          <w:sz w:val="32"/>
                        </w:rPr>
                        <w:t xml:space="preserve">progetti di oltre </w:t>
                      </w:r>
                      <w:proofErr w:type="gramStart"/>
                      <w:r>
                        <w:rPr>
                          <w:b w:val="0"/>
                          <w:color w:val="FFFFFF" w:themeColor="background1"/>
                          <w:sz w:val="32"/>
                        </w:rPr>
                        <w:t>100</w:t>
                      </w:r>
                      <w:proofErr w:type="gramEnd"/>
                      <w:r>
                        <w:rPr>
                          <w:b w:val="0"/>
                          <w:color w:val="FFFFFF" w:themeColor="background1"/>
                          <w:sz w:val="32"/>
                        </w:rPr>
                        <w:t xml:space="preserve"> pannelli solari</w:t>
                      </w:r>
                      <w:bookmarkEnd w:id="28"/>
                      <w:bookmarkEnd w:id="29"/>
                      <w:bookmarkEnd w:id="3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1" w:name="_Toc175921259"/>
                      <w:bookmarkStart w:id="32" w:name="_Toc175921408"/>
                      <w:bookmarkStart w:id="33" w:name="_Toc175921731"/>
                      <w:r>
                        <w:rPr>
                          <w:b w:val="0"/>
                          <w:color w:val="FFFFFF" w:themeColor="background1"/>
                          <w:sz w:val="32"/>
                        </w:rPr>
                        <w:t>organizzazioni del settore pubblico e organizzazioni private</w:t>
                      </w:r>
                      <w:bookmarkEnd w:id="31"/>
                      <w:bookmarkEnd w:id="32"/>
                      <w:bookmarkEnd w:id="3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4" w:name="_Toc175921260"/>
                      <w:bookmarkStart w:id="35" w:name="_Toc175921409"/>
                      <w:bookmarkStart w:id="36" w:name="_Toc175921732"/>
                      <w:r>
                        <w:rPr>
                          <w:color w:val="104D54"/>
                          <w:sz w:val="28"/>
                        </w:rPr>
                        <w:t>Come garantire buoni prezzi e buona qualità</w:t>
                      </w:r>
                      <w:bookmarkEnd w:id="34"/>
                      <w:bookmarkEnd w:id="35"/>
                      <w:bookmarkEnd w:id="3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7" w:name="_Toc175921261"/>
                      <w:bookmarkStart w:id="38" w:name="_Toc175921410"/>
                      <w:bookmarkStart w:id="39" w:name="_Toc175921733"/>
                      <w:r>
                        <w:rPr>
                          <w:color w:val="104D54"/>
                          <w:sz w:val="28"/>
                        </w:rPr>
                        <w:t>Sicurezza e protezione antincendio</w:t>
                      </w:r>
                      <w:bookmarkEnd w:id="37"/>
                      <w:bookmarkEnd w:id="38"/>
                      <w:bookmarkEnd w:id="39"/>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0" w:name="_Toc175921262"/>
                      <w:bookmarkStart w:id="41" w:name="_Toc175921411"/>
                      <w:bookmarkStart w:id="42" w:name="_Toc175921734"/>
                      <w:r>
                        <w:rPr>
                          <w:color w:val="104D54"/>
                          <w:sz w:val="28"/>
                        </w:rPr>
                        <w:t>Opzioni di sostenibilità</w:t>
                      </w:r>
                      <w:bookmarkEnd w:id="40"/>
                      <w:bookmarkEnd w:id="41"/>
                      <w:bookmarkEnd w:id="4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43" w:name="_Toc175921263"/>
                      <w:bookmarkStart w:id="44" w:name="_Toc175921412"/>
                      <w:bookmarkStart w:id="45" w:name="_Toc175921735"/>
                      <w:r>
                        <w:rPr>
                          <w:color w:val="104D54"/>
                          <w:sz w:val="28"/>
                        </w:rPr>
                        <w:t>Consigli pratici con i nomi</w:t>
                      </w:r>
                      <w:bookmarkEnd w:id="43"/>
                      <w:bookmarkEnd w:id="44"/>
                      <w:bookmarkEnd w:id="45"/>
                    </w:p>
                    <w:p w14:paraId="5EAD48E1" w14:textId="7E551FD0" w:rsidR="006E1674" w:rsidRPr="00282220" w:rsidRDefault="006E1674" w:rsidP="00282220">
                      <w:pPr>
                        <w:pStyle w:val="Style2"/>
                        <w:ind w:left="360" w:firstLine="348"/>
                        <w:rPr>
                          <w:bCs/>
                          <w:color w:val="104D54"/>
                          <w:sz w:val="28"/>
                          <w:szCs w:val="28"/>
                        </w:rPr>
                      </w:pPr>
                      <w:bookmarkStart w:id="46" w:name="_Toc175921264"/>
                      <w:bookmarkStart w:id="47" w:name="_Toc175921413"/>
                      <w:bookmarkStart w:id="48" w:name="_Toc175921736"/>
                      <w:r>
                        <w:rPr>
                          <w:color w:val="104D54"/>
                          <w:sz w:val="28"/>
                        </w:rPr>
                        <w:t>delle società di consulenza tecnica</w:t>
                      </w:r>
                      <w:bookmarkEnd w:id="46"/>
                      <w:bookmarkEnd w:id="47"/>
                      <w:bookmarkEnd w:id="48"/>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526428" w:rsidRDefault="006E1674" w:rsidP="006E1674">
                            <w:pPr>
                              <w:rPr>
                                <w:rFonts w:ascii="Arial" w:hAnsi="Arial" w:cs="Arial"/>
                                <w:b/>
                                <w:bCs/>
                                <w:color w:val="104D54"/>
                                <w:sz w:val="32"/>
                                <w:szCs w:val="32"/>
                                <w:lang w:val="en-IE"/>
                              </w:rPr>
                            </w:pPr>
                            <w:r w:rsidRPr="00526428">
                              <w:rPr>
                                <w:rFonts w:ascii="Arial" w:hAnsi="Arial"/>
                                <w:b/>
                                <w:color w:val="104D54"/>
                                <w:sz w:val="32"/>
                                <w:lang w:val="en-IE"/>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526428" w:rsidRDefault="006E1674" w:rsidP="006E1674">
                      <w:pPr>
                        <w:rPr>
                          <w:rFonts w:ascii="Arial" w:hAnsi="Arial" w:cs="Arial"/>
                          <w:b/>
                          <w:bCs/>
                          <w:color w:val="104D54"/>
                          <w:sz w:val="32"/>
                          <w:szCs w:val="32"/>
                          <w:lang w:val="en-IE"/>
                        </w:rPr>
                      </w:pPr>
                      <w:r w:rsidRPr="00526428">
                        <w:rPr>
                          <w:rFonts w:ascii="Arial" w:hAnsi="Arial"/>
                          <w:b/>
                          <w:color w:val="104D54"/>
                          <w:sz w:val="32"/>
                          <w:lang w:val="en-IE"/>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4316C1F1">
                <wp:simplePos x="0" y="0"/>
                <wp:positionH relativeFrom="margin">
                  <wp:posOffset>-343535</wp:posOffset>
                </wp:positionH>
                <wp:positionV relativeFrom="page">
                  <wp:posOffset>7950835</wp:posOffset>
                </wp:positionV>
                <wp:extent cx="5064760" cy="1346200"/>
                <wp:effectExtent l="0" t="0" r="0" b="635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64760" cy="1346200"/>
                        </a:xfrm>
                        <a:prstGeom prst="rect">
                          <a:avLst/>
                        </a:prstGeom>
                        <a:no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Un'iniziativa di: </w:t>
                            </w:r>
                            <w:r>
                              <w:rPr>
                                <w:rFonts w:ascii="Arial" w:hAnsi="Arial"/>
                                <w:b/>
                                <w:color w:val="104D54"/>
                              </w:rPr>
                              <w:t xml:space="preserve">RVO e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Versione: 0.99 (progetto)</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 cura di Michiel Mensink e Marcello Passaro, </w:t>
                            </w:r>
                            <w:r>
                              <w:rPr>
                                <w:rFonts w:ascii="Arial" w:hAnsi="Arial"/>
                                <w:color w:val="104D54"/>
                              </w:rPr>
                              <w:br/>
                              <w:t>con diritti d'autore attribuiti a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di pubblicazione: 5 settembre 2023</w:t>
                            </w:r>
                          </w:p>
                          <w:p w14:paraId="7696FCCA" w14:textId="77777777" w:rsidR="006E1674" w:rsidRPr="00F426F5"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7.05pt;margin-top:626.05pt;width:398.8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vmZKQIAAE0EAAAOAAAAZHJzL2Uyb0RvYy54bWysVF1v2jAUfZ+0/2D5fSRQoF1EqFgrpkmo&#10;rUSnPhvHJtEcX882JOzX79pJAHV7mvbiXPte349zjrO4b2tFjsK6CnROx6OUEqE5FJXe5/T76/rT&#10;HSXOM10wBVrk9CQcvV9+/LBoTCYmUIIqhCWYRLusMTktvTdZkjheipq5ERih0SnB1szj1u6TwrIG&#10;s9cqmaTpPGnAFsYCF87h6WPnpMuYX0rB/bOUTniicoq9+bjauO7CmiwXLNtbZsqK922wf+iiZpXG&#10;oudUj8wzcrDVH6nqiltwIP2IQ52AlBUXcQacZpy+m2ZbMiPiLAiOM2eY3P9Ly5+OW/NiiW+/QIsE&#10;xiGc2QD/4RCbpDEu62MCpi5zGB0GbaWtwxdHIHgRsT2d8RStJxwPZ+l8ejtHF0ff+GY6R8YC4snl&#10;urHOfxVQk2Dk1CJhsQV23DjfhQ4hoZqGdaVUJE1p0uR0fjNL44WzB5Mr3XfeNRva9u2uJVWR00lo&#10;IJzsoDjh4BY6TTjD1xX2sGHOvzCLIsC+Udj+GRepAGtBb1FSgv31t/MQj9ygl5IGRZVT9/PArKBE&#10;fdPI2ufxdBpUGDfT2e0EN/bas7v26EP9AKjbMT4hw6MZ4r0aTGmhfkP9r0JVdDHNsXZO/WA++E7q&#10;+H64WK1iEOrOML/RW8MHvgPCr+0bs6anwSODTzDIj2Xv2OhiOz5WBw+yilRdUO3hR81Gsvv3FR7F&#10;9T5GXf4Cy98AAAD//wMAUEsDBBQABgAIAAAAIQBZ9KC/4wAAAA0BAAAPAAAAZHJzL2Rvd25yZXYu&#10;eG1sTI9BT8MwDIXvSPyHyEjctnSlHVNpOk2VJiQEh41duKWN11Y0TmmyrfDrMadxs/2enr+Xryfb&#10;izOOvnOkYDGPQCDVznTUKDi8b2crED5oMrp3hAq+0cO6uL3JdWbchXZ43odGcAj5TCtoQxgyKX3d&#10;otV+7gYk1o5utDrwOjbSjPrC4baXcRQtpdUd8YdWD1i2WH/uT1bBS7l907sqtqufvnx+PW6Gr8NH&#10;qtT93bR5AhFwClcz/OEzOhTMVLkTGS96BbM0WbCVhTiNeWLLY/KQgqj4lCxZlEUu/7cofgEAAP//&#10;AwBQSwECLQAUAAYACAAAACEAtoM4kv4AAADhAQAAEwAAAAAAAAAAAAAAAAAAAAAAW0NvbnRlbnRf&#10;VHlwZXNdLnhtbFBLAQItABQABgAIAAAAIQA4/SH/1gAAAJQBAAALAAAAAAAAAAAAAAAAAC8BAABf&#10;cmVscy8ucmVsc1BLAQItABQABgAIAAAAIQBsXvmZKQIAAE0EAAAOAAAAAAAAAAAAAAAAAC4CAABk&#10;cnMvZTJvRG9jLnhtbFBLAQItABQABgAIAAAAIQBZ9KC/4wAAAA0BAAAPAAAAAAAAAAAAAAAAAIME&#10;AABkcnMvZG93bnJldi54bWxQSwUGAAAAAAQABADzAAAAkwUAAAAA&#10;" filled="f"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Un'iniziativa di: </w:t>
                      </w:r>
                      <w:r>
                        <w:rPr>
                          <w:rFonts w:ascii="Arial" w:hAnsi="Arial"/>
                          <w:b/>
                          <w:color w:val="104D54"/>
                        </w:rPr>
                        <w:t xml:space="preserve">RVO e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Versione: 0.99 (progetto)</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 cura di Michiel Mensink e Marcello Passaro, </w:t>
                      </w:r>
                      <w:r>
                        <w:rPr>
                          <w:rFonts w:ascii="Arial" w:hAnsi="Arial"/>
                          <w:color w:val="104D54"/>
                        </w:rPr>
                        <w:br/>
                        <w:t>con diritti d'autore attribuiti a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di pubblicazione: 5 settembre 2023</w:t>
                      </w:r>
                    </w:p>
                    <w:p w14:paraId="7696FCCA" w14:textId="77777777" w:rsidR="006E1674" w:rsidRPr="00F426F5"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C02710" w:rsidRDefault="0029348A" w:rsidP="00F426F5">
      <w:pPr>
        <w:pStyle w:val="MH1"/>
      </w:pPr>
      <w:bookmarkStart w:id="49" w:name="_Toc180569743"/>
      <w:r w:rsidRPr="00C02710">
        <w:lastRenderedPageBreak/>
        <w:t>Indice</w:t>
      </w:r>
      <w:bookmarkEnd w:id="49"/>
    </w:p>
    <w:p w14:paraId="053C2B11" w14:textId="77777777" w:rsidR="00845A98" w:rsidRPr="00C02710" w:rsidRDefault="00845A98" w:rsidP="00A3595E"/>
    <w:p w14:paraId="2BCE4A6D" w14:textId="77777777" w:rsidR="00845A98" w:rsidRPr="00C02710" w:rsidRDefault="00845A98" w:rsidP="00A3595E"/>
    <w:p w14:paraId="62323A0E" w14:textId="191B26AB" w:rsidR="0009535D" w:rsidRDefault="00F426F5">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69743" w:history="1">
        <w:r w:rsidR="0009535D" w:rsidRPr="00D1121C">
          <w:rPr>
            <w:rStyle w:val="Hyperlink"/>
            <w:noProof/>
          </w:rPr>
          <w:t>Indice</w:t>
        </w:r>
        <w:r w:rsidR="0009535D">
          <w:rPr>
            <w:noProof/>
            <w:webHidden/>
          </w:rPr>
          <w:tab/>
        </w:r>
        <w:r w:rsidR="0009535D">
          <w:rPr>
            <w:noProof/>
            <w:webHidden/>
          </w:rPr>
          <w:fldChar w:fldCharType="begin"/>
        </w:r>
        <w:r w:rsidR="0009535D">
          <w:rPr>
            <w:noProof/>
            <w:webHidden/>
          </w:rPr>
          <w:instrText xml:space="preserve"> PAGEREF _Toc180569743 \h </w:instrText>
        </w:r>
        <w:r w:rsidR="0009535D">
          <w:rPr>
            <w:noProof/>
            <w:webHidden/>
          </w:rPr>
        </w:r>
        <w:r w:rsidR="0009535D">
          <w:rPr>
            <w:noProof/>
            <w:webHidden/>
          </w:rPr>
          <w:fldChar w:fldCharType="separate"/>
        </w:r>
        <w:r w:rsidR="0009535D">
          <w:rPr>
            <w:noProof/>
            <w:webHidden/>
          </w:rPr>
          <w:t>1</w:t>
        </w:r>
        <w:r w:rsidR="0009535D">
          <w:rPr>
            <w:noProof/>
            <w:webHidden/>
          </w:rPr>
          <w:fldChar w:fldCharType="end"/>
        </w:r>
      </w:hyperlink>
    </w:p>
    <w:p w14:paraId="3BEA0A78" w14:textId="43D7BB38"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44" w:history="1">
        <w:r w:rsidRPr="00D1121C">
          <w:rPr>
            <w:rStyle w:val="Hyperlink"/>
            <w:noProof/>
          </w:rPr>
          <w:t>Objective of and background  to this guide</w:t>
        </w:r>
        <w:r>
          <w:rPr>
            <w:noProof/>
            <w:webHidden/>
          </w:rPr>
          <w:tab/>
        </w:r>
        <w:r>
          <w:rPr>
            <w:noProof/>
            <w:webHidden/>
          </w:rPr>
          <w:fldChar w:fldCharType="begin"/>
        </w:r>
        <w:r>
          <w:rPr>
            <w:noProof/>
            <w:webHidden/>
          </w:rPr>
          <w:instrText xml:space="preserve"> PAGEREF _Toc180569744 \h </w:instrText>
        </w:r>
        <w:r>
          <w:rPr>
            <w:noProof/>
            <w:webHidden/>
          </w:rPr>
        </w:r>
        <w:r>
          <w:rPr>
            <w:noProof/>
            <w:webHidden/>
          </w:rPr>
          <w:fldChar w:fldCharType="separate"/>
        </w:r>
        <w:r>
          <w:rPr>
            <w:noProof/>
            <w:webHidden/>
          </w:rPr>
          <w:t>3</w:t>
        </w:r>
        <w:r>
          <w:rPr>
            <w:noProof/>
            <w:webHidden/>
          </w:rPr>
          <w:fldChar w:fldCharType="end"/>
        </w:r>
      </w:hyperlink>
    </w:p>
    <w:p w14:paraId="1CA08034" w14:textId="282DED36"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45" w:history="1">
        <w:r w:rsidRPr="00D1121C">
          <w:rPr>
            <w:rStyle w:val="Hyperlink"/>
            <w:noProof/>
          </w:rPr>
          <w:t>Why</w:t>
        </w:r>
        <w:r>
          <w:rPr>
            <w:noProof/>
            <w:webHidden/>
          </w:rPr>
          <w:tab/>
        </w:r>
        <w:r>
          <w:rPr>
            <w:noProof/>
            <w:webHidden/>
          </w:rPr>
          <w:fldChar w:fldCharType="begin"/>
        </w:r>
        <w:r>
          <w:rPr>
            <w:noProof/>
            <w:webHidden/>
          </w:rPr>
          <w:instrText xml:space="preserve"> PAGEREF _Toc180569745 \h </w:instrText>
        </w:r>
        <w:r>
          <w:rPr>
            <w:noProof/>
            <w:webHidden/>
          </w:rPr>
        </w:r>
        <w:r>
          <w:rPr>
            <w:noProof/>
            <w:webHidden/>
          </w:rPr>
          <w:fldChar w:fldCharType="separate"/>
        </w:r>
        <w:r>
          <w:rPr>
            <w:noProof/>
            <w:webHidden/>
          </w:rPr>
          <w:t>3</w:t>
        </w:r>
        <w:r>
          <w:rPr>
            <w:noProof/>
            <w:webHidden/>
          </w:rPr>
          <w:fldChar w:fldCharType="end"/>
        </w:r>
      </w:hyperlink>
    </w:p>
    <w:p w14:paraId="5462FFDD" w14:textId="53F282E6"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46" w:history="1">
        <w:r w:rsidRPr="00D1121C">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_Toc180569746 \h </w:instrText>
        </w:r>
        <w:r>
          <w:rPr>
            <w:noProof/>
            <w:webHidden/>
          </w:rPr>
        </w:r>
        <w:r>
          <w:rPr>
            <w:noProof/>
            <w:webHidden/>
          </w:rPr>
          <w:fldChar w:fldCharType="separate"/>
        </w:r>
        <w:r>
          <w:rPr>
            <w:noProof/>
            <w:webHidden/>
          </w:rPr>
          <w:t>3</w:t>
        </w:r>
        <w:r>
          <w:rPr>
            <w:noProof/>
            <w:webHidden/>
          </w:rPr>
          <w:fldChar w:fldCharType="end"/>
        </w:r>
      </w:hyperlink>
    </w:p>
    <w:p w14:paraId="74FEAB3B" w14:textId="76018D57"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47" w:history="1">
        <w:r w:rsidRPr="00D1121C">
          <w:rPr>
            <w:rStyle w:val="Hyperlink"/>
            <w:noProof/>
          </w:rPr>
          <w:t>Responsibility</w:t>
        </w:r>
        <w:r>
          <w:rPr>
            <w:noProof/>
            <w:webHidden/>
          </w:rPr>
          <w:tab/>
        </w:r>
        <w:r>
          <w:rPr>
            <w:noProof/>
            <w:webHidden/>
          </w:rPr>
          <w:fldChar w:fldCharType="begin"/>
        </w:r>
        <w:r>
          <w:rPr>
            <w:noProof/>
            <w:webHidden/>
          </w:rPr>
          <w:instrText xml:space="preserve"> PAGEREF _Toc180569747 \h </w:instrText>
        </w:r>
        <w:r>
          <w:rPr>
            <w:noProof/>
            <w:webHidden/>
          </w:rPr>
        </w:r>
        <w:r>
          <w:rPr>
            <w:noProof/>
            <w:webHidden/>
          </w:rPr>
          <w:fldChar w:fldCharType="separate"/>
        </w:r>
        <w:r>
          <w:rPr>
            <w:noProof/>
            <w:webHidden/>
          </w:rPr>
          <w:t>4</w:t>
        </w:r>
        <w:r>
          <w:rPr>
            <w:noProof/>
            <w:webHidden/>
          </w:rPr>
          <w:fldChar w:fldCharType="end"/>
        </w:r>
      </w:hyperlink>
    </w:p>
    <w:p w14:paraId="68FBF07D" w14:textId="4CDDF843"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48" w:history="1">
        <w:r w:rsidRPr="00D1121C">
          <w:rPr>
            <w:rStyle w:val="Hyperlink"/>
            <w:noProof/>
          </w:rPr>
          <w:t>Disclaimer</w:t>
        </w:r>
        <w:r>
          <w:rPr>
            <w:noProof/>
            <w:webHidden/>
          </w:rPr>
          <w:tab/>
        </w:r>
        <w:r>
          <w:rPr>
            <w:noProof/>
            <w:webHidden/>
          </w:rPr>
          <w:fldChar w:fldCharType="begin"/>
        </w:r>
        <w:r>
          <w:rPr>
            <w:noProof/>
            <w:webHidden/>
          </w:rPr>
          <w:instrText xml:space="preserve"> PAGEREF _Toc180569748 \h </w:instrText>
        </w:r>
        <w:r>
          <w:rPr>
            <w:noProof/>
            <w:webHidden/>
          </w:rPr>
        </w:r>
        <w:r>
          <w:rPr>
            <w:noProof/>
            <w:webHidden/>
          </w:rPr>
          <w:fldChar w:fldCharType="separate"/>
        </w:r>
        <w:r>
          <w:rPr>
            <w:noProof/>
            <w:webHidden/>
          </w:rPr>
          <w:t>4</w:t>
        </w:r>
        <w:r>
          <w:rPr>
            <w:noProof/>
            <w:webHidden/>
          </w:rPr>
          <w:fldChar w:fldCharType="end"/>
        </w:r>
      </w:hyperlink>
    </w:p>
    <w:p w14:paraId="2445E791" w14:textId="199C6DE5"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49" w:history="1">
        <w:r w:rsidRPr="00D1121C">
          <w:rPr>
            <w:rStyle w:val="Hyperlink"/>
            <w:noProof/>
          </w:rPr>
          <w:t>Introduzione</w:t>
        </w:r>
        <w:r>
          <w:rPr>
            <w:noProof/>
            <w:webHidden/>
          </w:rPr>
          <w:tab/>
        </w:r>
        <w:r>
          <w:rPr>
            <w:noProof/>
            <w:webHidden/>
          </w:rPr>
          <w:fldChar w:fldCharType="begin"/>
        </w:r>
        <w:r>
          <w:rPr>
            <w:noProof/>
            <w:webHidden/>
          </w:rPr>
          <w:instrText xml:space="preserve"> PAGEREF _Toc180569749 \h </w:instrText>
        </w:r>
        <w:r>
          <w:rPr>
            <w:noProof/>
            <w:webHidden/>
          </w:rPr>
        </w:r>
        <w:r>
          <w:rPr>
            <w:noProof/>
            <w:webHidden/>
          </w:rPr>
          <w:fldChar w:fldCharType="separate"/>
        </w:r>
        <w:r>
          <w:rPr>
            <w:noProof/>
            <w:webHidden/>
          </w:rPr>
          <w:t>5</w:t>
        </w:r>
        <w:r>
          <w:rPr>
            <w:noProof/>
            <w:webHidden/>
          </w:rPr>
          <w:fldChar w:fldCharType="end"/>
        </w:r>
      </w:hyperlink>
    </w:p>
    <w:p w14:paraId="28D17EB1" w14:textId="64481652"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50" w:history="1">
        <w:r w:rsidRPr="00D1121C">
          <w:rPr>
            <w:rStyle w:val="Hyperlink"/>
            <w:noProof/>
          </w:rPr>
          <w:t>Lo studio preliminare</w:t>
        </w:r>
        <w:r>
          <w:rPr>
            <w:noProof/>
            <w:webHidden/>
          </w:rPr>
          <w:tab/>
        </w:r>
        <w:r>
          <w:rPr>
            <w:noProof/>
            <w:webHidden/>
          </w:rPr>
          <w:fldChar w:fldCharType="begin"/>
        </w:r>
        <w:r>
          <w:rPr>
            <w:noProof/>
            <w:webHidden/>
          </w:rPr>
          <w:instrText xml:space="preserve"> PAGEREF _Toc180569750 \h </w:instrText>
        </w:r>
        <w:r>
          <w:rPr>
            <w:noProof/>
            <w:webHidden/>
          </w:rPr>
        </w:r>
        <w:r>
          <w:rPr>
            <w:noProof/>
            <w:webHidden/>
          </w:rPr>
          <w:fldChar w:fldCharType="separate"/>
        </w:r>
        <w:r>
          <w:rPr>
            <w:noProof/>
            <w:webHidden/>
          </w:rPr>
          <w:t>6</w:t>
        </w:r>
        <w:r>
          <w:rPr>
            <w:noProof/>
            <w:webHidden/>
          </w:rPr>
          <w:fldChar w:fldCharType="end"/>
        </w:r>
      </w:hyperlink>
    </w:p>
    <w:p w14:paraId="07F61E0D" w14:textId="114F4120"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51" w:history="1">
        <w:r w:rsidRPr="00D1121C">
          <w:rPr>
            <w:rStyle w:val="Hyperlink"/>
            <w:noProof/>
          </w:rPr>
          <w:t>Fase 1 Punto della situazione</w:t>
        </w:r>
        <w:r>
          <w:rPr>
            <w:noProof/>
            <w:webHidden/>
          </w:rPr>
          <w:tab/>
        </w:r>
        <w:r>
          <w:rPr>
            <w:noProof/>
            <w:webHidden/>
          </w:rPr>
          <w:fldChar w:fldCharType="begin"/>
        </w:r>
        <w:r>
          <w:rPr>
            <w:noProof/>
            <w:webHidden/>
          </w:rPr>
          <w:instrText xml:space="preserve"> PAGEREF _Toc180569751 \h </w:instrText>
        </w:r>
        <w:r>
          <w:rPr>
            <w:noProof/>
            <w:webHidden/>
          </w:rPr>
        </w:r>
        <w:r>
          <w:rPr>
            <w:noProof/>
            <w:webHidden/>
          </w:rPr>
          <w:fldChar w:fldCharType="separate"/>
        </w:r>
        <w:r>
          <w:rPr>
            <w:noProof/>
            <w:webHidden/>
          </w:rPr>
          <w:t>7</w:t>
        </w:r>
        <w:r>
          <w:rPr>
            <w:noProof/>
            <w:webHidden/>
          </w:rPr>
          <w:fldChar w:fldCharType="end"/>
        </w:r>
      </w:hyperlink>
    </w:p>
    <w:p w14:paraId="07EB92B9" w14:textId="210733EF"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2" w:history="1">
        <w:r w:rsidRPr="00D1121C">
          <w:rPr>
            <w:rStyle w:val="Hyperlink"/>
            <w:noProof/>
          </w:rPr>
          <w:t>1.1 Informazioni generali</w:t>
        </w:r>
        <w:r>
          <w:rPr>
            <w:noProof/>
            <w:webHidden/>
          </w:rPr>
          <w:tab/>
        </w:r>
        <w:r>
          <w:rPr>
            <w:noProof/>
            <w:webHidden/>
          </w:rPr>
          <w:fldChar w:fldCharType="begin"/>
        </w:r>
        <w:r>
          <w:rPr>
            <w:noProof/>
            <w:webHidden/>
          </w:rPr>
          <w:instrText xml:space="preserve"> PAGEREF _Toc180569752 \h </w:instrText>
        </w:r>
        <w:r>
          <w:rPr>
            <w:noProof/>
            <w:webHidden/>
          </w:rPr>
        </w:r>
        <w:r>
          <w:rPr>
            <w:noProof/>
            <w:webHidden/>
          </w:rPr>
          <w:fldChar w:fldCharType="separate"/>
        </w:r>
        <w:r>
          <w:rPr>
            <w:noProof/>
            <w:webHidden/>
          </w:rPr>
          <w:t>7</w:t>
        </w:r>
        <w:r>
          <w:rPr>
            <w:noProof/>
            <w:webHidden/>
          </w:rPr>
          <w:fldChar w:fldCharType="end"/>
        </w:r>
      </w:hyperlink>
    </w:p>
    <w:p w14:paraId="736866F2" w14:textId="7B595DBF"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3" w:history="1">
        <w:r w:rsidRPr="00D1121C">
          <w:rPr>
            <w:rStyle w:val="Hyperlink"/>
            <w:noProof/>
          </w:rPr>
          <w:t>1.2 Considerazioni di natura elettrica</w:t>
        </w:r>
        <w:r>
          <w:rPr>
            <w:noProof/>
            <w:webHidden/>
          </w:rPr>
          <w:tab/>
        </w:r>
        <w:r>
          <w:rPr>
            <w:noProof/>
            <w:webHidden/>
          </w:rPr>
          <w:fldChar w:fldCharType="begin"/>
        </w:r>
        <w:r>
          <w:rPr>
            <w:noProof/>
            <w:webHidden/>
          </w:rPr>
          <w:instrText xml:space="preserve"> PAGEREF _Toc180569753 \h </w:instrText>
        </w:r>
        <w:r>
          <w:rPr>
            <w:noProof/>
            <w:webHidden/>
          </w:rPr>
        </w:r>
        <w:r>
          <w:rPr>
            <w:noProof/>
            <w:webHidden/>
          </w:rPr>
          <w:fldChar w:fldCharType="separate"/>
        </w:r>
        <w:r>
          <w:rPr>
            <w:noProof/>
            <w:webHidden/>
          </w:rPr>
          <w:t>7</w:t>
        </w:r>
        <w:r>
          <w:rPr>
            <w:noProof/>
            <w:webHidden/>
          </w:rPr>
          <w:fldChar w:fldCharType="end"/>
        </w:r>
      </w:hyperlink>
    </w:p>
    <w:p w14:paraId="07424469" w14:textId="5A311750"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4" w:history="1">
        <w:r w:rsidRPr="00D1121C">
          <w:rPr>
            <w:rStyle w:val="Hyperlink"/>
            <w:noProof/>
          </w:rPr>
          <w:t>1.3 Foto e mappe</w:t>
        </w:r>
        <w:r>
          <w:rPr>
            <w:noProof/>
            <w:webHidden/>
          </w:rPr>
          <w:tab/>
        </w:r>
        <w:r>
          <w:rPr>
            <w:noProof/>
            <w:webHidden/>
          </w:rPr>
          <w:fldChar w:fldCharType="begin"/>
        </w:r>
        <w:r>
          <w:rPr>
            <w:noProof/>
            <w:webHidden/>
          </w:rPr>
          <w:instrText xml:space="preserve"> PAGEREF _Toc180569754 \h </w:instrText>
        </w:r>
        <w:r>
          <w:rPr>
            <w:noProof/>
            <w:webHidden/>
          </w:rPr>
        </w:r>
        <w:r>
          <w:rPr>
            <w:noProof/>
            <w:webHidden/>
          </w:rPr>
          <w:fldChar w:fldCharType="separate"/>
        </w:r>
        <w:r>
          <w:rPr>
            <w:noProof/>
            <w:webHidden/>
          </w:rPr>
          <w:t>7</w:t>
        </w:r>
        <w:r>
          <w:rPr>
            <w:noProof/>
            <w:webHidden/>
          </w:rPr>
          <w:fldChar w:fldCharType="end"/>
        </w:r>
      </w:hyperlink>
    </w:p>
    <w:p w14:paraId="1447123D" w14:textId="5A991B6D"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5" w:history="1">
        <w:r w:rsidRPr="00D1121C">
          <w:rPr>
            <w:rStyle w:val="Hyperlink"/>
            <w:noProof/>
          </w:rPr>
          <w:t>1.4 Pianificazione</w:t>
        </w:r>
        <w:r>
          <w:rPr>
            <w:noProof/>
            <w:webHidden/>
          </w:rPr>
          <w:tab/>
        </w:r>
        <w:r>
          <w:rPr>
            <w:noProof/>
            <w:webHidden/>
          </w:rPr>
          <w:fldChar w:fldCharType="begin"/>
        </w:r>
        <w:r>
          <w:rPr>
            <w:noProof/>
            <w:webHidden/>
          </w:rPr>
          <w:instrText xml:space="preserve"> PAGEREF _Toc180569755 \h </w:instrText>
        </w:r>
        <w:r>
          <w:rPr>
            <w:noProof/>
            <w:webHidden/>
          </w:rPr>
        </w:r>
        <w:r>
          <w:rPr>
            <w:noProof/>
            <w:webHidden/>
          </w:rPr>
          <w:fldChar w:fldCharType="separate"/>
        </w:r>
        <w:r>
          <w:rPr>
            <w:noProof/>
            <w:webHidden/>
          </w:rPr>
          <w:t>7</w:t>
        </w:r>
        <w:r>
          <w:rPr>
            <w:noProof/>
            <w:webHidden/>
          </w:rPr>
          <w:fldChar w:fldCharType="end"/>
        </w:r>
      </w:hyperlink>
    </w:p>
    <w:p w14:paraId="05937A71" w14:textId="19F67EF0"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6" w:history="1">
        <w:r w:rsidRPr="00D1121C">
          <w:rPr>
            <w:rStyle w:val="Hyperlink"/>
            <w:noProof/>
          </w:rPr>
          <w:t>1.5 Carico sul tetto</w:t>
        </w:r>
        <w:r>
          <w:rPr>
            <w:noProof/>
            <w:webHidden/>
          </w:rPr>
          <w:tab/>
        </w:r>
        <w:r>
          <w:rPr>
            <w:noProof/>
            <w:webHidden/>
          </w:rPr>
          <w:fldChar w:fldCharType="begin"/>
        </w:r>
        <w:r>
          <w:rPr>
            <w:noProof/>
            <w:webHidden/>
          </w:rPr>
          <w:instrText xml:space="preserve"> PAGEREF _Toc180569756 \h </w:instrText>
        </w:r>
        <w:r>
          <w:rPr>
            <w:noProof/>
            <w:webHidden/>
          </w:rPr>
        </w:r>
        <w:r>
          <w:rPr>
            <w:noProof/>
            <w:webHidden/>
          </w:rPr>
          <w:fldChar w:fldCharType="separate"/>
        </w:r>
        <w:r>
          <w:rPr>
            <w:noProof/>
            <w:webHidden/>
          </w:rPr>
          <w:t>7</w:t>
        </w:r>
        <w:r>
          <w:rPr>
            <w:noProof/>
            <w:webHidden/>
          </w:rPr>
          <w:fldChar w:fldCharType="end"/>
        </w:r>
      </w:hyperlink>
    </w:p>
    <w:p w14:paraId="05CCF115" w14:textId="19422605"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57" w:history="1">
        <w:r w:rsidRPr="00D1121C">
          <w:rPr>
            <w:rStyle w:val="Hyperlink"/>
            <w:noProof/>
          </w:rPr>
          <w:t>Fase 2. Ingegneria orientativa</w:t>
        </w:r>
        <w:r>
          <w:rPr>
            <w:noProof/>
            <w:webHidden/>
          </w:rPr>
          <w:tab/>
        </w:r>
        <w:r>
          <w:rPr>
            <w:noProof/>
            <w:webHidden/>
          </w:rPr>
          <w:fldChar w:fldCharType="begin"/>
        </w:r>
        <w:r>
          <w:rPr>
            <w:noProof/>
            <w:webHidden/>
          </w:rPr>
          <w:instrText xml:space="preserve"> PAGEREF _Toc180569757 \h </w:instrText>
        </w:r>
        <w:r>
          <w:rPr>
            <w:noProof/>
            <w:webHidden/>
          </w:rPr>
        </w:r>
        <w:r>
          <w:rPr>
            <w:noProof/>
            <w:webHidden/>
          </w:rPr>
          <w:fldChar w:fldCharType="separate"/>
        </w:r>
        <w:r>
          <w:rPr>
            <w:noProof/>
            <w:webHidden/>
          </w:rPr>
          <w:t>8</w:t>
        </w:r>
        <w:r>
          <w:rPr>
            <w:noProof/>
            <w:webHidden/>
          </w:rPr>
          <w:fldChar w:fldCharType="end"/>
        </w:r>
      </w:hyperlink>
    </w:p>
    <w:p w14:paraId="224976AA" w14:textId="769FA2A9"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8" w:history="1">
        <w:r w:rsidRPr="00D1121C">
          <w:rPr>
            <w:rStyle w:val="Hyperlink"/>
            <w:noProof/>
          </w:rPr>
          <w:t>2.1 Determinazione del numero massimo di pannelli solari e della massima produzione di energia</w:t>
        </w:r>
        <w:r>
          <w:rPr>
            <w:noProof/>
            <w:webHidden/>
          </w:rPr>
          <w:tab/>
        </w:r>
        <w:r>
          <w:rPr>
            <w:noProof/>
            <w:webHidden/>
          </w:rPr>
          <w:fldChar w:fldCharType="begin"/>
        </w:r>
        <w:r>
          <w:rPr>
            <w:noProof/>
            <w:webHidden/>
          </w:rPr>
          <w:instrText xml:space="preserve"> PAGEREF _Toc180569758 \h </w:instrText>
        </w:r>
        <w:r>
          <w:rPr>
            <w:noProof/>
            <w:webHidden/>
          </w:rPr>
        </w:r>
        <w:r>
          <w:rPr>
            <w:noProof/>
            <w:webHidden/>
          </w:rPr>
          <w:fldChar w:fldCharType="separate"/>
        </w:r>
        <w:r>
          <w:rPr>
            <w:noProof/>
            <w:webHidden/>
          </w:rPr>
          <w:t>8</w:t>
        </w:r>
        <w:r>
          <w:rPr>
            <w:noProof/>
            <w:webHidden/>
          </w:rPr>
          <w:fldChar w:fldCharType="end"/>
        </w:r>
      </w:hyperlink>
    </w:p>
    <w:p w14:paraId="775A2EE5" w14:textId="02B70AC0"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59" w:history="1">
        <w:r w:rsidRPr="00D1121C">
          <w:rPr>
            <w:rStyle w:val="Hyperlink"/>
            <w:noProof/>
          </w:rPr>
          <w:t>2.2 Redazione delle linee generali del business case</w:t>
        </w:r>
        <w:r>
          <w:rPr>
            <w:noProof/>
            <w:webHidden/>
          </w:rPr>
          <w:tab/>
        </w:r>
        <w:r>
          <w:rPr>
            <w:noProof/>
            <w:webHidden/>
          </w:rPr>
          <w:fldChar w:fldCharType="begin"/>
        </w:r>
        <w:r>
          <w:rPr>
            <w:noProof/>
            <w:webHidden/>
          </w:rPr>
          <w:instrText xml:space="preserve"> PAGEREF _Toc180569759 \h </w:instrText>
        </w:r>
        <w:r>
          <w:rPr>
            <w:noProof/>
            <w:webHidden/>
          </w:rPr>
        </w:r>
        <w:r>
          <w:rPr>
            <w:noProof/>
            <w:webHidden/>
          </w:rPr>
          <w:fldChar w:fldCharType="separate"/>
        </w:r>
        <w:r>
          <w:rPr>
            <w:noProof/>
            <w:webHidden/>
          </w:rPr>
          <w:t>8</w:t>
        </w:r>
        <w:r>
          <w:rPr>
            <w:noProof/>
            <w:webHidden/>
          </w:rPr>
          <w:fldChar w:fldCharType="end"/>
        </w:r>
      </w:hyperlink>
    </w:p>
    <w:p w14:paraId="59C610E9" w14:textId="5D37DA98"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0" w:history="1">
        <w:r w:rsidRPr="00D1121C">
          <w:rPr>
            <w:rStyle w:val="Hyperlink"/>
            <w:noProof/>
          </w:rPr>
          <w:t>2.3 Determinazione della produzione orientativa di energia, dei costi del progetto e del numero di pannelli solari</w:t>
        </w:r>
        <w:r>
          <w:rPr>
            <w:noProof/>
            <w:webHidden/>
          </w:rPr>
          <w:tab/>
        </w:r>
        <w:r>
          <w:rPr>
            <w:noProof/>
            <w:webHidden/>
          </w:rPr>
          <w:fldChar w:fldCharType="begin"/>
        </w:r>
        <w:r>
          <w:rPr>
            <w:noProof/>
            <w:webHidden/>
          </w:rPr>
          <w:instrText xml:space="preserve"> PAGEREF _Toc180569760 \h </w:instrText>
        </w:r>
        <w:r>
          <w:rPr>
            <w:noProof/>
            <w:webHidden/>
          </w:rPr>
        </w:r>
        <w:r>
          <w:rPr>
            <w:noProof/>
            <w:webHidden/>
          </w:rPr>
          <w:fldChar w:fldCharType="separate"/>
        </w:r>
        <w:r>
          <w:rPr>
            <w:noProof/>
            <w:webHidden/>
          </w:rPr>
          <w:t>9</w:t>
        </w:r>
        <w:r>
          <w:rPr>
            <w:noProof/>
            <w:webHidden/>
          </w:rPr>
          <w:fldChar w:fldCharType="end"/>
        </w:r>
      </w:hyperlink>
    </w:p>
    <w:p w14:paraId="1E838F17" w14:textId="55C3A053"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1" w:history="1">
        <w:r w:rsidRPr="00D1121C">
          <w:rPr>
            <w:rStyle w:val="Hyperlink"/>
            <w:noProof/>
          </w:rPr>
          <w:t>2.4 Facoltativo</w:t>
        </w:r>
        <w:r>
          <w:rPr>
            <w:noProof/>
            <w:webHidden/>
          </w:rPr>
          <w:tab/>
        </w:r>
        <w:r>
          <w:rPr>
            <w:noProof/>
            <w:webHidden/>
          </w:rPr>
          <w:fldChar w:fldCharType="begin"/>
        </w:r>
        <w:r>
          <w:rPr>
            <w:noProof/>
            <w:webHidden/>
          </w:rPr>
          <w:instrText xml:space="preserve"> PAGEREF _Toc180569761 \h </w:instrText>
        </w:r>
        <w:r>
          <w:rPr>
            <w:noProof/>
            <w:webHidden/>
          </w:rPr>
        </w:r>
        <w:r>
          <w:rPr>
            <w:noProof/>
            <w:webHidden/>
          </w:rPr>
          <w:fldChar w:fldCharType="separate"/>
        </w:r>
        <w:r>
          <w:rPr>
            <w:noProof/>
            <w:webHidden/>
          </w:rPr>
          <w:t>9</w:t>
        </w:r>
        <w:r>
          <w:rPr>
            <w:noProof/>
            <w:webHidden/>
          </w:rPr>
          <w:fldChar w:fldCharType="end"/>
        </w:r>
      </w:hyperlink>
    </w:p>
    <w:p w14:paraId="38153408" w14:textId="5938B833"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62" w:history="1">
        <w:r w:rsidRPr="00D1121C">
          <w:rPr>
            <w:rStyle w:val="Hyperlink"/>
            <w:noProof/>
          </w:rPr>
          <w:t>Fase 3 Titolarità e pubblicazione di un bando  di gara/appalto</w:t>
        </w:r>
        <w:r>
          <w:rPr>
            <w:noProof/>
            <w:webHidden/>
          </w:rPr>
          <w:tab/>
        </w:r>
        <w:r>
          <w:rPr>
            <w:noProof/>
            <w:webHidden/>
          </w:rPr>
          <w:fldChar w:fldCharType="begin"/>
        </w:r>
        <w:r>
          <w:rPr>
            <w:noProof/>
            <w:webHidden/>
          </w:rPr>
          <w:instrText xml:space="preserve"> PAGEREF _Toc180569762 \h </w:instrText>
        </w:r>
        <w:r>
          <w:rPr>
            <w:noProof/>
            <w:webHidden/>
          </w:rPr>
        </w:r>
        <w:r>
          <w:rPr>
            <w:noProof/>
            <w:webHidden/>
          </w:rPr>
          <w:fldChar w:fldCharType="separate"/>
        </w:r>
        <w:r>
          <w:rPr>
            <w:noProof/>
            <w:webHidden/>
          </w:rPr>
          <w:t>9</w:t>
        </w:r>
        <w:r>
          <w:rPr>
            <w:noProof/>
            <w:webHidden/>
          </w:rPr>
          <w:fldChar w:fldCharType="end"/>
        </w:r>
      </w:hyperlink>
    </w:p>
    <w:p w14:paraId="2079E61C" w14:textId="35E574AD"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3" w:history="1">
        <w:r w:rsidRPr="00D1121C">
          <w:rPr>
            <w:rStyle w:val="Hyperlink"/>
            <w:noProof/>
          </w:rPr>
          <w:t>3.1 Proprietario o affittuario?</w:t>
        </w:r>
        <w:r>
          <w:rPr>
            <w:noProof/>
            <w:webHidden/>
          </w:rPr>
          <w:tab/>
        </w:r>
        <w:r>
          <w:rPr>
            <w:noProof/>
            <w:webHidden/>
          </w:rPr>
          <w:fldChar w:fldCharType="begin"/>
        </w:r>
        <w:r>
          <w:rPr>
            <w:noProof/>
            <w:webHidden/>
          </w:rPr>
          <w:instrText xml:space="preserve"> PAGEREF _Toc180569763 \h </w:instrText>
        </w:r>
        <w:r>
          <w:rPr>
            <w:noProof/>
            <w:webHidden/>
          </w:rPr>
        </w:r>
        <w:r>
          <w:rPr>
            <w:noProof/>
            <w:webHidden/>
          </w:rPr>
          <w:fldChar w:fldCharType="separate"/>
        </w:r>
        <w:r>
          <w:rPr>
            <w:noProof/>
            <w:webHidden/>
          </w:rPr>
          <w:t>9</w:t>
        </w:r>
        <w:r>
          <w:rPr>
            <w:noProof/>
            <w:webHidden/>
          </w:rPr>
          <w:fldChar w:fldCharType="end"/>
        </w:r>
      </w:hyperlink>
    </w:p>
    <w:p w14:paraId="7F7D736B" w14:textId="7E6A283A"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4" w:history="1">
        <w:r w:rsidRPr="00D1121C">
          <w:rPr>
            <w:rStyle w:val="Hyperlink"/>
            <w:noProof/>
          </w:rPr>
          <w:t>3.2 Per le organizzazioni pubbliche: appalto pubblico o aggiudicazione diretta?</w:t>
        </w:r>
        <w:r>
          <w:rPr>
            <w:noProof/>
            <w:webHidden/>
          </w:rPr>
          <w:tab/>
        </w:r>
        <w:r>
          <w:rPr>
            <w:noProof/>
            <w:webHidden/>
          </w:rPr>
          <w:fldChar w:fldCharType="begin"/>
        </w:r>
        <w:r>
          <w:rPr>
            <w:noProof/>
            <w:webHidden/>
          </w:rPr>
          <w:instrText xml:space="preserve"> PAGEREF _Toc180569764 \h </w:instrText>
        </w:r>
        <w:r>
          <w:rPr>
            <w:noProof/>
            <w:webHidden/>
          </w:rPr>
        </w:r>
        <w:r>
          <w:rPr>
            <w:noProof/>
            <w:webHidden/>
          </w:rPr>
          <w:fldChar w:fldCharType="separate"/>
        </w:r>
        <w:r>
          <w:rPr>
            <w:noProof/>
            <w:webHidden/>
          </w:rPr>
          <w:t>9</w:t>
        </w:r>
        <w:r>
          <w:rPr>
            <w:noProof/>
            <w:webHidden/>
          </w:rPr>
          <w:fldChar w:fldCharType="end"/>
        </w:r>
      </w:hyperlink>
    </w:p>
    <w:p w14:paraId="0AC1D95E" w14:textId="2073E2F5"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65" w:history="1">
        <w:r w:rsidRPr="00D1121C">
          <w:rPr>
            <w:rStyle w:val="Hyperlink"/>
            <w:noProof/>
          </w:rPr>
          <w:t>Fase 4 Autorizzazioni e collegamento alla rete</w:t>
        </w:r>
        <w:r>
          <w:rPr>
            <w:noProof/>
            <w:webHidden/>
          </w:rPr>
          <w:tab/>
        </w:r>
        <w:r>
          <w:rPr>
            <w:noProof/>
            <w:webHidden/>
          </w:rPr>
          <w:fldChar w:fldCharType="begin"/>
        </w:r>
        <w:r>
          <w:rPr>
            <w:noProof/>
            <w:webHidden/>
          </w:rPr>
          <w:instrText xml:space="preserve"> PAGEREF _Toc180569765 \h </w:instrText>
        </w:r>
        <w:r>
          <w:rPr>
            <w:noProof/>
            <w:webHidden/>
          </w:rPr>
        </w:r>
        <w:r>
          <w:rPr>
            <w:noProof/>
            <w:webHidden/>
          </w:rPr>
          <w:fldChar w:fldCharType="separate"/>
        </w:r>
        <w:r>
          <w:rPr>
            <w:noProof/>
            <w:webHidden/>
          </w:rPr>
          <w:t>12</w:t>
        </w:r>
        <w:r>
          <w:rPr>
            <w:noProof/>
            <w:webHidden/>
          </w:rPr>
          <w:fldChar w:fldCharType="end"/>
        </w:r>
      </w:hyperlink>
    </w:p>
    <w:p w14:paraId="49BCAA9D" w14:textId="7CE0E399"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6" w:history="1">
        <w:r w:rsidRPr="00D1121C">
          <w:rPr>
            <w:rStyle w:val="Hyperlink"/>
            <w:noProof/>
          </w:rPr>
          <w:t>4.1 Autorizzazioni</w:t>
        </w:r>
        <w:r>
          <w:rPr>
            <w:noProof/>
            <w:webHidden/>
          </w:rPr>
          <w:tab/>
        </w:r>
        <w:r>
          <w:rPr>
            <w:noProof/>
            <w:webHidden/>
          </w:rPr>
          <w:fldChar w:fldCharType="begin"/>
        </w:r>
        <w:r>
          <w:rPr>
            <w:noProof/>
            <w:webHidden/>
          </w:rPr>
          <w:instrText xml:space="preserve"> PAGEREF _Toc180569766 \h </w:instrText>
        </w:r>
        <w:r>
          <w:rPr>
            <w:noProof/>
            <w:webHidden/>
          </w:rPr>
        </w:r>
        <w:r>
          <w:rPr>
            <w:noProof/>
            <w:webHidden/>
          </w:rPr>
          <w:fldChar w:fldCharType="separate"/>
        </w:r>
        <w:r>
          <w:rPr>
            <w:noProof/>
            <w:webHidden/>
          </w:rPr>
          <w:t>12</w:t>
        </w:r>
        <w:r>
          <w:rPr>
            <w:noProof/>
            <w:webHidden/>
          </w:rPr>
          <w:fldChar w:fldCharType="end"/>
        </w:r>
      </w:hyperlink>
    </w:p>
    <w:p w14:paraId="65EA1D1A" w14:textId="3AA10699"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7" w:history="1">
        <w:r w:rsidRPr="00D1121C">
          <w:rPr>
            <w:rStyle w:val="Hyperlink"/>
            <w:noProof/>
          </w:rPr>
          <w:t>4.2 Collegamento alla rete: opzioni e considerazioni</w:t>
        </w:r>
        <w:r>
          <w:rPr>
            <w:noProof/>
            <w:webHidden/>
          </w:rPr>
          <w:tab/>
        </w:r>
        <w:r>
          <w:rPr>
            <w:noProof/>
            <w:webHidden/>
          </w:rPr>
          <w:fldChar w:fldCharType="begin"/>
        </w:r>
        <w:r>
          <w:rPr>
            <w:noProof/>
            <w:webHidden/>
          </w:rPr>
          <w:instrText xml:space="preserve"> PAGEREF _Toc180569767 \h </w:instrText>
        </w:r>
        <w:r>
          <w:rPr>
            <w:noProof/>
            <w:webHidden/>
          </w:rPr>
        </w:r>
        <w:r>
          <w:rPr>
            <w:noProof/>
            <w:webHidden/>
          </w:rPr>
          <w:fldChar w:fldCharType="separate"/>
        </w:r>
        <w:r>
          <w:rPr>
            <w:noProof/>
            <w:webHidden/>
          </w:rPr>
          <w:t>12</w:t>
        </w:r>
        <w:r>
          <w:rPr>
            <w:noProof/>
            <w:webHidden/>
          </w:rPr>
          <w:fldChar w:fldCharType="end"/>
        </w:r>
      </w:hyperlink>
    </w:p>
    <w:p w14:paraId="616B6701" w14:textId="26FE4A63"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68" w:history="1">
        <w:r w:rsidRPr="00D1121C">
          <w:rPr>
            <w:rStyle w:val="Hyperlink"/>
            <w:noProof/>
          </w:rPr>
          <w:t>Fase 5 Fatturato, sovvenzioni, finanziamenti e assicurazioni</w:t>
        </w:r>
        <w:r>
          <w:rPr>
            <w:noProof/>
            <w:webHidden/>
          </w:rPr>
          <w:tab/>
        </w:r>
        <w:r>
          <w:rPr>
            <w:noProof/>
            <w:webHidden/>
          </w:rPr>
          <w:fldChar w:fldCharType="begin"/>
        </w:r>
        <w:r>
          <w:rPr>
            <w:noProof/>
            <w:webHidden/>
          </w:rPr>
          <w:instrText xml:space="preserve"> PAGEREF _Toc180569768 \h </w:instrText>
        </w:r>
        <w:r>
          <w:rPr>
            <w:noProof/>
            <w:webHidden/>
          </w:rPr>
        </w:r>
        <w:r>
          <w:rPr>
            <w:noProof/>
            <w:webHidden/>
          </w:rPr>
          <w:fldChar w:fldCharType="separate"/>
        </w:r>
        <w:r>
          <w:rPr>
            <w:noProof/>
            <w:webHidden/>
          </w:rPr>
          <w:t>14</w:t>
        </w:r>
        <w:r>
          <w:rPr>
            <w:noProof/>
            <w:webHidden/>
          </w:rPr>
          <w:fldChar w:fldCharType="end"/>
        </w:r>
      </w:hyperlink>
    </w:p>
    <w:p w14:paraId="705B752A" w14:textId="1E42573F"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69" w:history="1">
        <w:r w:rsidRPr="00D1121C">
          <w:rPr>
            <w:rStyle w:val="Hyperlink"/>
            <w:noProof/>
          </w:rPr>
          <w:t>5.1 Fatturato dalla fornitura inversa di energia</w:t>
        </w:r>
        <w:r>
          <w:rPr>
            <w:noProof/>
            <w:webHidden/>
          </w:rPr>
          <w:tab/>
        </w:r>
        <w:r>
          <w:rPr>
            <w:noProof/>
            <w:webHidden/>
          </w:rPr>
          <w:fldChar w:fldCharType="begin"/>
        </w:r>
        <w:r>
          <w:rPr>
            <w:noProof/>
            <w:webHidden/>
          </w:rPr>
          <w:instrText xml:space="preserve"> PAGEREF _Toc180569769 \h </w:instrText>
        </w:r>
        <w:r>
          <w:rPr>
            <w:noProof/>
            <w:webHidden/>
          </w:rPr>
        </w:r>
        <w:r>
          <w:rPr>
            <w:noProof/>
            <w:webHidden/>
          </w:rPr>
          <w:fldChar w:fldCharType="separate"/>
        </w:r>
        <w:r>
          <w:rPr>
            <w:noProof/>
            <w:webHidden/>
          </w:rPr>
          <w:t>14</w:t>
        </w:r>
        <w:r>
          <w:rPr>
            <w:noProof/>
            <w:webHidden/>
          </w:rPr>
          <w:fldChar w:fldCharType="end"/>
        </w:r>
      </w:hyperlink>
    </w:p>
    <w:p w14:paraId="7FAACA5C" w14:textId="62E8AC45"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0" w:history="1">
        <w:r w:rsidRPr="00D1121C">
          <w:rPr>
            <w:rStyle w:val="Hyperlink"/>
            <w:noProof/>
          </w:rPr>
          <w:t>5.1 Sovvenzioni</w:t>
        </w:r>
        <w:r>
          <w:rPr>
            <w:noProof/>
            <w:webHidden/>
          </w:rPr>
          <w:tab/>
        </w:r>
        <w:r>
          <w:rPr>
            <w:noProof/>
            <w:webHidden/>
          </w:rPr>
          <w:fldChar w:fldCharType="begin"/>
        </w:r>
        <w:r>
          <w:rPr>
            <w:noProof/>
            <w:webHidden/>
          </w:rPr>
          <w:instrText xml:space="preserve"> PAGEREF _Toc180569770 \h </w:instrText>
        </w:r>
        <w:r>
          <w:rPr>
            <w:noProof/>
            <w:webHidden/>
          </w:rPr>
        </w:r>
        <w:r>
          <w:rPr>
            <w:noProof/>
            <w:webHidden/>
          </w:rPr>
          <w:fldChar w:fldCharType="separate"/>
        </w:r>
        <w:r>
          <w:rPr>
            <w:noProof/>
            <w:webHidden/>
          </w:rPr>
          <w:t>15</w:t>
        </w:r>
        <w:r>
          <w:rPr>
            <w:noProof/>
            <w:webHidden/>
          </w:rPr>
          <w:fldChar w:fldCharType="end"/>
        </w:r>
      </w:hyperlink>
    </w:p>
    <w:p w14:paraId="5622203C" w14:textId="2C971635"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1" w:history="1">
        <w:r w:rsidRPr="00D1121C">
          <w:rPr>
            <w:rStyle w:val="Hyperlink"/>
            <w:noProof/>
          </w:rPr>
          <w:t>5.2 Finanziamenti</w:t>
        </w:r>
        <w:r>
          <w:rPr>
            <w:noProof/>
            <w:webHidden/>
          </w:rPr>
          <w:tab/>
        </w:r>
        <w:r>
          <w:rPr>
            <w:noProof/>
            <w:webHidden/>
          </w:rPr>
          <w:fldChar w:fldCharType="begin"/>
        </w:r>
        <w:r>
          <w:rPr>
            <w:noProof/>
            <w:webHidden/>
          </w:rPr>
          <w:instrText xml:space="preserve"> PAGEREF _Toc180569771 \h </w:instrText>
        </w:r>
        <w:r>
          <w:rPr>
            <w:noProof/>
            <w:webHidden/>
          </w:rPr>
        </w:r>
        <w:r>
          <w:rPr>
            <w:noProof/>
            <w:webHidden/>
          </w:rPr>
          <w:fldChar w:fldCharType="separate"/>
        </w:r>
        <w:r>
          <w:rPr>
            <w:noProof/>
            <w:webHidden/>
          </w:rPr>
          <w:t>16</w:t>
        </w:r>
        <w:r>
          <w:rPr>
            <w:noProof/>
            <w:webHidden/>
          </w:rPr>
          <w:fldChar w:fldCharType="end"/>
        </w:r>
      </w:hyperlink>
    </w:p>
    <w:p w14:paraId="763B7E87" w14:textId="7BEF99CE"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2" w:history="1">
        <w:r w:rsidRPr="00D1121C">
          <w:rPr>
            <w:rStyle w:val="Hyperlink"/>
            <w:noProof/>
          </w:rPr>
          <w:t>5.3 Assicurazione</w:t>
        </w:r>
        <w:r>
          <w:rPr>
            <w:noProof/>
            <w:webHidden/>
          </w:rPr>
          <w:tab/>
        </w:r>
        <w:r>
          <w:rPr>
            <w:noProof/>
            <w:webHidden/>
          </w:rPr>
          <w:fldChar w:fldCharType="begin"/>
        </w:r>
        <w:r>
          <w:rPr>
            <w:noProof/>
            <w:webHidden/>
          </w:rPr>
          <w:instrText xml:space="preserve"> PAGEREF _Toc180569772 \h </w:instrText>
        </w:r>
        <w:r>
          <w:rPr>
            <w:noProof/>
            <w:webHidden/>
          </w:rPr>
        </w:r>
        <w:r>
          <w:rPr>
            <w:noProof/>
            <w:webHidden/>
          </w:rPr>
          <w:fldChar w:fldCharType="separate"/>
        </w:r>
        <w:r>
          <w:rPr>
            <w:noProof/>
            <w:webHidden/>
          </w:rPr>
          <w:t>17</w:t>
        </w:r>
        <w:r>
          <w:rPr>
            <w:noProof/>
            <w:webHidden/>
          </w:rPr>
          <w:fldChar w:fldCharType="end"/>
        </w:r>
      </w:hyperlink>
    </w:p>
    <w:p w14:paraId="6371EDFD" w14:textId="587426A3"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73" w:history="1">
        <w:r w:rsidRPr="00D1121C">
          <w:rPr>
            <w:rStyle w:val="Hyperlink"/>
            <w:noProof/>
          </w:rPr>
          <w:t>Fase 6 Aspetti relativi alla sostenibilità</w:t>
        </w:r>
        <w:r>
          <w:rPr>
            <w:noProof/>
            <w:webHidden/>
          </w:rPr>
          <w:tab/>
        </w:r>
        <w:r>
          <w:rPr>
            <w:noProof/>
            <w:webHidden/>
          </w:rPr>
          <w:fldChar w:fldCharType="begin"/>
        </w:r>
        <w:r>
          <w:rPr>
            <w:noProof/>
            <w:webHidden/>
          </w:rPr>
          <w:instrText xml:space="preserve"> PAGEREF _Toc180569773 \h </w:instrText>
        </w:r>
        <w:r>
          <w:rPr>
            <w:noProof/>
            <w:webHidden/>
          </w:rPr>
        </w:r>
        <w:r>
          <w:rPr>
            <w:noProof/>
            <w:webHidden/>
          </w:rPr>
          <w:fldChar w:fldCharType="separate"/>
        </w:r>
        <w:r>
          <w:rPr>
            <w:noProof/>
            <w:webHidden/>
          </w:rPr>
          <w:t>19</w:t>
        </w:r>
        <w:r>
          <w:rPr>
            <w:noProof/>
            <w:webHidden/>
          </w:rPr>
          <w:fldChar w:fldCharType="end"/>
        </w:r>
      </w:hyperlink>
    </w:p>
    <w:p w14:paraId="24C3E0F2" w14:textId="0CF370CE"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4" w:history="1">
        <w:r w:rsidRPr="00D1121C">
          <w:rPr>
            <w:rStyle w:val="Hyperlink"/>
            <w:noProof/>
          </w:rPr>
          <w:t>6.1 Aspetti relativi alla sostenibilità dei pannelli solari</w:t>
        </w:r>
        <w:r>
          <w:rPr>
            <w:noProof/>
            <w:webHidden/>
          </w:rPr>
          <w:tab/>
        </w:r>
        <w:r>
          <w:rPr>
            <w:noProof/>
            <w:webHidden/>
          </w:rPr>
          <w:fldChar w:fldCharType="begin"/>
        </w:r>
        <w:r>
          <w:rPr>
            <w:noProof/>
            <w:webHidden/>
          </w:rPr>
          <w:instrText xml:space="preserve"> PAGEREF _Toc180569774 \h </w:instrText>
        </w:r>
        <w:r>
          <w:rPr>
            <w:noProof/>
            <w:webHidden/>
          </w:rPr>
        </w:r>
        <w:r>
          <w:rPr>
            <w:noProof/>
            <w:webHidden/>
          </w:rPr>
          <w:fldChar w:fldCharType="separate"/>
        </w:r>
        <w:r>
          <w:rPr>
            <w:noProof/>
            <w:webHidden/>
          </w:rPr>
          <w:t>19</w:t>
        </w:r>
        <w:r>
          <w:rPr>
            <w:noProof/>
            <w:webHidden/>
          </w:rPr>
          <w:fldChar w:fldCharType="end"/>
        </w:r>
      </w:hyperlink>
    </w:p>
    <w:p w14:paraId="09997C2F" w14:textId="67743CD6"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5" w:history="1">
        <w:r w:rsidRPr="00D1121C">
          <w:rPr>
            <w:rStyle w:val="Hyperlink"/>
            <w:noProof/>
          </w:rPr>
          <w:t>6.2 Aspetti ambientali coinvolti in Sun-on-Land e Sun-on-Water</w:t>
        </w:r>
        <w:r>
          <w:rPr>
            <w:noProof/>
            <w:webHidden/>
          </w:rPr>
          <w:tab/>
        </w:r>
        <w:r>
          <w:rPr>
            <w:noProof/>
            <w:webHidden/>
          </w:rPr>
          <w:fldChar w:fldCharType="begin"/>
        </w:r>
        <w:r>
          <w:rPr>
            <w:noProof/>
            <w:webHidden/>
          </w:rPr>
          <w:instrText xml:space="preserve"> PAGEREF _Toc180569775 \h </w:instrText>
        </w:r>
        <w:r>
          <w:rPr>
            <w:noProof/>
            <w:webHidden/>
          </w:rPr>
        </w:r>
        <w:r>
          <w:rPr>
            <w:noProof/>
            <w:webHidden/>
          </w:rPr>
          <w:fldChar w:fldCharType="separate"/>
        </w:r>
        <w:r>
          <w:rPr>
            <w:noProof/>
            <w:webHidden/>
          </w:rPr>
          <w:t>21</w:t>
        </w:r>
        <w:r>
          <w:rPr>
            <w:noProof/>
            <w:webHidden/>
          </w:rPr>
          <w:fldChar w:fldCharType="end"/>
        </w:r>
      </w:hyperlink>
    </w:p>
    <w:p w14:paraId="603DC980" w14:textId="7486998E"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76" w:history="1">
        <w:r w:rsidRPr="00D1121C">
          <w:rPr>
            <w:rStyle w:val="Hyperlink"/>
            <w:noProof/>
          </w:rPr>
          <w:t>Fase 7 Esecuzione e consegna</w:t>
        </w:r>
        <w:r>
          <w:rPr>
            <w:noProof/>
            <w:webHidden/>
          </w:rPr>
          <w:tab/>
        </w:r>
        <w:r>
          <w:rPr>
            <w:noProof/>
            <w:webHidden/>
          </w:rPr>
          <w:fldChar w:fldCharType="begin"/>
        </w:r>
        <w:r>
          <w:rPr>
            <w:noProof/>
            <w:webHidden/>
          </w:rPr>
          <w:instrText xml:space="preserve"> PAGEREF _Toc180569776 \h </w:instrText>
        </w:r>
        <w:r>
          <w:rPr>
            <w:noProof/>
            <w:webHidden/>
          </w:rPr>
        </w:r>
        <w:r>
          <w:rPr>
            <w:noProof/>
            <w:webHidden/>
          </w:rPr>
          <w:fldChar w:fldCharType="separate"/>
        </w:r>
        <w:r>
          <w:rPr>
            <w:noProof/>
            <w:webHidden/>
          </w:rPr>
          <w:t>22</w:t>
        </w:r>
        <w:r>
          <w:rPr>
            <w:noProof/>
            <w:webHidden/>
          </w:rPr>
          <w:fldChar w:fldCharType="end"/>
        </w:r>
      </w:hyperlink>
    </w:p>
    <w:p w14:paraId="3D6816B5" w14:textId="10A984AF"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7" w:history="1">
        <w:r w:rsidRPr="00D1121C">
          <w:rPr>
            <w:rStyle w:val="Hyperlink"/>
            <w:noProof/>
          </w:rPr>
          <w:t>7.1 Calendari</w:t>
        </w:r>
        <w:r>
          <w:rPr>
            <w:noProof/>
            <w:webHidden/>
          </w:rPr>
          <w:tab/>
        </w:r>
        <w:r>
          <w:rPr>
            <w:noProof/>
            <w:webHidden/>
          </w:rPr>
          <w:fldChar w:fldCharType="begin"/>
        </w:r>
        <w:r>
          <w:rPr>
            <w:noProof/>
            <w:webHidden/>
          </w:rPr>
          <w:instrText xml:space="preserve"> PAGEREF _Toc180569777 \h </w:instrText>
        </w:r>
        <w:r>
          <w:rPr>
            <w:noProof/>
            <w:webHidden/>
          </w:rPr>
        </w:r>
        <w:r>
          <w:rPr>
            <w:noProof/>
            <w:webHidden/>
          </w:rPr>
          <w:fldChar w:fldCharType="separate"/>
        </w:r>
        <w:r>
          <w:rPr>
            <w:noProof/>
            <w:webHidden/>
          </w:rPr>
          <w:t>22</w:t>
        </w:r>
        <w:r>
          <w:rPr>
            <w:noProof/>
            <w:webHidden/>
          </w:rPr>
          <w:fldChar w:fldCharType="end"/>
        </w:r>
      </w:hyperlink>
    </w:p>
    <w:p w14:paraId="5D3BE41C" w14:textId="79910300"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78" w:history="1">
        <w:r w:rsidRPr="00D1121C">
          <w:rPr>
            <w:rStyle w:val="Hyperlink"/>
            <w:noProof/>
          </w:rPr>
          <w:t>7.2 Ispezioni e controllo finale</w:t>
        </w:r>
        <w:r>
          <w:rPr>
            <w:noProof/>
            <w:webHidden/>
          </w:rPr>
          <w:tab/>
        </w:r>
        <w:r>
          <w:rPr>
            <w:noProof/>
            <w:webHidden/>
          </w:rPr>
          <w:fldChar w:fldCharType="begin"/>
        </w:r>
        <w:r>
          <w:rPr>
            <w:noProof/>
            <w:webHidden/>
          </w:rPr>
          <w:instrText xml:space="preserve"> PAGEREF _Toc180569778 \h </w:instrText>
        </w:r>
        <w:r>
          <w:rPr>
            <w:noProof/>
            <w:webHidden/>
          </w:rPr>
        </w:r>
        <w:r>
          <w:rPr>
            <w:noProof/>
            <w:webHidden/>
          </w:rPr>
          <w:fldChar w:fldCharType="separate"/>
        </w:r>
        <w:r>
          <w:rPr>
            <w:noProof/>
            <w:webHidden/>
          </w:rPr>
          <w:t>22</w:t>
        </w:r>
        <w:r>
          <w:rPr>
            <w:noProof/>
            <w:webHidden/>
          </w:rPr>
          <w:fldChar w:fldCharType="end"/>
        </w:r>
      </w:hyperlink>
    </w:p>
    <w:p w14:paraId="5DAAF584" w14:textId="1A676882" w:rsidR="0009535D" w:rsidRDefault="0009535D">
      <w:pPr>
        <w:pStyle w:val="TOC2"/>
        <w:tabs>
          <w:tab w:val="right" w:leader="dot" w:pos="9062"/>
        </w:tabs>
        <w:rPr>
          <w:rFonts w:eastAsiaTheme="minorEastAsia" w:cstheme="minorBidi"/>
          <w:noProof/>
          <w:kern w:val="2"/>
          <w:lang w:val="en-IE" w:eastAsia="en-IE"/>
          <w14:ligatures w14:val="standardContextual"/>
        </w:rPr>
      </w:pPr>
      <w:hyperlink w:anchor="_Toc180569779" w:history="1">
        <w:r w:rsidRPr="00D1121C">
          <w:rPr>
            <w:rStyle w:val="Hyperlink"/>
            <w:noProof/>
          </w:rPr>
          <w:t>Fase 8 Manutenzione, controllo e fine vita</w:t>
        </w:r>
        <w:r>
          <w:rPr>
            <w:noProof/>
            <w:webHidden/>
          </w:rPr>
          <w:tab/>
        </w:r>
        <w:r>
          <w:rPr>
            <w:noProof/>
            <w:webHidden/>
          </w:rPr>
          <w:fldChar w:fldCharType="begin"/>
        </w:r>
        <w:r>
          <w:rPr>
            <w:noProof/>
            <w:webHidden/>
          </w:rPr>
          <w:instrText xml:space="preserve"> PAGEREF _Toc180569779 \h </w:instrText>
        </w:r>
        <w:r>
          <w:rPr>
            <w:noProof/>
            <w:webHidden/>
          </w:rPr>
        </w:r>
        <w:r>
          <w:rPr>
            <w:noProof/>
            <w:webHidden/>
          </w:rPr>
          <w:fldChar w:fldCharType="separate"/>
        </w:r>
        <w:r>
          <w:rPr>
            <w:noProof/>
            <w:webHidden/>
          </w:rPr>
          <w:t>23</w:t>
        </w:r>
        <w:r>
          <w:rPr>
            <w:noProof/>
            <w:webHidden/>
          </w:rPr>
          <w:fldChar w:fldCharType="end"/>
        </w:r>
      </w:hyperlink>
    </w:p>
    <w:p w14:paraId="02999FA6" w14:textId="67FE450D"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0" w:history="1">
        <w:r w:rsidRPr="00D1121C">
          <w:rPr>
            <w:rStyle w:val="Hyperlink"/>
            <w:noProof/>
          </w:rPr>
          <w:t>Abbreviazioni e acronimi</w:t>
        </w:r>
        <w:r>
          <w:rPr>
            <w:noProof/>
            <w:webHidden/>
          </w:rPr>
          <w:tab/>
        </w:r>
        <w:r>
          <w:rPr>
            <w:noProof/>
            <w:webHidden/>
          </w:rPr>
          <w:fldChar w:fldCharType="begin"/>
        </w:r>
        <w:r>
          <w:rPr>
            <w:noProof/>
            <w:webHidden/>
          </w:rPr>
          <w:instrText xml:space="preserve"> PAGEREF _Toc180569780 \h </w:instrText>
        </w:r>
        <w:r>
          <w:rPr>
            <w:noProof/>
            <w:webHidden/>
          </w:rPr>
        </w:r>
        <w:r>
          <w:rPr>
            <w:noProof/>
            <w:webHidden/>
          </w:rPr>
          <w:fldChar w:fldCharType="separate"/>
        </w:r>
        <w:r>
          <w:rPr>
            <w:noProof/>
            <w:webHidden/>
          </w:rPr>
          <w:t>25</w:t>
        </w:r>
        <w:r>
          <w:rPr>
            <w:noProof/>
            <w:webHidden/>
          </w:rPr>
          <w:fldChar w:fldCharType="end"/>
        </w:r>
      </w:hyperlink>
    </w:p>
    <w:p w14:paraId="5A8E5CD9" w14:textId="00286368"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1" w:history="1">
        <w:r w:rsidRPr="00D1121C">
          <w:rPr>
            <w:rStyle w:val="Hyperlink"/>
            <w:noProof/>
          </w:rPr>
          <w:t>Allegato 1 - Consulenti tecnici</w:t>
        </w:r>
        <w:r>
          <w:rPr>
            <w:noProof/>
            <w:webHidden/>
          </w:rPr>
          <w:tab/>
        </w:r>
        <w:r>
          <w:rPr>
            <w:noProof/>
            <w:webHidden/>
          </w:rPr>
          <w:fldChar w:fldCharType="begin"/>
        </w:r>
        <w:r>
          <w:rPr>
            <w:noProof/>
            <w:webHidden/>
          </w:rPr>
          <w:instrText xml:space="preserve"> PAGEREF _Toc180569781 \h </w:instrText>
        </w:r>
        <w:r>
          <w:rPr>
            <w:noProof/>
            <w:webHidden/>
          </w:rPr>
        </w:r>
        <w:r>
          <w:rPr>
            <w:noProof/>
            <w:webHidden/>
          </w:rPr>
          <w:fldChar w:fldCharType="separate"/>
        </w:r>
        <w:r>
          <w:rPr>
            <w:noProof/>
            <w:webHidden/>
          </w:rPr>
          <w:t>27</w:t>
        </w:r>
        <w:r>
          <w:rPr>
            <w:noProof/>
            <w:webHidden/>
          </w:rPr>
          <w:fldChar w:fldCharType="end"/>
        </w:r>
      </w:hyperlink>
    </w:p>
    <w:p w14:paraId="228CDDDB" w14:textId="73C6A3BE"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2" w:history="1">
        <w:r w:rsidRPr="00D1121C">
          <w:rPr>
            <w:rStyle w:val="Hyperlink"/>
            <w:noProof/>
          </w:rPr>
          <w:t>Allegato 2 - Consulenti di fisica edile, ingegneri strutturali specializzati nell'ambito del carico sul tetto</w:t>
        </w:r>
        <w:r>
          <w:rPr>
            <w:noProof/>
            <w:webHidden/>
          </w:rPr>
          <w:tab/>
        </w:r>
        <w:r>
          <w:rPr>
            <w:noProof/>
            <w:webHidden/>
          </w:rPr>
          <w:fldChar w:fldCharType="begin"/>
        </w:r>
        <w:r>
          <w:rPr>
            <w:noProof/>
            <w:webHidden/>
          </w:rPr>
          <w:instrText xml:space="preserve"> PAGEREF _Toc180569782 \h </w:instrText>
        </w:r>
        <w:r>
          <w:rPr>
            <w:noProof/>
            <w:webHidden/>
          </w:rPr>
        </w:r>
        <w:r>
          <w:rPr>
            <w:noProof/>
            <w:webHidden/>
          </w:rPr>
          <w:fldChar w:fldCharType="separate"/>
        </w:r>
        <w:r>
          <w:rPr>
            <w:noProof/>
            <w:webHidden/>
          </w:rPr>
          <w:t>28</w:t>
        </w:r>
        <w:r>
          <w:rPr>
            <w:noProof/>
            <w:webHidden/>
          </w:rPr>
          <w:fldChar w:fldCharType="end"/>
        </w:r>
      </w:hyperlink>
    </w:p>
    <w:p w14:paraId="1127F00E" w14:textId="4BD3CDF5"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3" w:history="1">
        <w:r w:rsidRPr="00D1121C">
          <w:rPr>
            <w:rStyle w:val="Hyperlink"/>
            <w:noProof/>
          </w:rPr>
          <w:t>Allegato 3 - Società di installazione,  EPC e sviluppatori di progetti  per le società del settore FV</w:t>
        </w:r>
        <w:r>
          <w:rPr>
            <w:noProof/>
            <w:webHidden/>
          </w:rPr>
          <w:tab/>
        </w:r>
        <w:r>
          <w:rPr>
            <w:noProof/>
            <w:webHidden/>
          </w:rPr>
          <w:fldChar w:fldCharType="begin"/>
        </w:r>
        <w:r>
          <w:rPr>
            <w:noProof/>
            <w:webHidden/>
          </w:rPr>
          <w:instrText xml:space="preserve"> PAGEREF _Toc180569783 \h </w:instrText>
        </w:r>
        <w:r>
          <w:rPr>
            <w:noProof/>
            <w:webHidden/>
          </w:rPr>
        </w:r>
        <w:r>
          <w:rPr>
            <w:noProof/>
            <w:webHidden/>
          </w:rPr>
          <w:fldChar w:fldCharType="separate"/>
        </w:r>
        <w:r>
          <w:rPr>
            <w:noProof/>
            <w:webHidden/>
          </w:rPr>
          <w:t>29</w:t>
        </w:r>
        <w:r>
          <w:rPr>
            <w:noProof/>
            <w:webHidden/>
          </w:rPr>
          <w:fldChar w:fldCharType="end"/>
        </w:r>
      </w:hyperlink>
    </w:p>
    <w:p w14:paraId="4431063A" w14:textId="3247943D"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4" w:history="1">
        <w:r w:rsidRPr="00D1121C">
          <w:rPr>
            <w:rStyle w:val="Hyperlink"/>
            <w:noProof/>
          </w:rPr>
          <w:t>Allegato 4 - Consulenti e fornitori specializzati in sistemi di gestione dell'energia, batterie e gestione della domanda</w:t>
        </w:r>
        <w:r>
          <w:rPr>
            <w:noProof/>
            <w:webHidden/>
          </w:rPr>
          <w:tab/>
        </w:r>
        <w:r>
          <w:rPr>
            <w:noProof/>
            <w:webHidden/>
          </w:rPr>
          <w:fldChar w:fldCharType="begin"/>
        </w:r>
        <w:r>
          <w:rPr>
            <w:noProof/>
            <w:webHidden/>
          </w:rPr>
          <w:instrText xml:space="preserve"> PAGEREF _Toc180569784 \h </w:instrText>
        </w:r>
        <w:r>
          <w:rPr>
            <w:noProof/>
            <w:webHidden/>
          </w:rPr>
        </w:r>
        <w:r>
          <w:rPr>
            <w:noProof/>
            <w:webHidden/>
          </w:rPr>
          <w:fldChar w:fldCharType="separate"/>
        </w:r>
        <w:r>
          <w:rPr>
            <w:noProof/>
            <w:webHidden/>
          </w:rPr>
          <w:t>31</w:t>
        </w:r>
        <w:r>
          <w:rPr>
            <w:noProof/>
            <w:webHidden/>
          </w:rPr>
          <w:fldChar w:fldCharType="end"/>
        </w:r>
      </w:hyperlink>
    </w:p>
    <w:p w14:paraId="27C8C14E" w14:textId="6FD15E3C"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5" w:history="1">
        <w:r w:rsidRPr="00D1121C">
          <w:rPr>
            <w:rStyle w:val="Hyperlink"/>
            <w:noProof/>
          </w:rPr>
          <w:t>Allegato 5 - Capitale di prestito  e finanziatori di capitale proprio</w:t>
        </w:r>
        <w:r>
          <w:rPr>
            <w:noProof/>
            <w:webHidden/>
          </w:rPr>
          <w:tab/>
        </w:r>
        <w:r>
          <w:rPr>
            <w:noProof/>
            <w:webHidden/>
          </w:rPr>
          <w:fldChar w:fldCharType="begin"/>
        </w:r>
        <w:r>
          <w:rPr>
            <w:noProof/>
            <w:webHidden/>
          </w:rPr>
          <w:instrText xml:space="preserve"> PAGEREF _Toc180569785 \h </w:instrText>
        </w:r>
        <w:r>
          <w:rPr>
            <w:noProof/>
            <w:webHidden/>
          </w:rPr>
        </w:r>
        <w:r>
          <w:rPr>
            <w:noProof/>
            <w:webHidden/>
          </w:rPr>
          <w:fldChar w:fldCharType="separate"/>
        </w:r>
        <w:r>
          <w:rPr>
            <w:noProof/>
            <w:webHidden/>
          </w:rPr>
          <w:t>32</w:t>
        </w:r>
        <w:r>
          <w:rPr>
            <w:noProof/>
            <w:webHidden/>
          </w:rPr>
          <w:fldChar w:fldCharType="end"/>
        </w:r>
      </w:hyperlink>
    </w:p>
    <w:p w14:paraId="5BAC85D5" w14:textId="357B6644"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6" w:history="1">
        <w:r w:rsidRPr="00D1121C">
          <w:rPr>
            <w:rStyle w:val="Hyperlink"/>
            <w:noProof/>
          </w:rPr>
          <w:t>Allegato 6 - Ispezioni Scope 12</w:t>
        </w:r>
        <w:r>
          <w:rPr>
            <w:noProof/>
            <w:webHidden/>
          </w:rPr>
          <w:tab/>
        </w:r>
        <w:r>
          <w:rPr>
            <w:noProof/>
            <w:webHidden/>
          </w:rPr>
          <w:fldChar w:fldCharType="begin"/>
        </w:r>
        <w:r>
          <w:rPr>
            <w:noProof/>
            <w:webHidden/>
          </w:rPr>
          <w:instrText xml:space="preserve"> PAGEREF _Toc180569786 \h </w:instrText>
        </w:r>
        <w:r>
          <w:rPr>
            <w:noProof/>
            <w:webHidden/>
          </w:rPr>
        </w:r>
        <w:r>
          <w:rPr>
            <w:noProof/>
            <w:webHidden/>
          </w:rPr>
          <w:fldChar w:fldCharType="separate"/>
        </w:r>
        <w:r>
          <w:rPr>
            <w:noProof/>
            <w:webHidden/>
          </w:rPr>
          <w:t>33</w:t>
        </w:r>
        <w:r>
          <w:rPr>
            <w:noProof/>
            <w:webHidden/>
          </w:rPr>
          <w:fldChar w:fldCharType="end"/>
        </w:r>
      </w:hyperlink>
    </w:p>
    <w:p w14:paraId="04971493" w14:textId="0DE018AF"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7" w:history="1">
        <w:r w:rsidRPr="00D1121C">
          <w:rPr>
            <w:rStyle w:val="Hyperlink"/>
            <w:noProof/>
          </w:rPr>
          <w:t>Allegato 7 - Audit di fabbrica  e test a campione</w:t>
        </w:r>
        <w:r>
          <w:rPr>
            <w:noProof/>
            <w:webHidden/>
          </w:rPr>
          <w:tab/>
        </w:r>
        <w:r>
          <w:rPr>
            <w:noProof/>
            <w:webHidden/>
          </w:rPr>
          <w:fldChar w:fldCharType="begin"/>
        </w:r>
        <w:r>
          <w:rPr>
            <w:noProof/>
            <w:webHidden/>
          </w:rPr>
          <w:instrText xml:space="preserve"> PAGEREF _Toc180569787 \h </w:instrText>
        </w:r>
        <w:r>
          <w:rPr>
            <w:noProof/>
            <w:webHidden/>
          </w:rPr>
        </w:r>
        <w:r>
          <w:rPr>
            <w:noProof/>
            <w:webHidden/>
          </w:rPr>
          <w:fldChar w:fldCharType="separate"/>
        </w:r>
        <w:r>
          <w:rPr>
            <w:noProof/>
            <w:webHidden/>
          </w:rPr>
          <w:t>34</w:t>
        </w:r>
        <w:r>
          <w:rPr>
            <w:noProof/>
            <w:webHidden/>
          </w:rPr>
          <w:fldChar w:fldCharType="end"/>
        </w:r>
      </w:hyperlink>
    </w:p>
    <w:p w14:paraId="32FCF6DD" w14:textId="7E1A14BF"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8" w:history="1">
        <w:r w:rsidRPr="00D1121C">
          <w:rPr>
            <w:rStyle w:val="Hyperlink"/>
            <w:noProof/>
          </w:rPr>
          <w:t>Allegato 8 - Controllo, manutenzione  e riparazioni</w:t>
        </w:r>
        <w:r>
          <w:rPr>
            <w:noProof/>
            <w:webHidden/>
          </w:rPr>
          <w:tab/>
        </w:r>
        <w:r>
          <w:rPr>
            <w:noProof/>
            <w:webHidden/>
          </w:rPr>
          <w:fldChar w:fldCharType="begin"/>
        </w:r>
        <w:r>
          <w:rPr>
            <w:noProof/>
            <w:webHidden/>
          </w:rPr>
          <w:instrText xml:space="preserve"> PAGEREF _Toc180569788 \h </w:instrText>
        </w:r>
        <w:r>
          <w:rPr>
            <w:noProof/>
            <w:webHidden/>
          </w:rPr>
        </w:r>
        <w:r>
          <w:rPr>
            <w:noProof/>
            <w:webHidden/>
          </w:rPr>
          <w:fldChar w:fldCharType="separate"/>
        </w:r>
        <w:r>
          <w:rPr>
            <w:noProof/>
            <w:webHidden/>
          </w:rPr>
          <w:t>35</w:t>
        </w:r>
        <w:r>
          <w:rPr>
            <w:noProof/>
            <w:webHidden/>
          </w:rPr>
          <w:fldChar w:fldCharType="end"/>
        </w:r>
      </w:hyperlink>
    </w:p>
    <w:p w14:paraId="2D973D40" w14:textId="52F22E04" w:rsidR="0009535D" w:rsidRDefault="0009535D">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69789" w:history="1">
        <w:r w:rsidRPr="00D1121C">
          <w:rPr>
            <w:rStyle w:val="Hyperlink"/>
            <w:noProof/>
          </w:rPr>
          <w:t>Allegato 9 - Panoramica della copertura assicurativa CAR</w:t>
        </w:r>
        <w:r>
          <w:rPr>
            <w:noProof/>
            <w:webHidden/>
          </w:rPr>
          <w:tab/>
        </w:r>
        <w:r>
          <w:rPr>
            <w:noProof/>
            <w:webHidden/>
          </w:rPr>
          <w:fldChar w:fldCharType="begin"/>
        </w:r>
        <w:r>
          <w:rPr>
            <w:noProof/>
            <w:webHidden/>
          </w:rPr>
          <w:instrText xml:space="preserve"> PAGEREF _Toc180569789 \h </w:instrText>
        </w:r>
        <w:r>
          <w:rPr>
            <w:noProof/>
            <w:webHidden/>
          </w:rPr>
        </w:r>
        <w:r>
          <w:rPr>
            <w:noProof/>
            <w:webHidden/>
          </w:rPr>
          <w:fldChar w:fldCharType="separate"/>
        </w:r>
        <w:r>
          <w:rPr>
            <w:noProof/>
            <w:webHidden/>
          </w:rPr>
          <w:t>36</w:t>
        </w:r>
        <w:r>
          <w:rPr>
            <w:noProof/>
            <w:webHidden/>
          </w:rPr>
          <w:fldChar w:fldCharType="end"/>
        </w:r>
      </w:hyperlink>
    </w:p>
    <w:p w14:paraId="1E15863C" w14:textId="2F3F705B" w:rsidR="0009535D" w:rsidRDefault="0009535D">
      <w:pPr>
        <w:pStyle w:val="TOC3"/>
        <w:tabs>
          <w:tab w:val="right" w:leader="dot" w:pos="9062"/>
        </w:tabs>
        <w:rPr>
          <w:rFonts w:eastAsiaTheme="minorEastAsia" w:cstheme="minorBidi"/>
          <w:noProof/>
          <w:kern w:val="2"/>
          <w:lang w:val="en-IE" w:eastAsia="en-IE"/>
          <w14:ligatures w14:val="standardContextual"/>
        </w:rPr>
      </w:pPr>
      <w:hyperlink w:anchor="_Toc180569790" w:history="1">
        <w:r w:rsidRPr="00D1121C">
          <w:rPr>
            <w:rStyle w:val="Hyperlink"/>
            <w:noProof/>
          </w:rPr>
          <w:t>Sezione I: le opere</w:t>
        </w:r>
        <w:r>
          <w:rPr>
            <w:noProof/>
            <w:webHidden/>
          </w:rPr>
          <w:tab/>
        </w:r>
        <w:r>
          <w:rPr>
            <w:noProof/>
            <w:webHidden/>
          </w:rPr>
          <w:fldChar w:fldCharType="begin"/>
        </w:r>
        <w:r>
          <w:rPr>
            <w:noProof/>
            <w:webHidden/>
          </w:rPr>
          <w:instrText xml:space="preserve"> PAGEREF _Toc180569790 \h </w:instrText>
        </w:r>
        <w:r>
          <w:rPr>
            <w:noProof/>
            <w:webHidden/>
          </w:rPr>
        </w:r>
        <w:r>
          <w:rPr>
            <w:noProof/>
            <w:webHidden/>
          </w:rPr>
          <w:fldChar w:fldCharType="separate"/>
        </w:r>
        <w:r>
          <w:rPr>
            <w:noProof/>
            <w:webHidden/>
          </w:rPr>
          <w:t>36</w:t>
        </w:r>
        <w:r>
          <w:rPr>
            <w:noProof/>
            <w:webHidden/>
          </w:rPr>
          <w:fldChar w:fldCharType="end"/>
        </w:r>
      </w:hyperlink>
    </w:p>
    <w:p w14:paraId="1A6D9B65" w14:textId="3ACB784D" w:rsidR="004E584B" w:rsidRPr="004C0EBD" w:rsidRDefault="00F426F5" w:rsidP="00C02710">
      <w:r>
        <w:rPr>
          <w:rFonts w:ascii="Arial" w:hAnsi="Arial" w:cs="Arial"/>
        </w:rPr>
        <w:fldChar w:fldCharType="end"/>
      </w:r>
      <w:r w:rsidR="004E584B">
        <w:br w:type="page"/>
      </w:r>
    </w:p>
    <w:p w14:paraId="652A77CB" w14:textId="77777777" w:rsidR="00DE36D8" w:rsidRDefault="00DE36D8" w:rsidP="00F426F5">
      <w:pPr>
        <w:pStyle w:val="MH1"/>
      </w:pPr>
    </w:p>
    <w:p w14:paraId="1B2A294F" w14:textId="77777777" w:rsidR="0009535D" w:rsidRDefault="0009535D" w:rsidP="0009535D">
      <w:pPr>
        <w:pStyle w:val="MH1"/>
      </w:pPr>
      <w:bookmarkStart w:id="50" w:name="_Toc180569744"/>
      <w:r w:rsidRPr="004C0EBD">
        <w:t xml:space="preserve">Objective of and background </w:t>
      </w:r>
      <w:r>
        <w:br/>
      </w:r>
      <w:r w:rsidRPr="004C0EBD">
        <w:t>to this</w:t>
      </w:r>
      <w:r>
        <w:t xml:space="preserve"> </w:t>
      </w:r>
      <w:r w:rsidRPr="004C0EBD">
        <w:t>guide</w:t>
      </w:r>
      <w:bookmarkEnd w:id="50"/>
    </w:p>
    <w:p w14:paraId="3B7F7E76" w14:textId="77777777" w:rsidR="0009535D" w:rsidRPr="004C0EBD" w:rsidRDefault="0009535D" w:rsidP="0009535D">
      <w:pPr>
        <w:pStyle w:val="MH1"/>
      </w:pPr>
    </w:p>
    <w:p w14:paraId="252348A4" w14:textId="77777777" w:rsidR="0009535D" w:rsidRPr="00DE36D8" w:rsidRDefault="0009535D" w:rsidP="0009535D">
      <w:pPr>
        <w:pStyle w:val="BodyText1"/>
      </w:pPr>
      <w:r w:rsidRPr="00DE36D8">
        <w:t xml:space="preserve">Many organisations want to implement PV projects on roofs or land. This guide will take you through the </w:t>
      </w:r>
      <w:r>
        <w:t>preparatory</w:t>
      </w:r>
      <w:r w:rsidRPr="00DE36D8">
        <w:t xml:space="preserve"> stages, setting out steps and choices, and providing lists of consultants that can assist you. </w:t>
      </w:r>
    </w:p>
    <w:p w14:paraId="55A671E6" w14:textId="77777777" w:rsidR="0009535D" w:rsidRPr="00DE36D8" w:rsidRDefault="0009535D" w:rsidP="0009535D">
      <w:pPr>
        <w:pStyle w:val="BodyText1"/>
      </w:pPr>
    </w:p>
    <w:p w14:paraId="6D6C78D7" w14:textId="77777777" w:rsidR="0009535D" w:rsidRPr="00DE36D8" w:rsidRDefault="0009535D" w:rsidP="0009535D">
      <w:pPr>
        <w:pStyle w:val="BodyText1"/>
      </w:pPr>
      <w:r w:rsidRPr="00DE36D8">
        <w:t xml:space="preserve">This guide is one of three documents that </w:t>
      </w:r>
      <w:r>
        <w:t>complement</w:t>
      </w:r>
      <w:r w:rsidRPr="00DE36D8">
        <w:t xml:space="preserve"> </w:t>
      </w:r>
      <w:r>
        <w:br/>
      </w:r>
      <w:r w:rsidRPr="00DE36D8">
        <w:t>the</w:t>
      </w:r>
      <w:r>
        <w:t xml:space="preserve"> ‘</w:t>
      </w:r>
      <w:r w:rsidRPr="00374EC8">
        <w:rPr>
          <w:i/>
          <w:iCs/>
        </w:rPr>
        <w:t>Template for purchase requirements and award criteria</w:t>
      </w:r>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09535D" w:rsidRPr="00DE36D8" w14:paraId="370E3EA8" w14:textId="77777777" w:rsidTr="00374EC8">
        <w:trPr>
          <w:trHeight w:val="32"/>
        </w:trPr>
        <w:tc>
          <w:tcPr>
            <w:tcW w:w="9448" w:type="dxa"/>
          </w:tcPr>
          <w:p w14:paraId="7564CCB5" w14:textId="77777777" w:rsidR="0009535D" w:rsidRPr="00DE36D8" w:rsidRDefault="0009535D" w:rsidP="00374EC8">
            <w:pPr>
              <w:pStyle w:val="BodyText1"/>
              <w:rPr>
                <w:sz w:val="24"/>
                <w:szCs w:val="24"/>
              </w:rPr>
            </w:pPr>
            <w:r w:rsidRPr="00DE36D8">
              <w:t xml:space="preserve">I. </w:t>
            </w:r>
            <w:r>
              <w:t>Preparatory</w:t>
            </w:r>
            <w:r w:rsidRPr="00DE36D8">
              <w:t xml:space="preserve"> stages of a PV project (this guide)</w:t>
            </w:r>
          </w:p>
        </w:tc>
      </w:tr>
      <w:tr w:rsidR="0009535D" w:rsidRPr="00DE36D8" w14:paraId="18FA452D" w14:textId="77777777" w:rsidTr="00374EC8">
        <w:trPr>
          <w:trHeight w:val="33"/>
        </w:trPr>
        <w:tc>
          <w:tcPr>
            <w:tcW w:w="9448" w:type="dxa"/>
          </w:tcPr>
          <w:p w14:paraId="38867319" w14:textId="77777777" w:rsidR="0009535D" w:rsidRPr="00DE36D8" w:rsidRDefault="0009535D" w:rsidP="00374EC8">
            <w:pPr>
              <w:pStyle w:val="BodyText1"/>
              <w:rPr>
                <w:sz w:val="24"/>
                <w:szCs w:val="24"/>
              </w:rPr>
            </w:pPr>
            <w:r w:rsidRPr="00DE36D8">
              <w:t xml:space="preserve">II. </w:t>
            </w:r>
            <w:r>
              <w:t xml:space="preserve">Preparing a </w:t>
            </w:r>
            <w:r w:rsidRPr="00DE36D8">
              <w:t>tender for a PV project</w:t>
            </w:r>
            <w:r>
              <w:t>,</w:t>
            </w:r>
            <w:r w:rsidRPr="00DE36D8">
              <w:t xml:space="preserve"> and explanation of the </w:t>
            </w:r>
            <w:r>
              <w:t>T</w:t>
            </w:r>
            <w:r w:rsidRPr="00DE36D8">
              <w:t>emplate</w:t>
            </w:r>
          </w:p>
        </w:tc>
      </w:tr>
      <w:tr w:rsidR="0009535D" w:rsidRPr="00DE36D8" w14:paraId="301D6E35" w14:textId="77777777" w:rsidTr="00374EC8">
        <w:trPr>
          <w:trHeight w:val="33"/>
        </w:trPr>
        <w:tc>
          <w:tcPr>
            <w:tcW w:w="9448" w:type="dxa"/>
          </w:tcPr>
          <w:p w14:paraId="543C8093" w14:textId="77777777" w:rsidR="0009535D" w:rsidRPr="00DE36D8" w:rsidRDefault="0009535D" w:rsidP="00374EC8">
            <w:pPr>
              <w:pStyle w:val="BodyText1"/>
            </w:pPr>
            <w:r w:rsidRPr="00DE36D8">
              <w:t>III. Sustainability aspects and market scan of the more sustainable solar panels</w:t>
            </w:r>
          </w:p>
        </w:tc>
      </w:tr>
    </w:tbl>
    <w:p w14:paraId="7419A2D2" w14:textId="77777777" w:rsidR="0009535D" w:rsidRPr="0088732B" w:rsidRDefault="0009535D" w:rsidP="0009535D">
      <w:pPr>
        <w:pStyle w:val="BodyText1"/>
        <w:rPr>
          <w:rStyle w:val="SubtleEmphasis"/>
          <w:b w:val="0"/>
          <w:bCs w:val="0"/>
          <w:color w:val="auto"/>
        </w:rPr>
      </w:pPr>
      <w:r>
        <w:rPr>
          <w:rStyle w:val="SubtleEmphasis"/>
          <w:b w:val="0"/>
          <w:bCs w:val="0"/>
          <w:color w:val="auto"/>
        </w:rPr>
        <w:t>A draft of t</w:t>
      </w:r>
      <w:r w:rsidRPr="00374EC8">
        <w:rPr>
          <w:rStyle w:val="SubtleEmphasis"/>
          <w:b w:val="0"/>
          <w:bCs w:val="0"/>
          <w:color w:val="auto"/>
        </w:rPr>
        <w:t xml:space="preserve">he </w:t>
      </w:r>
      <w:r>
        <w:rPr>
          <w:rStyle w:val="SubtleEmphasis"/>
          <w:b w:val="0"/>
          <w:bCs w:val="0"/>
          <w:color w:val="auto"/>
        </w:rPr>
        <w:t>‘</w:t>
      </w:r>
      <w:r w:rsidRPr="00417768">
        <w:rPr>
          <w:i/>
          <w:iCs/>
        </w:rPr>
        <w:t>Template for purchase requirements and award criteria</w:t>
      </w:r>
      <w:r>
        <w:rPr>
          <w:i/>
          <w:iCs/>
        </w:rPr>
        <w:t xml:space="preserve">’ </w:t>
      </w:r>
      <w:r>
        <w:t xml:space="preserve">is also available. It is created as a spreadsheet that can be attached as in tender/RFQ documentatioon, after adjusting a number of project specific fields.  </w:t>
      </w:r>
    </w:p>
    <w:p w14:paraId="16883BA4" w14:textId="77777777" w:rsidR="0009535D" w:rsidRPr="00374EC8" w:rsidRDefault="0009535D" w:rsidP="0009535D">
      <w:pPr>
        <w:pStyle w:val="BodyText1"/>
        <w:rPr>
          <w:rStyle w:val="SubtleEmphasis"/>
          <w:b w:val="0"/>
          <w:bCs w:val="0"/>
          <w:color w:val="auto"/>
        </w:rPr>
      </w:pPr>
    </w:p>
    <w:p w14:paraId="0364C50B" w14:textId="77777777" w:rsidR="0009535D" w:rsidRPr="00C42EE6" w:rsidRDefault="0009535D" w:rsidP="0009535D">
      <w:pPr>
        <w:rPr>
          <w:rStyle w:val="SubtleEmphasis"/>
          <w:rFonts w:ascii="Arial" w:hAnsi="Arial" w:cs="Arial"/>
          <w:color w:val="104D54"/>
          <w:sz w:val="36"/>
          <w:szCs w:val="36"/>
          <w:lang w:val="en-US"/>
        </w:rPr>
      </w:pPr>
      <w:r w:rsidRPr="006B1209">
        <w:rPr>
          <w:rStyle w:val="SubtleEmphasis"/>
          <w:rFonts w:ascii="Arial" w:hAnsi="Arial" w:cs="Arial"/>
          <w:color w:val="104D54"/>
          <w:sz w:val="36"/>
          <w:szCs w:val="36"/>
        </w:rPr>
        <w:t>Objective of this guide</w:t>
      </w:r>
    </w:p>
    <w:p w14:paraId="4BE7EEE4" w14:textId="77777777" w:rsidR="0009535D" w:rsidRPr="004C0EBD" w:rsidRDefault="0009535D" w:rsidP="0009535D">
      <w:pPr>
        <w:pStyle w:val="BodyText1"/>
      </w:pPr>
      <w:r w:rsidRPr="006B1209">
        <w:rPr>
          <w:color w:val="104D54"/>
          <w:sz w:val="36"/>
          <w:szCs w:val="36"/>
        </w:rPr>
        <w:t xml:space="preserve"> </w:t>
      </w:r>
      <w:r w:rsidRPr="004C0EBD">
        <w:br/>
        <w:t xml:space="preserve">The objective of this guide is to help </w:t>
      </w:r>
      <w:r>
        <w:t>users</w:t>
      </w:r>
      <w:r w:rsidRPr="004C0EBD">
        <w:t xml:space="preserve"> carry out PV projects offering:</w:t>
      </w:r>
    </w:p>
    <w:p w14:paraId="1BC48E00" w14:textId="77777777" w:rsidR="0009535D" w:rsidRPr="004C0EBD" w:rsidRDefault="0009535D" w:rsidP="0009535D">
      <w:pPr>
        <w:pStyle w:val="BodyText1"/>
        <w:numPr>
          <w:ilvl w:val="0"/>
          <w:numId w:val="10"/>
        </w:numPr>
        <w:rPr>
          <w:sz w:val="21"/>
          <w:szCs w:val="21"/>
        </w:rPr>
      </w:pPr>
      <w:r w:rsidRPr="004C0EBD">
        <w:t>better financial conditions</w:t>
      </w:r>
    </w:p>
    <w:p w14:paraId="5E88626D" w14:textId="77777777" w:rsidR="0009535D" w:rsidRPr="004C0EBD" w:rsidRDefault="0009535D" w:rsidP="0009535D">
      <w:pPr>
        <w:pStyle w:val="BodyText1"/>
        <w:numPr>
          <w:ilvl w:val="0"/>
          <w:numId w:val="10"/>
        </w:numPr>
        <w:rPr>
          <w:sz w:val="21"/>
          <w:szCs w:val="21"/>
        </w:rPr>
      </w:pPr>
      <w:r w:rsidRPr="004C0EBD">
        <w:t>a longer working life</w:t>
      </w:r>
    </w:p>
    <w:p w14:paraId="3134D3EE" w14:textId="77777777" w:rsidR="0009535D" w:rsidRPr="006B1209" w:rsidRDefault="0009535D" w:rsidP="0009535D">
      <w:pPr>
        <w:pStyle w:val="BodyText1"/>
        <w:numPr>
          <w:ilvl w:val="0"/>
          <w:numId w:val="10"/>
        </w:numPr>
        <w:rPr>
          <w:sz w:val="21"/>
          <w:szCs w:val="21"/>
        </w:rPr>
      </w:pPr>
      <w:r w:rsidRPr="004C0EBD">
        <w:t>better sustainability</w:t>
      </w:r>
    </w:p>
    <w:p w14:paraId="52B30D41" w14:textId="77777777" w:rsidR="0009535D" w:rsidRPr="004C0EBD" w:rsidRDefault="0009535D" w:rsidP="0009535D">
      <w:pPr>
        <w:pStyle w:val="ListParagraph"/>
        <w:ind w:left="709"/>
        <w:rPr>
          <w:sz w:val="21"/>
          <w:szCs w:val="21"/>
        </w:rPr>
      </w:pPr>
    </w:p>
    <w:p w14:paraId="3A104E81" w14:textId="77777777" w:rsidR="0009535D" w:rsidRPr="001079C7" w:rsidRDefault="0009535D" w:rsidP="0009535D">
      <w:pPr>
        <w:pStyle w:val="MH3"/>
        <w:rPr>
          <w:rStyle w:val="SubtleEmphasis"/>
          <w:b/>
          <w:bCs w:val="0"/>
          <w:color w:val="104D54"/>
        </w:rPr>
      </w:pPr>
      <w:bookmarkStart w:id="51" w:name="_Toc180569745"/>
      <w:r>
        <w:rPr>
          <w:rStyle w:val="SubtleEmphasis"/>
          <w:b/>
          <w:bCs w:val="0"/>
          <w:color w:val="104D54"/>
        </w:rPr>
        <w:t>Why</w:t>
      </w:r>
      <w:bookmarkEnd w:id="51"/>
      <w:r w:rsidRPr="001079C7">
        <w:rPr>
          <w:rStyle w:val="SubtleEmphasis"/>
          <w:b/>
          <w:bCs w:val="0"/>
          <w:color w:val="104D54"/>
        </w:rPr>
        <w:t xml:space="preserve"> </w:t>
      </w:r>
    </w:p>
    <w:p w14:paraId="1EA0872D" w14:textId="77777777" w:rsidR="0009535D" w:rsidRPr="006B1209" w:rsidRDefault="0009535D" w:rsidP="0009535D">
      <w:pPr>
        <w:pStyle w:val="BodyText1"/>
      </w:pPr>
      <w:r w:rsidRPr="006B1209">
        <w:t xml:space="preserve">PV projects are all too often poor value for money. </w:t>
      </w:r>
      <w:r>
        <w:t xml:space="preserve">Further, </w:t>
      </w:r>
      <w:r w:rsidRPr="006B1209">
        <w:t xml:space="preserve">sustainability aspects of solar panels themselves are often not taken into consideration – think of the use of PFAS and other harmful materials, the technical working life, the carbon footprint, environmental issues and working conditions.  </w:t>
      </w:r>
    </w:p>
    <w:p w14:paraId="0F6E9ACC" w14:textId="77777777" w:rsidR="0009535D" w:rsidRPr="006B1209" w:rsidRDefault="0009535D" w:rsidP="0009535D">
      <w:pPr>
        <w:pStyle w:val="BodyText1"/>
      </w:pPr>
    </w:p>
    <w:p w14:paraId="21354899" w14:textId="77777777" w:rsidR="0009535D" w:rsidRPr="004C0EBD" w:rsidRDefault="0009535D" w:rsidP="0009535D"/>
    <w:p w14:paraId="142EC9CF" w14:textId="77777777" w:rsidR="0009535D" w:rsidRPr="001079C7" w:rsidRDefault="0009535D" w:rsidP="0009535D">
      <w:pPr>
        <w:pStyle w:val="MH3"/>
        <w:rPr>
          <w:rStyle w:val="SubtleEmphasis"/>
          <w:b/>
          <w:bCs w:val="0"/>
          <w:color w:val="104D54"/>
        </w:rPr>
      </w:pPr>
      <w:bookmarkStart w:id="52" w:name="_Toc180569746"/>
      <w:r>
        <w:rPr>
          <w:rStyle w:val="SubtleEmphasis"/>
          <w:b/>
          <w:bCs w:val="0"/>
          <w:color w:val="104D54"/>
        </w:rPr>
        <w:t xml:space="preserve">Edits requested! </w:t>
      </w:r>
      <w:r w:rsidRPr="001079C7">
        <w:rPr>
          <w:rStyle w:val="SubtleEmphasis"/>
          <w:b/>
          <w:bCs w:val="0"/>
          <w:color w:val="104D54"/>
        </w:rPr>
        <w:t xml:space="preserve"> Please send </w:t>
      </w:r>
      <w:r>
        <w:rPr>
          <w:rStyle w:val="SubtleEmphasis"/>
          <w:b/>
          <w:bCs w:val="0"/>
          <w:color w:val="104D54"/>
        </w:rPr>
        <w:t xml:space="preserve">us </w:t>
      </w:r>
      <w:r w:rsidRPr="001079C7">
        <w:rPr>
          <w:rStyle w:val="SubtleEmphasis"/>
          <w:b/>
          <w:bCs w:val="0"/>
          <w:color w:val="104D54"/>
        </w:rPr>
        <w:t xml:space="preserve">an </w:t>
      </w:r>
      <w:proofErr w:type="gramStart"/>
      <w:r w:rsidRPr="001079C7">
        <w:rPr>
          <w:rStyle w:val="SubtleEmphasis"/>
          <w:b/>
          <w:bCs w:val="0"/>
          <w:color w:val="104D54"/>
        </w:rPr>
        <w:t>email</w:t>
      </w:r>
      <w:proofErr w:type="gramEnd"/>
      <w:r w:rsidRPr="001079C7">
        <w:rPr>
          <w:rStyle w:val="SubtleEmphasis"/>
          <w:b/>
          <w:bCs w:val="0"/>
          <w:color w:val="104D54"/>
        </w:rPr>
        <w:t xml:space="preserve">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52"/>
      <w:r>
        <w:rPr>
          <w:rStyle w:val="SubtleEmphasis"/>
          <w:b/>
          <w:bCs w:val="0"/>
          <w:color w:val="104D54"/>
        </w:rPr>
        <w:t xml:space="preserve"> </w:t>
      </w:r>
    </w:p>
    <w:p w14:paraId="6200D4D3" w14:textId="77777777" w:rsidR="0009535D" w:rsidRPr="006B1209" w:rsidRDefault="0009535D" w:rsidP="0009535D">
      <w:pPr>
        <w:pStyle w:val="BodyText1"/>
        <w:rPr>
          <w:rFonts w:eastAsia="Calibri"/>
        </w:rPr>
      </w:pPr>
      <w:r w:rsidRPr="006B1209">
        <w:t xml:space="preserve">This guide is </w:t>
      </w:r>
      <w:r>
        <w:t xml:space="preserve">a draft </w:t>
      </w:r>
      <w:r w:rsidRPr="006B1209">
        <w:t>version</w:t>
      </w:r>
      <w:proofErr w:type="gramStart"/>
      <w:r>
        <w:t>/</w:t>
      </w:r>
      <w:r w:rsidRPr="006B1209">
        <w:t xml:space="preserve"> </w:t>
      </w:r>
      <w:r>
        <w:t>.</w:t>
      </w:r>
      <w:proofErr w:type="gramEnd"/>
      <w:r>
        <w:t xml:space="preserve"> It was created in the Netherlands and thereafter auto-translated without checks from native speaking PV experts. Therefore improper words will be used. Further, in your country the regulations, permits and subsidies will be different from those in the Netherlands, which were auto-translated. So the guide certainly does contain mistakes and needs to be improved. In addition, the lists in the Annexes with names of consultants/experts need to be completely modified as these are mostly Dutch organisations. It would be great if you can help us with lists consultants/experts from your country. The solar trade association in your country may help you here.</w:t>
      </w:r>
    </w:p>
    <w:p w14:paraId="54F19F8F" w14:textId="77777777" w:rsidR="0009535D" w:rsidRPr="004C0EBD" w:rsidRDefault="0009535D" w:rsidP="0009535D"/>
    <w:p w14:paraId="548302EB" w14:textId="77777777" w:rsidR="0009535D" w:rsidRPr="001079C7" w:rsidRDefault="0009535D" w:rsidP="0009535D">
      <w:pPr>
        <w:pStyle w:val="MH3"/>
        <w:rPr>
          <w:rStyle w:val="SubtleEmphasis"/>
          <w:b/>
          <w:bCs w:val="0"/>
          <w:color w:val="104D54"/>
        </w:rPr>
      </w:pPr>
      <w:bookmarkStart w:id="53" w:name="_Toc180569747"/>
      <w:r w:rsidRPr="001079C7">
        <w:rPr>
          <w:rStyle w:val="SubtleEmphasis"/>
          <w:b/>
          <w:bCs w:val="0"/>
          <w:color w:val="104D54"/>
        </w:rPr>
        <w:t>Responsibility</w:t>
      </w:r>
      <w:bookmarkEnd w:id="53"/>
    </w:p>
    <w:p w14:paraId="4113E6A2" w14:textId="77777777" w:rsidR="0009535D" w:rsidRPr="004C0EBD" w:rsidRDefault="0009535D" w:rsidP="0009535D">
      <w:pPr>
        <w:pStyle w:val="BodyText1"/>
        <w:rPr>
          <w:rFonts w:eastAsia="Calibri"/>
        </w:rPr>
      </w:pPr>
      <w:r w:rsidRPr="004C0EBD">
        <w:t xml:space="preserve">This guide was drawn up on the initiative of the </w:t>
      </w:r>
      <w:r>
        <w:t xml:space="preserve">Dutch Public </w:t>
      </w:r>
      <w:r w:rsidRPr="004C0EBD">
        <w:t>Buyers Group for Sustainable PV. This Buyers’ Group consists of the Dutch Public Procurement Expertise Centre, PIANOo, and is made possible by the Ministry of Infrastructure and Water Management</w:t>
      </w:r>
      <w:proofErr w:type="gramStart"/>
      <w:r w:rsidRPr="004C0EBD">
        <w:t>. .</w:t>
      </w:r>
      <w:proofErr w:type="gramEnd"/>
      <w:r w:rsidRPr="004C0EBD">
        <w:t xml:space="preserve"> The Buyers’ Group is headed by Bart-Jeroen Bierens and Michiel Mensink from the Netherlands Enterprise </w:t>
      </w:r>
      <w:proofErr w:type="gramStart"/>
      <w:r w:rsidRPr="004C0EBD">
        <w:t>Agency .</w:t>
      </w:r>
      <w:proofErr w:type="gramEnd"/>
    </w:p>
    <w:p w14:paraId="3383B8F5" w14:textId="77777777" w:rsidR="0009535D" w:rsidRPr="004C0EBD" w:rsidRDefault="0009535D" w:rsidP="0009535D">
      <w:pPr>
        <w:rPr>
          <w:rFonts w:eastAsia="Calibri"/>
        </w:rPr>
      </w:pPr>
    </w:p>
    <w:p w14:paraId="5F5B5C41" w14:textId="77777777" w:rsidR="0009535D" w:rsidRPr="001079C7" w:rsidRDefault="0009535D" w:rsidP="0009535D">
      <w:pPr>
        <w:pStyle w:val="MH3"/>
        <w:rPr>
          <w:rStyle w:val="SubtleEmphasis"/>
          <w:b/>
          <w:bCs w:val="0"/>
          <w:color w:val="104D54"/>
        </w:rPr>
      </w:pPr>
      <w:bookmarkStart w:id="54" w:name="_Toc180569748"/>
      <w:r w:rsidRPr="001079C7">
        <w:rPr>
          <w:rStyle w:val="SubtleEmphasis"/>
          <w:b/>
          <w:bCs w:val="0"/>
          <w:color w:val="104D54"/>
        </w:rPr>
        <w:t>Disclaimer</w:t>
      </w:r>
      <w:bookmarkEnd w:id="54"/>
      <w:r w:rsidRPr="001079C7">
        <w:rPr>
          <w:rStyle w:val="SubtleEmphasis"/>
          <w:b/>
          <w:bCs w:val="0"/>
          <w:color w:val="104D54"/>
        </w:rPr>
        <w:t xml:space="preserve"> </w:t>
      </w:r>
    </w:p>
    <w:p w14:paraId="4EEF0DDE" w14:textId="77777777" w:rsidR="0009535D" w:rsidRPr="004C0EBD" w:rsidRDefault="0009535D" w:rsidP="0009535D">
      <w:pPr>
        <w:pStyle w:val="BodyText1"/>
        <w:rPr>
          <w:rFonts w:eastAsia="Calibri"/>
          <w:szCs w:val="21"/>
        </w:rPr>
      </w:pPr>
      <w:r w:rsidRPr="004C0EBD">
        <w:t xml:space="preserve">The purpose of this guide is to provide assistance and support to </w:t>
      </w:r>
      <w:r>
        <w:t xml:space="preserve">private organisations and </w:t>
      </w:r>
      <w:r w:rsidRPr="004C0EBD">
        <w:t>contracting authorities when preparing calls for tenders for PV projects. The guide was drawn up using recent insights from the sector. It may be necessary for individual calls for tenders to include criteria that are not in the guide or to adjust criteria, for example due to specific circumstances or preconditions. Both the guide and the criteria are used under the contracting authorities’ own responsibility. Users cannot make any claim based on the accuracy and completeness of the content or derive any rights therefrom.</w:t>
      </w:r>
      <w:r w:rsidRPr="004C0EBD">
        <w:rPr>
          <w:rStyle w:val="apple-converted-space"/>
          <w:color w:val="000000" w:themeColor="text1"/>
          <w:sz w:val="16"/>
        </w:rPr>
        <w:t xml:space="preserve"> </w:t>
      </w:r>
    </w:p>
    <w:p w14:paraId="43F3D8D6" w14:textId="77777777" w:rsidR="0009535D" w:rsidRPr="004C0EBD" w:rsidRDefault="0009535D" w:rsidP="0009535D"/>
    <w:p w14:paraId="7CD265C0" w14:textId="77777777" w:rsidR="0009535D" w:rsidRPr="004C0EBD" w:rsidRDefault="0009535D" w:rsidP="0009535D">
      <w:pPr>
        <w:rPr>
          <w:b/>
          <w:bCs/>
          <w:color w:val="262626" w:themeColor="text1" w:themeTint="D9"/>
        </w:rPr>
      </w:pPr>
      <w:r w:rsidRPr="004C0EBD">
        <w:rPr>
          <w:rStyle w:val="SubtleEmphasis"/>
        </w:rPr>
        <w:t xml:space="preserve">Authors </w:t>
      </w:r>
      <w:r w:rsidRPr="004C0EBD">
        <w:t xml:space="preserve">Michiel Mensink and Marcello Passaro </w:t>
      </w:r>
    </w:p>
    <w:p w14:paraId="2E96790D" w14:textId="77777777" w:rsidR="0009535D" w:rsidRPr="00A031E5" w:rsidRDefault="0009535D" w:rsidP="0009535D">
      <w:pPr>
        <w:rPr>
          <w:rFonts w:eastAsia="Calibri"/>
          <w:lang w:val="da-DK"/>
        </w:rPr>
      </w:pPr>
      <w:r w:rsidRPr="00A031E5">
        <w:rPr>
          <w:rStyle w:val="SubtleEmphasis"/>
          <w:lang w:val="da-DK"/>
        </w:rPr>
        <w:t xml:space="preserve">Copyright </w:t>
      </w:r>
      <w:r w:rsidRPr="00A031E5">
        <w:rPr>
          <w:lang w:val="da-DK"/>
        </w:rPr>
        <w:t>Rijksdienst voor Ondernemend Nederland, 2023</w:t>
      </w:r>
    </w:p>
    <w:p w14:paraId="0E0BFAC3" w14:textId="77777777" w:rsidR="0009535D" w:rsidRDefault="0009535D" w:rsidP="00A3595E">
      <w:pPr>
        <w:rPr>
          <w:rFonts w:eastAsiaTheme="majorEastAsia"/>
          <w:color w:val="92D050"/>
          <w:sz w:val="40"/>
          <w:szCs w:val="40"/>
          <w:lang w:val="nl-NL"/>
        </w:rPr>
      </w:pPr>
    </w:p>
    <w:p w14:paraId="4A0E1FF9" w14:textId="76B4B837" w:rsidR="00BA688B" w:rsidRPr="0064099B" w:rsidRDefault="00A11B94" w:rsidP="00A3595E">
      <w:pPr>
        <w:rPr>
          <w:rFonts w:eastAsiaTheme="majorEastAsia"/>
          <w:color w:val="92D050"/>
          <w:sz w:val="40"/>
          <w:szCs w:val="40"/>
          <w:lang w:val="nl-NL"/>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Pr="0064099B" w:rsidRDefault="006B1209" w:rsidP="00A3595E">
      <w:pPr>
        <w:rPr>
          <w:rFonts w:eastAsiaTheme="majorEastAsia"/>
          <w:color w:val="92D050"/>
          <w:sz w:val="40"/>
          <w:szCs w:val="40"/>
          <w:lang w:val="nl-NL"/>
        </w:rPr>
      </w:pPr>
    </w:p>
    <w:p w14:paraId="43FA5D3D" w14:textId="260DEDC8" w:rsidR="006B1209" w:rsidRPr="0064099B" w:rsidRDefault="006B1209" w:rsidP="00A3595E">
      <w:pPr>
        <w:rPr>
          <w:rFonts w:eastAsiaTheme="majorEastAsia"/>
          <w:color w:val="92D050"/>
          <w:sz w:val="40"/>
          <w:szCs w:val="40"/>
          <w:lang w:val="nl-NL"/>
        </w:rPr>
      </w:pPr>
    </w:p>
    <w:p w14:paraId="3DECFF07" w14:textId="08634845" w:rsidR="006B1209" w:rsidRPr="0064099B" w:rsidRDefault="006B1209" w:rsidP="00A3595E">
      <w:pPr>
        <w:rPr>
          <w:rFonts w:eastAsiaTheme="majorEastAsia"/>
          <w:color w:val="92D050"/>
          <w:sz w:val="40"/>
          <w:szCs w:val="40"/>
          <w:lang w:val="nl-NL"/>
        </w:rPr>
      </w:pPr>
    </w:p>
    <w:p w14:paraId="50CBF4EC" w14:textId="77777777" w:rsidR="006B1209" w:rsidRPr="0064099B" w:rsidRDefault="006B1209" w:rsidP="00A3595E">
      <w:pPr>
        <w:rPr>
          <w:rFonts w:eastAsiaTheme="majorEastAsia"/>
          <w:color w:val="92D050"/>
          <w:sz w:val="40"/>
          <w:szCs w:val="40"/>
          <w:lang w:val="nl-NL"/>
        </w:rPr>
      </w:pPr>
    </w:p>
    <w:p w14:paraId="4C22EF8B" w14:textId="77777777" w:rsidR="006B1209" w:rsidRPr="0064099B" w:rsidRDefault="006B1209" w:rsidP="00A3595E">
      <w:pPr>
        <w:rPr>
          <w:rFonts w:eastAsiaTheme="majorEastAsia"/>
          <w:color w:val="92D050"/>
          <w:sz w:val="40"/>
          <w:szCs w:val="40"/>
          <w:lang w:val="nl-NL"/>
        </w:rPr>
      </w:pPr>
    </w:p>
    <w:p w14:paraId="76BE0EAF" w14:textId="77777777" w:rsidR="006B1209" w:rsidRPr="0064099B" w:rsidRDefault="006B1209" w:rsidP="00A3595E">
      <w:pPr>
        <w:rPr>
          <w:rFonts w:eastAsiaTheme="majorEastAsia"/>
          <w:color w:val="92D050"/>
          <w:sz w:val="40"/>
          <w:szCs w:val="40"/>
          <w:lang w:val="nl-NL"/>
        </w:rPr>
      </w:pPr>
    </w:p>
    <w:p w14:paraId="2E5854FE" w14:textId="77777777" w:rsidR="006B1209" w:rsidRPr="0064099B" w:rsidRDefault="006B1209" w:rsidP="00A3595E">
      <w:pPr>
        <w:rPr>
          <w:rFonts w:eastAsiaTheme="majorEastAsia"/>
          <w:color w:val="92D050"/>
          <w:sz w:val="40"/>
          <w:szCs w:val="40"/>
          <w:lang w:val="nl-NL"/>
        </w:rPr>
      </w:pPr>
    </w:p>
    <w:p w14:paraId="4A5B6C79" w14:textId="77777777" w:rsidR="006B1209" w:rsidRPr="0064099B" w:rsidRDefault="006B1209" w:rsidP="00A3595E">
      <w:pPr>
        <w:rPr>
          <w:rFonts w:eastAsiaTheme="majorEastAsia"/>
          <w:color w:val="92D050"/>
          <w:sz w:val="40"/>
          <w:szCs w:val="40"/>
          <w:lang w:val="nl-NL"/>
        </w:rPr>
      </w:pPr>
    </w:p>
    <w:p w14:paraId="51872B65" w14:textId="77777777" w:rsidR="006B1209" w:rsidRPr="0064099B" w:rsidRDefault="006B1209" w:rsidP="00A3595E">
      <w:pPr>
        <w:rPr>
          <w:rFonts w:eastAsiaTheme="majorEastAsia"/>
          <w:color w:val="92D050"/>
          <w:sz w:val="40"/>
          <w:szCs w:val="40"/>
          <w:lang w:val="nl-NL"/>
        </w:rPr>
      </w:pPr>
    </w:p>
    <w:p w14:paraId="016FB7C3" w14:textId="77777777" w:rsidR="006B1209" w:rsidRPr="0064099B" w:rsidRDefault="006B1209" w:rsidP="00A3595E">
      <w:pPr>
        <w:rPr>
          <w:rFonts w:eastAsiaTheme="majorEastAsia"/>
          <w:color w:val="92D050"/>
          <w:sz w:val="40"/>
          <w:szCs w:val="40"/>
          <w:lang w:val="nl-NL"/>
        </w:rPr>
      </w:pPr>
    </w:p>
    <w:p w14:paraId="36BA4AC8" w14:textId="77777777" w:rsidR="006B1209" w:rsidRPr="0064099B" w:rsidRDefault="006B1209" w:rsidP="00A3595E">
      <w:pPr>
        <w:rPr>
          <w:rFonts w:eastAsiaTheme="majorEastAsia"/>
          <w:color w:val="92D050"/>
          <w:sz w:val="40"/>
          <w:szCs w:val="40"/>
          <w:lang w:val="nl-NL"/>
        </w:rPr>
      </w:pPr>
    </w:p>
    <w:p w14:paraId="68CEC79D" w14:textId="77777777" w:rsidR="006B1209" w:rsidRPr="0064099B" w:rsidRDefault="006B1209" w:rsidP="00A3595E">
      <w:pPr>
        <w:rPr>
          <w:rFonts w:eastAsiaTheme="majorEastAsia"/>
          <w:color w:val="92D050"/>
          <w:sz w:val="40"/>
          <w:szCs w:val="40"/>
          <w:lang w:val="nl-NL"/>
        </w:rPr>
      </w:pPr>
    </w:p>
    <w:p w14:paraId="2842012E" w14:textId="47DED13E" w:rsidR="0029348A" w:rsidRPr="004C0EBD" w:rsidRDefault="0049076B" w:rsidP="00F426F5">
      <w:pPr>
        <w:pStyle w:val="MH1"/>
      </w:pPr>
      <w:bookmarkStart w:id="55" w:name="_Toc180569749"/>
      <w:r>
        <w:lastRenderedPageBreak/>
        <w:t>Introduzione</w:t>
      </w:r>
      <w:bookmarkEnd w:id="55"/>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4B11982A">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In genere, i progetti FV prevedono le fasi seguenti: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La presente guida è incentrata sulla Fase I: lo studio preliminare.</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Le scelte principali devono essere effettuate durante lo studio preliminare, dopodiché si potrà redigere in modo efficiente un bando di gara o una richiesta di quotazione (RFQ - </w:t>
      </w:r>
      <w:r>
        <w:rPr>
          <w:i/>
          <w:iCs/>
        </w:rPr>
        <w:t>Request for quote</w:t>
      </w:r>
      <w:r>
        <w:t xml:space="preserve">). Il modello dei requisiti e dei criteri di aggiudicazione può essere adattato al proprio progetto e aggiunto come allegato alla RFQ o al bando di gara.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La guida tratterà gli argomenti seguenti:</w:t>
      </w:r>
    </w:p>
    <w:p w14:paraId="4E53A1EA" w14:textId="39D4E044" w:rsidR="00917A73" w:rsidRPr="004C0EBD" w:rsidRDefault="00917A73" w:rsidP="0075115D">
      <w:pPr>
        <w:pStyle w:val="BodyText1"/>
        <w:numPr>
          <w:ilvl w:val="0"/>
          <w:numId w:val="11"/>
        </w:numPr>
      </w:pPr>
      <w:r>
        <w:t>studio di fattibilità - dimensioni del progetto, carico sul tetto, collegamenti alla rete;</w:t>
      </w:r>
    </w:p>
    <w:p w14:paraId="6329141A" w14:textId="61DF3732" w:rsidR="006E3E63" w:rsidRPr="004C0EBD" w:rsidRDefault="006E3E63" w:rsidP="0075115D">
      <w:pPr>
        <w:pStyle w:val="BodyText1"/>
        <w:numPr>
          <w:ilvl w:val="0"/>
          <w:numId w:val="11"/>
        </w:numPr>
      </w:pPr>
      <w:r>
        <w:t>dimensioni del progetto e limiti dell'offerta (per gli enti pubblici);</w:t>
      </w:r>
    </w:p>
    <w:p w14:paraId="4C5A1B47" w14:textId="4B6026E9" w:rsidR="00E254BC" w:rsidRPr="004C0EBD" w:rsidRDefault="00E254BC" w:rsidP="0075115D">
      <w:pPr>
        <w:pStyle w:val="BodyText1"/>
        <w:numPr>
          <w:ilvl w:val="0"/>
          <w:numId w:val="11"/>
        </w:numPr>
      </w:pPr>
      <w:r>
        <w:t xml:space="preserve">scelta tra proprietà o affitto di metri quadrati; </w:t>
      </w:r>
    </w:p>
    <w:p w14:paraId="1B48C112" w14:textId="05A303C2" w:rsidR="00E254BC" w:rsidRPr="004C0EBD" w:rsidRDefault="00A11B94" w:rsidP="0075115D">
      <w:pPr>
        <w:pStyle w:val="BodyText1"/>
        <w:numPr>
          <w:ilvl w:val="0"/>
          <w:numId w:val="11"/>
        </w:numPr>
      </w:pPr>
      <w:r>
        <w:t>finanziamenti;</w:t>
      </w:r>
    </w:p>
    <w:p w14:paraId="5D5F0168" w14:textId="19BB39B4" w:rsidR="006E3E63" w:rsidRPr="004C0EBD" w:rsidRDefault="006E3E63" w:rsidP="0075115D">
      <w:pPr>
        <w:pStyle w:val="BodyText1"/>
        <w:numPr>
          <w:ilvl w:val="0"/>
          <w:numId w:val="11"/>
        </w:numPr>
      </w:pPr>
      <w:r>
        <w:t xml:space="preserve">scelte per la fase operativa - manutenzione e controllo; </w:t>
      </w:r>
    </w:p>
    <w:p w14:paraId="418350A1" w14:textId="0697A0D4" w:rsidR="00E254BC" w:rsidRPr="004C0EBD" w:rsidRDefault="00E254BC" w:rsidP="0075115D">
      <w:pPr>
        <w:pStyle w:val="BodyText1"/>
        <w:numPr>
          <w:ilvl w:val="0"/>
          <w:numId w:val="11"/>
        </w:numPr>
      </w:pPr>
      <w:r>
        <w:t xml:space="preserve">durata del progetto e fine vita; </w:t>
      </w:r>
    </w:p>
    <w:p w14:paraId="077C28E4" w14:textId="59D3C9FF" w:rsidR="00843185" w:rsidRPr="006F4930" w:rsidRDefault="0064099B"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516736D2">
                <wp:simplePos x="0" y="0"/>
                <wp:positionH relativeFrom="column">
                  <wp:posOffset>4504055</wp:posOffset>
                </wp:positionH>
                <wp:positionV relativeFrom="paragraph">
                  <wp:posOffset>142182</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A6BDF7" id="Oval 19" o:spid="_x0000_s1026" style="position:absolute;margin-left:354.65pt;margin-top:11.2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D63F/S4AAAAAsBAAAPAAAAZHJzL2Rvd25yZXYueG1sTI8xb8IwEIX3SvwH&#10;65C6FQcHUZrmgqpKnWABOnQ08TVJic8hNiTtr6+Z2vH0Pr33Xb4ebSuu1PvGMcJ8loAgLp1puEJ4&#10;P7w9rED4oNno1jEhfJOHdTG5y3Vm3MA7uu5DJWIJ+0wj1CF0mZS+rMlqP3Mdccw+XW91iGdfSdPr&#10;IZbbVqokWUqrG44Lte7otabytL9YBFep8WdzNsPwwerwtXPbjU23iPfT8eUZRKAx/MFw04/qUESn&#10;o7uw8aJFeEye0ogiKLUAcQNStVIgjgjLxTwFWeTy/w/FLwAAAP//AwBQSwECLQAUAAYACAAAACEA&#10;toM4kv4AAADhAQAAEwAAAAAAAAAAAAAAAAAAAAAAW0NvbnRlbnRfVHlwZXNdLnhtbFBLAQItABQA&#10;BgAIAAAAIQA4/SH/1gAAAJQBAAALAAAAAAAAAAAAAAAAAC8BAABfcmVscy8ucmVsc1BLAQItABQA&#10;BgAIAAAAIQA5foT5jAIAAIQFAAAOAAAAAAAAAAAAAAAAAC4CAABkcnMvZTJvRG9jLnhtbFBLAQIt&#10;ABQABgAIAAAAIQD63F/S4AAAAAsBAAAPAAAAAAAAAAAAAAAAAOYEAABkcnMvZG93bnJldi54bWxQ&#10;SwUGAAAAAAQABADzAAAA8wUAAAAA&#10;" fillcolor="#3dc3c6" stroked="f" strokeweight="1pt">
                <v:fill opacity="32639f"/>
                <v:stroke joinstyle="miter"/>
              </v:oval>
            </w:pict>
          </mc:Fallback>
        </mc:AlternateContent>
      </w:r>
      <w:r w:rsidR="00843185">
        <w:t>controllo della qualità.</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Nella prossima versione della guida, auspichiamo di includere altresì quanto segue:</w:t>
      </w:r>
    </w:p>
    <w:p w14:paraId="393D0B84" w14:textId="5892589F" w:rsidR="00BA688B" w:rsidRPr="004C0EBD" w:rsidRDefault="00843185" w:rsidP="0075115D">
      <w:pPr>
        <w:pStyle w:val="BodyText1"/>
        <w:numPr>
          <w:ilvl w:val="0"/>
          <w:numId w:val="11"/>
        </w:numPr>
      </w:pPr>
      <w:r>
        <w:t xml:space="preserve">sistemi di gestione dell'energia; </w:t>
      </w:r>
    </w:p>
    <w:p w14:paraId="796348A6" w14:textId="33BB1EB0" w:rsidR="00843185" w:rsidRPr="004C0EBD" w:rsidRDefault="00FE679B" w:rsidP="0075115D">
      <w:pPr>
        <w:pStyle w:val="BodyText1"/>
        <w:numPr>
          <w:ilvl w:val="0"/>
          <w:numId w:val="11"/>
        </w:numPr>
      </w:pPr>
      <w:r>
        <w:t>stoccaggio (batterie);</w:t>
      </w:r>
    </w:p>
    <w:p w14:paraId="0E6D1B86" w14:textId="7066331A" w:rsidR="00DA6DB7" w:rsidRPr="004C0EBD" w:rsidRDefault="00917A73" w:rsidP="0075115D">
      <w:pPr>
        <w:pStyle w:val="BodyText1"/>
        <w:numPr>
          <w:ilvl w:val="0"/>
          <w:numId w:val="11"/>
        </w:numPr>
      </w:pPr>
      <w:r>
        <w:t>punti di ricarica (se abbinati a un progetto FV).</w:t>
      </w:r>
    </w:p>
    <w:p w14:paraId="0D7824D4" w14:textId="4E3CC7DE" w:rsidR="0049076B" w:rsidRPr="004C0EBD" w:rsidRDefault="0064099B" w:rsidP="00A3595E">
      <w:r>
        <w:rPr>
          <w:noProof/>
          <w:color w:val="92D050"/>
          <w:sz w:val="40"/>
        </w:rPr>
        <mc:AlternateContent>
          <mc:Choice Requires="wps">
            <w:drawing>
              <wp:anchor distT="0" distB="0" distL="114300" distR="114300" simplePos="0" relativeHeight="251682816" behindDoc="0" locked="0" layoutInCell="1" allowOverlap="1" wp14:anchorId="73BE7B44" wp14:editId="5504E442">
                <wp:simplePos x="0" y="0"/>
                <wp:positionH relativeFrom="column">
                  <wp:posOffset>-1692275</wp:posOffset>
                </wp:positionH>
                <wp:positionV relativeFrom="paragraph">
                  <wp:posOffset>850062</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0A8F9D9" id="Oval 19" o:spid="_x0000_s1026" style="position:absolute;margin-left:-133.25pt;margin-top:66.95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D60SLHiAAAADQEAAA8AAABkcnMvZG93bnJldi54bWxMj8FOwzAQRO9I/IO1&#10;SNxap4mJ6jROhZBAAokDDQeObuwmEfE6jd02/XuWExx35ml2ptzObmBnO4Xeo4LVMgFmsfGmx1bB&#10;Z/28WAMLUaPRg0er4GoDbKvbm1IXxl/ww553sWUUgqHQCroYx4Lz0HTW6bD0o0XyDn5yOtI5tdxM&#10;+kLhbuBpkuTc6R7pQ6dH+9TZ5nt3cgqyl1VouXu9ymNbH4X7ehf1m1Tq/m5+3ACLdo5/MPzWp+pQ&#10;Uae9P6EJbFCwSPP8gVhyskwCI2QtJM3bk5IKKYBXJf+/ovoBAAD//wMAUEsBAi0AFAAGAAgAAAAh&#10;ALaDOJL+AAAA4QEAABMAAAAAAAAAAAAAAAAAAAAAAFtDb250ZW50X1R5cGVzXS54bWxQSwECLQAU&#10;AAYACAAAACEAOP0h/9YAAACUAQAACwAAAAAAAAAAAAAAAAAvAQAAX3JlbHMvLnJlbHNQSwECLQAU&#10;AAYACAAAACEAfFFWCosCAACEBQAADgAAAAAAAAAAAAAAAAAuAgAAZHJzL2Uyb0RvYy54bWxQSwEC&#10;LQAUAAYACAAAACEAPrRIseIAAAANAQAADwAAAAAAAAAAAAAAAADlBAAAZHJzL2Rvd25yZXYueG1s&#10;UEsFBgAAAAAEAAQA8wAAAPQFAAAAAA==&#10;" fillcolor="#d9f7e3" stroked="f" strokeweight="1pt">
                <v:fill opacity="47802f"/>
                <v:stroke joinstyle="miter"/>
              </v:oval>
            </w:pict>
          </mc:Fallback>
        </mc:AlternateContent>
      </w:r>
      <w:r w:rsidR="0049076B">
        <w:br w:type="page"/>
      </w:r>
    </w:p>
    <w:p w14:paraId="4C1A6C5F" w14:textId="37F67576" w:rsidR="009310E7" w:rsidRPr="004C0EBD" w:rsidRDefault="006839D2" w:rsidP="00F426F5">
      <w:pPr>
        <w:pStyle w:val="MH1"/>
      </w:pPr>
      <w:bookmarkStart w:id="56" w:name="_Toc180569750"/>
      <w:r>
        <w:lastRenderedPageBreak/>
        <w:t>Lo studio preliminare</w:t>
      </w:r>
      <w:bookmarkEnd w:id="56"/>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In questa fase si determina il profilo generale del progetto e quali sono le esigenze e i requisiti.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Consiglio 1</w:t>
      </w:r>
      <w:r>
        <w:rPr>
          <w:rStyle w:val="IntenseEmphasis"/>
          <w:rFonts w:ascii="Arial" w:hAnsi="Arial"/>
          <w:b/>
          <w:color w:val="104D54"/>
        </w:rPr>
        <w:t>: rivolgersi a un consulente tecnico!</w:t>
      </w:r>
    </w:p>
    <w:p w14:paraId="72CA230B" w14:textId="5A0929F3" w:rsidR="00FE679B" w:rsidRPr="004C0EBD" w:rsidRDefault="00845E96" w:rsidP="006F4930">
      <w:pPr>
        <w:pStyle w:val="BodyText1"/>
      </w:pPr>
      <w:r>
        <w:t>Cfr. l'</w:t>
      </w:r>
      <w:r>
        <w:rPr>
          <w:b/>
          <w:color w:val="3DC3C6"/>
          <w:u w:val="single"/>
        </w:rPr>
        <w:t>allegato 1</w:t>
      </w:r>
      <w:r>
        <w:rPr>
          <w:color w:val="3DC3C6"/>
        </w:rPr>
        <w:t xml:space="preserve"> </w:t>
      </w:r>
      <w:r>
        <w:t>per un elenco di consulenti tecnici che possono fornire assistenza nelle fasi preliminari. Ciò, ovviamente, non è necessario qualora si disponga, o la propria organizzazione disponga, di un'esperienza e di competenze sufficienti.</w:t>
      </w:r>
    </w:p>
    <w:p w14:paraId="40F6E162" w14:textId="5C4AC5B5" w:rsidR="00CC023A" w:rsidRPr="00C42EE6" w:rsidRDefault="002530C0" w:rsidP="006F4930">
      <w:pPr>
        <w:pStyle w:val="BodyText1"/>
      </w:pPr>
      <w:r>
        <w:rPr>
          <w:i/>
        </w:rPr>
        <w:t xml:space="preserve">Avvertenza: l'elenco non è esaustivo, sono molti i consulenti che non sono ancora stati inclusi! </w:t>
      </w:r>
      <w:r>
        <w:t xml:space="preserve"> </w:t>
      </w:r>
    </w:p>
    <w:p w14:paraId="6F7A9714" w14:textId="4BEBD562" w:rsidR="00CC023A" w:rsidRPr="004C0EBD" w:rsidRDefault="001614A7" w:rsidP="006F4930">
      <w:pPr>
        <w:pStyle w:val="BodyText1"/>
      </w:pPr>
      <w:r>
        <w:t xml:space="preserve">Lo studio preliminare può essere interpretato come un piano per fasi: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Studio preliminare</w:t>
      </w:r>
      <w:r>
        <w:rPr>
          <w:color w:val="FFFFFF" w:themeColor="background1"/>
          <w:sz w:val="24"/>
        </w:rPr>
        <w:t xml:space="preserve"> </w:t>
      </w:r>
    </w:p>
    <w:p w14:paraId="5EA8FA8C" w14:textId="1CEA4C6D" w:rsidR="006F4930" w:rsidRPr="006F4930" w:rsidRDefault="0064099B" w:rsidP="00A3595E">
      <w:pPr>
        <w:rPr>
          <w:color w:val="FFFFFF" w:themeColor="background1"/>
          <w:sz w:val="24"/>
          <w:szCs w:val="24"/>
          <w:lang w:val="el-GR"/>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76B559A8">
                <wp:simplePos x="0" y="0"/>
                <wp:positionH relativeFrom="column">
                  <wp:posOffset>812958</wp:posOffset>
                </wp:positionH>
                <wp:positionV relativeFrom="paragraph">
                  <wp:posOffset>159229</wp:posOffset>
                </wp:positionV>
                <wp:extent cx="735650" cy="2352040"/>
                <wp:effectExtent l="0" t="8255" r="0" b="0"/>
                <wp:wrapNone/>
                <wp:docPr id="4" name="Punthaak 3"/>
                <wp:cNvGraphicFramePr/>
                <a:graphic xmlns:a="http://schemas.openxmlformats.org/drawingml/2006/main">
                  <a:graphicData uri="http://schemas.microsoft.com/office/word/2010/wordprocessingShape">
                    <wps:wsp>
                      <wps:cNvSpPr/>
                      <wps:spPr>
                        <a:xfrm rot="5400000">
                          <a:off x="0" y="0"/>
                          <a:ext cx="735650"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96E51D"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64pt;margin-top:12.55pt;width:57.95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OxIoQIAAJwFAAAOAAAAZHJzL2Uyb0RvYy54bWysVFFv2yAQfp+0/4B4X+2kSdtFdaqoVadJ&#10;VVutnfpMMMSegGNA4mS/fgfYTrf2aZofLI67+477+LjLq71WZCecb8FUdHJSUiIMh7o1m4p+f779&#10;dEGJD8zUTIERFT0IT6+WHz9cdnYhptCAqoUjCGL8orMVbUKwi6LwvBGa+ROwwqBTgtMsoOk2Re1Y&#10;h+haFdOyPCs6cLV1wIX3uHuTnXSZ8KUUPDxI6UUgqqJ4tpD+Lv3X8V8sL9li45htWt4fg/3DKTRr&#10;DRYdoW5YYGTr2jdQuuUOPMhwwkEXIGXLReoBu5mUf3Xz1DArUi9IjrcjTf7/wfL73ZN9dEhDZ/3C&#10;4zJ2sZdOEwfI1nxWxi/1hqcl+0TdYaRO7APhuHl+Oj+bI8EcXdPT+bScJW6LjBUxrfPhiwBN4qKi&#10;eME7B5k0trvzIbFXE8M0yoTVPyiRWuFd7Jgik9PJxSzeFeL1wbgaEGOmB9XWt61SyXCb9bVyBFNR&#10;k+V5OR+S/whTJgYbiGkZO+4URyLSKhyUiHHKfBOStDU2O010JI2KsQ7jXJgwya6G1SKXnyf6MvyY&#10;kRpJgBFZYv0RuweI+n+LnWH6+JgqksTH5HxPY5l8guFgOXnMSJXBhDFZtwbce50p7KqvnOMHkjI1&#10;kaU11IdHlyWDKvCW37Z4zXfMh0fm8BZxE6dEeMCfVNBVFPoVJQ24X+/tx3gUOnop6fCFVtT/3DIn&#10;KFFfDT6Bz5MZioyEZMzm51M03GvP+rXHbPU1RDmk06VljA9qWEoH+gWHySpWRRczHGujUIMbjOuQ&#10;JweOIy5WqxSGz9iycGeeLI/gkdWoy+f9C3O213rAV3IPw2vuJZwZPcbGTAOrbQDZhug88tobOAKS&#10;cPpxFWfMaztFHYfq8jcAAAD//wMAUEsDBBQABgAIAAAAIQAUk21U3QAAAAgBAAAPAAAAZHJzL2Rv&#10;d25yZXYueG1sTI/BTsMwEETvSPyDtUjcqFNXlBLiVFWlIMGNQiWObrzEofE6xG4a/p7lBMedGc28&#10;LdaT78SIQ2wDaZjPMhBIdbAtNRreXqubFYiYDFnTBUIN3xhhXV5eFCa34UwvOO5SI7iEYm40uJT6&#10;XMpYO/QmzkKPxN5HGLxJfA6NtIM5c7nvpMqypfSmJV5wpsetw/q4O3kN+3svj6PDr+3j5mn8RNpX&#10;78+V1tdX0+YBRMIp/YXhF5/RoWSmQziRjaLTwNyJ1Vu1AMH24m6uQBw0qOVKgSwL+f+B8gcAAP//&#10;AwBQSwECLQAUAAYACAAAACEAtoM4kv4AAADhAQAAEwAAAAAAAAAAAAAAAAAAAAAAW0NvbnRlbnRf&#10;VHlwZXNdLnhtbFBLAQItABQABgAIAAAAIQA4/SH/1gAAAJQBAAALAAAAAAAAAAAAAAAAAC8BAABf&#10;cmVscy8ucmVsc1BLAQItABQABgAIAAAAIQD04OxIoQIAAJwFAAAOAAAAAAAAAAAAAAAAAC4CAABk&#10;cnMvZTJvRG9jLnhtbFBLAQItABQABgAIAAAAIQAUk21U3QAAAAgBAAAPAAAAAAAAAAAAAAAAAPsE&#10;AABkcnMvZG93bnJldi54bWxQSwUGAAAAAAQABADzAAAABQYAAAAA&#10;" adj="18752" fillcolor="#107054" stroked="f" strokeweight="1pt"/>
            </w:pict>
          </mc:Fallback>
        </mc:AlternateContent>
      </w:r>
    </w:p>
    <w:p w14:paraId="7FE8F1C1" w14:textId="7163CE32" w:rsidR="00CC023A" w:rsidRPr="006F4930" w:rsidRDefault="00CC023A" w:rsidP="00A3595E">
      <w:pPr>
        <w:rPr>
          <w:color w:val="FFFFFF" w:themeColor="background1"/>
        </w:rPr>
      </w:pP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3FE6E3D9">
                      <wp:simplePos x="0" y="0"/>
                      <wp:positionH relativeFrom="column">
                        <wp:posOffset>177800</wp:posOffset>
                      </wp:positionH>
                      <wp:positionV relativeFrom="paragraph">
                        <wp:posOffset>-1097913</wp:posOffset>
                      </wp:positionV>
                      <wp:extent cx="1505583" cy="2351405"/>
                      <wp:effectExtent l="0" t="4128" r="0" b="0"/>
                      <wp:wrapNone/>
                      <wp:docPr id="8" name="Rechthoek 2"/>
                      <wp:cNvGraphicFramePr/>
                      <a:graphic xmlns:a="http://schemas.openxmlformats.org/drawingml/2006/main">
                        <a:graphicData uri="http://schemas.microsoft.com/office/word/2010/wordprocessingShape">
                          <wps:wsp>
                            <wps:cNvSpPr/>
                            <wps:spPr>
                              <a:xfrm rot="5400000">
                                <a:off x="0" y="0"/>
                                <a:ext cx="1505583"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rect w14:anchorId="215ECE80" id="Rechthoek 2" o:spid="_x0000_s1026" style="position:absolute;margin-left:14pt;margin-top:-86.45pt;width:118.55pt;height:185.15pt;rotation:90;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6i6hgIAAG4FAAAOAAAAZHJzL2Uyb0RvYy54bWysVFFv2yAQfp+0/4B4X22n9tZFcaooVadJ&#10;VVutnfpMMMSWMMeAxMl+/Q5w3K7t0zQ/IOC+++7u8x2Ly0OvyF5Y14GuaXGWUyI0h6bT25r+fLz+&#10;dEGJ80w3TIEWNT0KRy+XHz8sBjMXM2hBNcISJNFuPpiatt6beZY53oqeuTMwQqNRgu2Zx6PdZo1l&#10;A7L3Kpvl+edsANsYC1w4h7dXyUiXkV9Kwf2dlE54omqKufm42rhuwpotF2y+tcy0HR/TYP+QRc86&#10;jUEnqivmGdnZ7g1V33ELDqQ/49BnIGXHRawBqynyV9U8tMyIWAuK48wkk/t/tPx2/2DuLcowGDd3&#10;uA1VHKTtiQVUqyrz8MXaMFtyiNIdJ+nEwROOl0WVV9XFOSUcbbPzqijzKoibJbJAaqzz3wT0JGxq&#10;avHfRFq2v3E+QU+QAHeguua6Uyoe7HazVpbsGf7HIi+vqnJk/wumdABrCG6JMdxkz6XFnT8qEXBK&#10;/xCSdA2mP4uZxK4TUxzGudC+SKaWNSKFr6IgiX7yiJVGwsAsMf7EPRKEjn7LnWhGfHAVsWkn56T8&#10;FCZlcEosOU8eMTJoPzn3nQb7XmUKqxojJ/xJpCRNUGkDzfHepibAwXGGX3f4326Y8/fM4ozgJc69&#10;v8NFKhhqCuOOkhbs7/fuAx5bF62UDDhzNXW/dswKStR3jU39tSjLMKTxUFZfZniwLy2blxa969cQ&#10;2iFmF7cB79VpKy30T/g8rEJUNDHNMXZNubenw9qntwAfGC5WqwjDwTTM3+gHwwN5UDX05ePhiVkz&#10;Nq/Hvr+F03yy+aseTtjgqWG18yC72ODPuo5641DHxhkfoPBqvDxH1PMzufwDAAD//wMAUEsDBBQA&#10;BgAIAAAAIQAT7S2C4QAAAAwBAAAPAAAAZHJzL2Rvd25yZXYueG1sTI/BSsQwEIbvgu8QRvAiu0kN&#10;1FqbLiIoiAfXdcXrbBPbsE1SmrRb397xpLcZ5uOf7682i+vZbMZog1eQrQUw45ugrW8V7N8fVwWw&#10;mNBr7IM3Cr5NhE19flZhqcPJv5l5l1pGIT6WqKBLaSg5j01nHMZ1GIyn21cYHSZax5brEU8U7np+&#10;LUTOHVpPHzoczENnmuNucgo+7dWy50+vzmbPx+3HVMy3L8iVurxY7u+AJbOkPxh+9UkdanI6hMnr&#10;yHoFK1nkhNKQiVwCI0TK7AbYgVgpCuB1xf+XqH8AAAD//wMAUEsBAi0AFAAGAAgAAAAhALaDOJL+&#10;AAAA4QEAABMAAAAAAAAAAAAAAAAAAAAAAFtDb250ZW50X1R5cGVzXS54bWxQSwECLQAUAAYACAAA&#10;ACEAOP0h/9YAAACUAQAACwAAAAAAAAAAAAAAAAAvAQAAX3JlbHMvLnJlbHNQSwECLQAUAAYACAAA&#10;ACEAqD+ouoYCAABuBQAADgAAAAAAAAAAAAAAAAAuAgAAZHJzL2Uyb0RvYy54bWxQSwECLQAUAAYA&#10;CAAAACEAE+0tguEAAAAMAQAADwAAAAAAAAAAAAAAAADgBAAAZHJzL2Rvd25yZXYueG1sUEsFBgAA&#10;AAAEAAQA8wAAAO4FAAAAAA==&#10;" fillcolor="#104d54" stroked="f" strokeweight="1pt"/>
                  </w:pict>
                </mc:Fallback>
              </mc:AlternateContent>
            </w:r>
            <w:r>
              <w:rPr>
                <w:rFonts w:ascii="Arial" w:hAnsi="Arial"/>
                <w:color w:val="FFFFFF" w:themeColor="background1"/>
              </w:rPr>
              <w:t xml:space="preserve">1.  Punto della situazione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Elenco dei siti</w:t>
            </w:r>
          </w:p>
          <w:p w14:paraId="565DECB3" w14:textId="74F0992D" w:rsidR="002E4ADD" w:rsidRPr="004C0EBD" w:rsidRDefault="002E4ADD" w:rsidP="0075115D">
            <w:pPr>
              <w:pStyle w:val="BodyText1"/>
              <w:numPr>
                <w:ilvl w:val="0"/>
                <w:numId w:val="12"/>
              </w:numPr>
              <w:ind w:left="492" w:hanging="492"/>
              <w:jc w:val="left"/>
            </w:pPr>
            <w:r>
              <w:t>Misure per tetto/parcella</w:t>
            </w:r>
          </w:p>
          <w:p w14:paraId="33154646" w14:textId="0EDDE547" w:rsidR="002E4ADD" w:rsidRPr="004C0EBD" w:rsidRDefault="00D113C8" w:rsidP="0075115D">
            <w:pPr>
              <w:pStyle w:val="BodyText1"/>
              <w:numPr>
                <w:ilvl w:val="0"/>
                <w:numId w:val="12"/>
              </w:numPr>
              <w:ind w:left="492" w:hanging="492"/>
              <w:jc w:val="left"/>
            </w:pPr>
            <w:r>
              <w:t xml:space="preserve">Foto e programma di manutenzione </w:t>
            </w:r>
          </w:p>
          <w:p w14:paraId="3AABCC4E" w14:textId="2541FE59" w:rsidR="002E4ADD" w:rsidRPr="004C0EBD" w:rsidRDefault="00502061" w:rsidP="0075115D">
            <w:pPr>
              <w:pStyle w:val="BodyText1"/>
              <w:numPr>
                <w:ilvl w:val="0"/>
                <w:numId w:val="12"/>
              </w:numPr>
              <w:ind w:left="492" w:hanging="492"/>
              <w:jc w:val="left"/>
            </w:pPr>
            <w:r>
              <w:t xml:space="preserve">Carico sul tetto, collegamento alla rete e utilizzo </w:t>
            </w:r>
          </w:p>
        </w:tc>
      </w:tr>
      <w:tr w:rsidR="00D113C8" w:rsidRPr="004C0EBD" w14:paraId="6F220FDB" w14:textId="77777777" w:rsidTr="006F4930">
        <w:trPr>
          <w:trHeight w:val="963"/>
        </w:trPr>
        <w:tc>
          <w:tcPr>
            <w:tcW w:w="3660" w:type="dxa"/>
          </w:tcPr>
          <w:p w14:paraId="30103402" w14:textId="1BFC914F" w:rsidR="00D113C8" w:rsidRPr="0064099B" w:rsidRDefault="0064099B" w:rsidP="00A3595E">
            <w:pPr>
              <w:rPr>
                <w:rFonts w:ascii="Arial" w:hAnsi="Arial" w:cs="Arial"/>
                <w:color w:val="FFFFFF" w:themeColor="background1"/>
                <w:lang w:val="el-GR"/>
              </w:rPr>
            </w:pP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460AC007">
                      <wp:simplePos x="0" y="0"/>
                      <wp:positionH relativeFrom="column">
                        <wp:posOffset>369730</wp:posOffset>
                      </wp:positionH>
                      <wp:positionV relativeFrom="paragraph">
                        <wp:posOffset>-272889</wp:posOffset>
                      </wp:positionV>
                      <wp:extent cx="1124265" cy="2335848"/>
                      <wp:effectExtent l="3810" t="0" r="3810" b="3810"/>
                      <wp:wrapNone/>
                      <wp:docPr id="5" name="Punthaak 4"/>
                      <wp:cNvGraphicFramePr/>
                      <a:graphic xmlns:a="http://schemas.openxmlformats.org/drawingml/2006/main">
                        <a:graphicData uri="http://schemas.microsoft.com/office/word/2010/wordprocessingShape">
                          <wps:wsp>
                            <wps:cNvSpPr/>
                            <wps:spPr>
                              <a:xfrm rot="5400000">
                                <a:off x="0" y="0"/>
                                <a:ext cx="1124265" cy="233584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D55237B" id="Punthaak 4" o:spid="_x0000_s1026" type="#_x0000_t55" style="position:absolute;margin-left:29.1pt;margin-top:-21.5pt;width:88.5pt;height:183.95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jUpAIAAJ0FAAAOAAAAZHJzL2Uyb0RvYy54bWysVMFu2zAMvQ/YPwi6r45dp0uDOkXQosOA&#10;og3WDj0rshR7kEVNUuJkXz9Kcpxu7WmYD4Yoko/kE8mr632nyE5Y14KuaH42oURoDnWrNxX9/nz3&#10;aUaJ80zXTIEWFT0IR68XHz9c9WYuCmhA1cISBNFu3puKNt6beZY53oiOuTMwQqNSgu2YR9Fustqy&#10;HtE7lRWTyUXWg62NBS6cw9vbpKSLiC+l4P5RSic8URXF3Hz82/hfh3+2uGLzjWWmafmQBvuHLDrW&#10;agw6Qt0yz8jWtm+gupZbcCD9GYcuAylbLmINWE0++auap4YZEWtBcpwZaXL/D5Y/7J7MyiINvXFz&#10;h8dQxV7ajlhAtqblJHyxNsyW7CN1h5E6sfeE42WeF2VxMaWEo644P5/OylkgN0tgAdRY578I6Eg4&#10;VBRfeGchscZ2985H+mqiWYd9wuoflMhO4WPsmCL5eT4rB7zBGJGPiMHTgWrru1apKNjN+kZZgq6Y&#10;2sUsv4wvjS5/mCkdjDUEt5RruMlOTMSTPygR7JT+JiRpa6y2iHzEJhVjHMa50D5PqobVIoWfRv4S&#10;/OgRiYmAAVli/BF7AAgD8BY7wQz2wVXEHh+d00ONYVIGx8SS8+gRI4P2o3PXarDvVaawqiFysj+S&#10;lKgJLK2hPqxs6hmcM2f4XYvPfM+cXzGLr4iXuCb8I/6kgr6iMJwoacD+eu8+2GOno5aSHke0ou7n&#10;lllBifqqcQYu87IMMx2Fcvq5QMG+1qxfa/S2u4HQDjG7eAz2Xh2P0kL3gttkGaKiimmOsbFRvT0K&#10;Nz6tDtxHXCyX0Qzn2DB/r58MD+CB1dCXz/sXZs3Q6x7H5AGO48zmsYUToyfb4KlhufUgWx+UJ14H&#10;AXdAbJxhX4Ul81qOVqetuvgNAAD//wMAUEsDBBQABgAIAAAAIQBqe1A+4gAAAAoBAAAPAAAAZHJz&#10;L2Rvd25yZXYueG1sTI9RS8MwFIXfBf9DuIJvW2prp9bejikMEQaybgi+ZU1swpqb2mRd/ffGJ328&#10;nI9zvlsuJ9uxUQ3eOEK4mSfAFDVOGmoR9rv17B6YD4Kk6BwphG/lYVldXpSikO5MWzXWoWWxhHwh&#10;EHQIfcG5b7Syws9dryhmn26wIsRzaLkcxDmW246nSbLgVhiKC1r06lmr5lifLMJqfHpff7WbVzL2&#10;9qN+y7Yv5qgRr6+m1SOwoKbwB8OvflSHKjod3ImkZx3CLLvLIoqQpzmwCGRZsgB2QEjThxx4VfL/&#10;L1Q/AAAA//8DAFBLAQItABQABgAIAAAAIQC2gziS/gAAAOEBAAATAAAAAAAAAAAAAAAAAAAAAABb&#10;Q29udGVudF9UeXBlc10ueG1sUEsBAi0AFAAGAAgAAAAhADj9If/WAAAAlAEAAAsAAAAAAAAAAAAA&#10;AAAALwEAAF9yZWxzLy5yZWxzUEsBAi0AFAAGAAgAAAAhAH+ieNSkAgAAnQUAAA4AAAAAAAAAAAAA&#10;AAAALgIAAGRycy9lMm9Eb2MueG1sUEsBAi0AFAAGAAgAAAAhAGp7UD7iAAAACgEAAA8AAAAAAAAA&#10;AAAAAAAA/gQAAGRycy9kb3ducmV2LnhtbFBLBQYAAAAABAAEAPMAAAANBgAAAAA=&#10;" adj="18752" fillcolor="#168190" stroked="f" strokeweight="1pt"/>
                  </w:pict>
                </mc:Fallback>
              </mc:AlternateContent>
            </w:r>
            <w:r w:rsidR="006F4930">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10B2F592">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2075FDF4"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sidR="006F4930">
              <w:rPr>
                <w:rFonts w:ascii="Arial" w:hAnsi="Arial"/>
                <w:color w:val="FFFFFF" w:themeColor="background1"/>
              </w:rPr>
              <w:t>2.  Ingegneria orientativa</w:t>
            </w:r>
          </w:p>
        </w:tc>
        <w:tc>
          <w:tcPr>
            <w:tcW w:w="5450" w:type="dxa"/>
          </w:tcPr>
          <w:p w14:paraId="2ADF59CE" w14:textId="77777777" w:rsidR="00BC1A03" w:rsidRPr="004C0EBD" w:rsidRDefault="00BC1A03" w:rsidP="0075115D">
            <w:pPr>
              <w:pStyle w:val="BodyText1"/>
              <w:numPr>
                <w:ilvl w:val="0"/>
                <w:numId w:val="12"/>
              </w:numPr>
              <w:ind w:left="492" w:hanging="492"/>
              <w:jc w:val="left"/>
            </w:pPr>
            <w:r>
              <w:t>Numero di pannelli e capacità per sito</w:t>
            </w:r>
          </w:p>
          <w:p w14:paraId="25BF810F" w14:textId="659B8210" w:rsidR="00021D7E" w:rsidRPr="004C0EBD" w:rsidRDefault="00502061" w:rsidP="0075115D">
            <w:pPr>
              <w:pStyle w:val="BodyText1"/>
              <w:numPr>
                <w:ilvl w:val="0"/>
                <w:numId w:val="12"/>
              </w:numPr>
              <w:ind w:left="492" w:hanging="492"/>
              <w:jc w:val="left"/>
            </w:pPr>
            <w:r>
              <w:t>Progetto di business case</w:t>
            </w:r>
          </w:p>
          <w:p w14:paraId="5D5A6002" w14:textId="72863708" w:rsidR="00502061" w:rsidRPr="004C0EBD" w:rsidRDefault="00502061" w:rsidP="0075115D">
            <w:pPr>
              <w:pStyle w:val="BodyText1"/>
              <w:numPr>
                <w:ilvl w:val="0"/>
                <w:numId w:val="12"/>
              </w:numPr>
              <w:ind w:left="492" w:hanging="492"/>
              <w:jc w:val="left"/>
            </w:pPr>
            <w:r>
              <w:t>Specifiche orientative</w:t>
            </w:r>
          </w:p>
        </w:tc>
      </w:tr>
      <w:tr w:rsidR="00D113C8" w:rsidRPr="004C0EBD" w14:paraId="50D5279D" w14:textId="77777777" w:rsidTr="006F4930">
        <w:trPr>
          <w:trHeight w:val="1234"/>
        </w:trPr>
        <w:tc>
          <w:tcPr>
            <w:tcW w:w="3660" w:type="dxa"/>
          </w:tcPr>
          <w:p w14:paraId="08C72A51" w14:textId="27D17D21" w:rsidR="00D113C8" w:rsidRPr="00C0271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393DD874">
                      <wp:simplePos x="0" y="0"/>
                      <wp:positionH relativeFrom="column">
                        <wp:posOffset>353535</wp:posOffset>
                      </wp:positionH>
                      <wp:positionV relativeFrom="paragraph">
                        <wp:posOffset>846614</wp:posOffset>
                      </wp:positionV>
                      <wp:extent cx="1149667" cy="2353239"/>
                      <wp:effectExtent l="7937" t="0" r="1588" b="1587"/>
                      <wp:wrapNone/>
                      <wp:docPr id="9" name="Punthaak 7"/>
                      <wp:cNvGraphicFramePr/>
                      <a:graphic xmlns:a="http://schemas.openxmlformats.org/drawingml/2006/main">
                        <a:graphicData uri="http://schemas.microsoft.com/office/word/2010/wordprocessingShape">
                          <wps:wsp>
                            <wps:cNvSpPr/>
                            <wps:spPr>
                              <a:xfrm rot="5400000">
                                <a:off x="0" y="0"/>
                                <a:ext cx="1149667"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51E6868" id="Punthaak 7" o:spid="_x0000_s1026" type="#_x0000_t55" style="position:absolute;margin-left:27.85pt;margin-top:66.65pt;width:90.5pt;height:185.3pt;rotation:90;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6gCpQIAAJ0FAAAOAAAAZHJzL2Uyb0RvYy54bWysVE1v2zAMvQ/YfxB0Xx3nq21QpwhSdBhQ&#10;tEXboWdFlhIPkqhJSpzs14+SHKdbexrmgyGK5CP5RPLqeq8V2QnnGzAVLc8GlAjDoW7MuqLfX26/&#10;XFDiAzM1U2BERQ/C0+v5509XrZ2JIWxA1cIRBDF+1tqKbkKws6LwfCM082dghUGlBKdZQNGti9qx&#10;FtG1KoaDwbRowdXWARfe4+1NVtJ5wpdS8PAgpReBqIpibiH9Xfqv4r+YX7HZ2jG7aXiXBvuHLDRr&#10;DAbtoW5YYGTrmndQuuEOPMhwxkEXIGXDRaoBqykHf1XzvGFWpFqQHG97mvz/g+X3u2f76JCG1vqZ&#10;x2OsYi+dJg6Qrcl4EL9UG2ZL9om6Q0+d2AfC8bIsx5fT6TklHHXD0WQ0HF1GcosMFkGt8+GrAE3i&#10;oaL4wjsHmTW2u/Mh0VcTwzT2Cat/UCK1wsfYMUXKwcXFeYfXGSPyETF6elBNfdsolQS3Xi2VI+ha&#10;0dHNcrScds5/mCkTjQ1Et5xrvClOTKRTOCgR7ZR5EpI0NVY7THykJhV9HMa5MKHMqg2rRQ4/Sfxl&#10;+N4jEZMAI7LE+D12BxAH4D12hunso6tIPd4754fqw+QMjoll594jRQYTemfdGHAfVaawqi5ytj+S&#10;lKmJLK2gPjy63DM4Z97y2waf+Y758MgcviJe4poID/iTCtqKQneiZAPu10f30R47HbWUtDiiFfU/&#10;t8wJStQ3gzNwWY7HcaaTMJ6cD1FwbzWrtxqz1UvAdihTdukY7YM6HqUD/YrbZBGjoooZjrGxUYM7&#10;CsuQVwfuIy4Wi2SGc2xZuDPPlkfwyGrsy5f9K3O26/WAY3IPx3Fms9TCmdGTbfQ0sNgGkE2IyhOv&#10;nYA7IDVOt6/iknkrJ6vTVp3/BgAA//8DAFBLAwQUAAYACAAAACEAN2/7Dd4AAAALAQAADwAAAGRy&#10;cy9kb3ducmV2LnhtbEyPTU/CQBCG7yb8h82QeIPtBxis3RIw0XgFTPS47Y5tpTvbdJdS/73jSW4z&#10;eZ+8H/l2sp0YcfCtIwXxMgKBVDnTUq3g/fSy2IDwQZPRnSNU8IMetsXsLteZcVc64HgMtWAT8plW&#10;0ITQZ1L6qkGr/dL1SKx9ucHqwO9QSzPoK5vbTiZR9CCtbokTGt3jc4PV+XixnOvOh7U+7d3KfL55&#10;/z1SaV8/lLqfT7snEAGn8A/DX32uDgV3Kt2FjBedgkX6GDOqIEk2fDCRpvEaRKlgFbEki1zebih+&#10;AQAA//8DAFBLAQItABQABgAIAAAAIQC2gziS/gAAAOEBAAATAAAAAAAAAAAAAAAAAAAAAABbQ29u&#10;dGVudF9UeXBlc10ueG1sUEsBAi0AFAAGAAgAAAAhADj9If/WAAAAlAEAAAsAAAAAAAAAAAAAAAAA&#10;LwEAAF9yZWxzLy5yZWxzUEsBAi0AFAAGAAgAAAAhADv3qAKlAgAAnQUAAA4AAAAAAAAAAAAAAAAA&#10;LgIAAGRycy9lMm9Eb2MueG1sUEsBAi0AFAAGAAgAAAAhADdv+w3eAAAACwEAAA8AAAAAAAAAAAAA&#10;AAAA/wQAAGRycy9kb3ducmV2LnhtbFBLBQYAAAAABAAEAPMAAAAKBgAAAAA=&#10;" adj="19248" fillcolor="#3dc3c6" stroked="f" strokeweight="1pt"/>
                  </w:pict>
                </mc:Fallback>
              </mc:AlternateContent>
            </w:r>
            <w:r>
              <w:rPr>
                <w:rFonts w:ascii="Arial" w:hAnsi="Arial"/>
                <w:color w:val="FFFFFF" w:themeColor="background1"/>
              </w:rPr>
              <w:t>3.  Titolarità e</w:t>
            </w:r>
            <w:r w:rsidR="0064099B" w:rsidRPr="0064099B">
              <w:rPr>
                <w:rFonts w:ascii="Arial" w:hAnsi="Arial"/>
                <w:color w:val="FFFFFF" w:themeColor="background1"/>
              </w:rPr>
              <w:t xml:space="preserve"> </w:t>
            </w:r>
            <w:r>
              <w:rPr>
                <w:rFonts w:ascii="Arial" w:hAnsi="Arial"/>
                <w:color w:val="FFFFFF" w:themeColor="background1"/>
              </w:rPr>
              <w:t xml:space="preserve">processo </w:t>
            </w:r>
            <w:r w:rsidR="0064099B" w:rsidRPr="0064099B">
              <w:rPr>
                <w:rFonts w:ascii="Arial" w:hAnsi="Arial"/>
                <w:color w:val="FFFFFF" w:themeColor="background1"/>
              </w:rPr>
              <w:br/>
            </w:r>
            <w:r>
              <w:rPr>
                <w:rFonts w:ascii="Arial" w:hAnsi="Arial"/>
                <w:color w:val="FFFFFF" w:themeColor="background1"/>
              </w:rPr>
              <w:t xml:space="preserve">di selezione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Concessione/leasing?  </w:t>
            </w:r>
          </w:p>
          <w:p w14:paraId="4DC14438" w14:textId="4DABEAEB" w:rsidR="00BC1A03" w:rsidRPr="004C0EBD" w:rsidRDefault="00BC1A03" w:rsidP="0075115D">
            <w:pPr>
              <w:pStyle w:val="BodyText1"/>
              <w:numPr>
                <w:ilvl w:val="0"/>
                <w:numId w:val="12"/>
              </w:numPr>
              <w:ind w:left="492" w:hanging="492"/>
              <w:jc w:val="left"/>
            </w:pPr>
            <w:r>
              <w:t xml:space="preserve">Aggiudicazione diretta? </w:t>
            </w:r>
          </w:p>
          <w:p w14:paraId="65783D51" w14:textId="7165A80B" w:rsidR="00D113C8" w:rsidRPr="004C0EBD" w:rsidRDefault="00BC1A03" w:rsidP="0075115D">
            <w:pPr>
              <w:pStyle w:val="BodyText1"/>
              <w:numPr>
                <w:ilvl w:val="0"/>
                <w:numId w:val="12"/>
              </w:numPr>
              <w:ind w:left="492" w:hanging="492"/>
              <w:jc w:val="left"/>
            </w:pPr>
            <w:r>
              <w:t>Bando di gara nazionale o europeo?</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00D6239C">
                      <wp:simplePos x="0" y="0"/>
                      <wp:positionH relativeFrom="column">
                        <wp:posOffset>421640</wp:posOffset>
                      </wp:positionH>
                      <wp:positionV relativeFrom="paragraph">
                        <wp:posOffset>923926</wp:posOffset>
                      </wp:positionV>
                      <wp:extent cx="1003933" cy="2353239"/>
                      <wp:effectExtent l="0" t="7938" r="0" b="0"/>
                      <wp:wrapNone/>
                      <wp:docPr id="10" name="Punthaak 1"/>
                      <wp:cNvGraphicFramePr/>
                      <a:graphic xmlns:a="http://schemas.openxmlformats.org/drawingml/2006/main">
                        <a:graphicData uri="http://schemas.microsoft.com/office/word/2010/wordprocessingShape">
                          <wps:wsp>
                            <wps:cNvSpPr/>
                            <wps:spPr>
                              <a:xfrm rot="5400000">
                                <a:off x="0" y="0"/>
                                <a:ext cx="1003933"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2066E90F" id="Punthaak 1" o:spid="_x0000_s1026" type="#_x0000_t55" style="position:absolute;margin-left:33.2pt;margin-top:72.75pt;width:79.05pt;height:185.3pt;rotation:90;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JnvpAIAAJ0FAAAOAAAAZHJzL2Uyb0RvYy54bWysVE1v2zAMvQ/YfxB0X/2RZG2DOkWQosOA&#10;oi3WDj0rshR7kEVNUuJkv36U5Djd2tMwHwxRJB/JJ5JX1/tOkZ2wrgVd0eIsp0RoDnWrNxX9/nz7&#10;6YIS55mumQItKnoQjl4vPn646s1clNCAqoUlCKLdvDcVbbw38yxzvBEdc2dghEalBNsxj6LdZLVl&#10;PaJ3Kivz/HPWg62NBS6cw9ubpKSLiC+l4P5BSic8URXF3Hz82/hfh3+2uGLzjWWmafmQBvuHLDrW&#10;agw6Qt0wz8jWtm+gupZbcCD9GYcuAylbLmINWE2R/1XNU8OMiLUgOc6MNLn/B8vvd0/m0SINvXFz&#10;h8dQxV7ajlhAtmbTPHyxNsyW7CN1h5E6sfeE42WR55PLyYQSjrpyMpuUk8tAbpbAAqixzn8R0JFw&#10;qCi+8M5CYo3t7pyP9NVEsw77hNU/KJGdwsfYMUWK/OLifMAbjBH5iBg8Hai2vm2VioLdrFfKEnTF&#10;TKc35WoyOP9hpnQw1hDcUq7hJjsxEU/+oESwU/qbkKStsdoy8hGbVIxxGOdC+yKpGlaLFH4W+Uvw&#10;o0ckJgIGZInxR+wBIAzAW+wEM9gHVxF7fHRODzWGSRkcE0vOo0eMDNqPzl2rwb5XmcKqhsjJ/khS&#10;oiawtIb68GhTz+CcOcNvW3zmO+b8I7P4iniJa8I/4E8q6CsKw4mSBuyv9+6DPXY6ainpcUQr6n5u&#10;mRWUqK8aZ+CymE7DTEdhOjsvUbCvNevXGr3tVoDtUMTs4jHYe3U8SgvdC26TZYiKKqY5xsZG9fYo&#10;rHxaHbiPuFguoxnOsWH+Tj8ZHsADq6Evn/cvzJqh1z2OyT0cx5nNYwsnRk+2wVPDcutBtj4oT7wO&#10;Au6A2DjDvgpL5rUcrU5bdfEbAAD//wMAUEsDBBQABgAIAAAAIQDff8Z44AAAAAsBAAAPAAAAZHJz&#10;L2Rvd25yZXYueG1sTI9LT8MwEITvSPwHa5G4tXab8gpxqqpSD4iHRKF3N17iiHgdxU6b/HuWExxn&#10;ZzTzbbEefStO2McmkIbFXIFAqoJtqNbw+bGb3YOIyZA1bSDUMGGEdXl5UZjchjO942mfasElFHOj&#10;waXU5VLGyqE3cR46JPa+Qu9NYtnX0vbmzOW+lUulbqU3DfGCMx1uHVbf+8Fr2JDzw+H57TW9qDAd&#10;tqvpye0mra+vxs0jiIRj+gvDLz6jQ8lMxzCQjaLVMMseGD1pWN4s7kBwIssUX44aVootWRby/w/l&#10;DwAAAP//AwBQSwECLQAUAAYACAAAACEAtoM4kv4AAADhAQAAEwAAAAAAAAAAAAAAAAAAAAAAW0Nv&#10;bnRlbnRfVHlwZXNdLnhtbFBLAQItABQABgAIAAAAIQA4/SH/1gAAAJQBAAALAAAAAAAAAAAAAAAA&#10;AC8BAABfcmVscy8ucmVsc1BLAQItABQABgAIAAAAIQDgMJnvpAIAAJ0FAAAOAAAAAAAAAAAAAAAA&#10;AC4CAABkcnMvZTJvRG9jLnhtbFBLAQItABQABgAIAAAAIQDff8Z44AAAAAsBAAAPAAAAAAAAAAAA&#10;AAAAAP4EAABkcnMvZG93bnJldi54bWxQSwUGAAAAAAQABADzAAAACwYAAAAA&#10;" adj="19248" fillcolor="#04d2c3" stroked="f" strokeweight="1pt"/>
                  </w:pict>
                </mc:Fallback>
              </mc:AlternateContent>
            </w:r>
            <w:r>
              <w:rPr>
                <w:rFonts w:ascii="Arial" w:hAnsi="Arial"/>
                <w:color w:val="FFFFFF" w:themeColor="background1"/>
              </w:rPr>
              <w:t>4.  Autorizzazioni e</w:t>
            </w:r>
            <w:r>
              <w:rPr>
                <w:rFonts w:ascii="Arial" w:hAnsi="Arial"/>
                <w:color w:val="FFFFFF" w:themeColor="background1"/>
              </w:rPr>
              <w:br/>
              <w:t xml:space="preserve">collegamento alla rete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Sono necessarie autorizzazioni ambientali? </w:t>
            </w:r>
          </w:p>
          <w:p w14:paraId="275DFA18" w14:textId="6574EB53" w:rsidR="00144E8B" w:rsidRPr="004C0EBD" w:rsidRDefault="00144E8B" w:rsidP="0075115D">
            <w:pPr>
              <w:pStyle w:val="BodyText1"/>
              <w:numPr>
                <w:ilvl w:val="0"/>
                <w:numId w:val="12"/>
              </w:numPr>
              <w:ind w:left="492" w:hanging="492"/>
              <w:jc w:val="left"/>
            </w:pPr>
            <w:r>
              <w:t xml:space="preserve">Aumentare il collegamento alla rete? </w:t>
            </w:r>
          </w:p>
          <w:p w14:paraId="726FDFE5" w14:textId="7A2773DA" w:rsidR="00681E9B" w:rsidRPr="004C0EBD" w:rsidRDefault="00BC1A03" w:rsidP="0075115D">
            <w:pPr>
              <w:pStyle w:val="BodyText1"/>
              <w:numPr>
                <w:ilvl w:val="0"/>
                <w:numId w:val="12"/>
              </w:numPr>
              <w:ind w:left="492" w:hanging="492"/>
              <w:jc w:val="left"/>
            </w:pPr>
            <w:r>
              <w:t xml:space="preserve">Punti di ricarica? Sistema di gestione dell'energia [EMS - </w:t>
            </w:r>
            <w:r>
              <w:rPr>
                <w:i/>
                <w:iCs/>
              </w:rPr>
              <w:t>Energy Management System</w:t>
            </w:r>
            <w:r>
              <w:t>] o batterie?</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3E420DBA">
                      <wp:simplePos x="0" y="0"/>
                      <wp:positionH relativeFrom="column">
                        <wp:posOffset>510064</wp:posOffset>
                      </wp:positionH>
                      <wp:positionV relativeFrom="paragraph">
                        <wp:posOffset>701198</wp:posOffset>
                      </wp:positionV>
                      <wp:extent cx="839152" cy="2354570"/>
                      <wp:effectExtent l="4445" t="0" r="3810" b="3810"/>
                      <wp:wrapNone/>
                      <wp:docPr id="7" name="Punthaak 6"/>
                      <wp:cNvGraphicFramePr/>
                      <a:graphic xmlns:a="http://schemas.openxmlformats.org/drawingml/2006/main">
                        <a:graphicData uri="http://schemas.microsoft.com/office/word/2010/wordprocessingShape">
                          <wps:wsp>
                            <wps:cNvSpPr/>
                            <wps:spPr>
                              <a:xfrm rot="5400000">
                                <a:off x="0" y="0"/>
                                <a:ext cx="839152"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52B97AC3" id="Punthaak 6" o:spid="_x0000_s1026" type="#_x0000_t55" style="position:absolute;margin-left:40.15pt;margin-top:55.2pt;width:66.05pt;height:185.4pt;rotation:90;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U70oQIAAJwFAAAOAAAAZHJzL2Uyb0RvYy54bWysVMFu2zAMvQ/YPwi6r47TZEuDOkXQrMOA&#10;oi3WDj0rshR7kERNUuJkXz9Kcpxu7WmYD4Yoko/kE8nLq71WZCecb8FUtDwbUSIMh7o1m4p+f7r5&#10;MKPEB2ZqpsCIih6Ep1eL9+8uOzsXY2hA1cIRBDF+3tmKNiHYeVF43gjN/BlYYVApwWkWUHSbonas&#10;Q3StivFo9LHowNXWARfe4+0qK+ki4UspeLiX0otAVEUxt5D+Lv3X8V8sLtl845htWt6nwf4hC81a&#10;g0EHqBULjGxd+wpKt9yBBxnOOOgCpGy5SDVgNeXor2oeG2ZFqgXJ8Xagyf8/WH63e7QPDmnorJ97&#10;PMYq9tJp4gDZmk5G8Uu1YbZkn6g7DNSJfSAcL2fnF+V0TAlH1fh8Opl+StwWGStiWufDFwGaxENF&#10;8YF3DjJpbHfrQ2KvJoZpbBNW/6BEaoVvsWOKlOflbBLfCvF6YzwdEaOnB9XWN61SSXCb9bVyBF2x&#10;gunn1WrZO/9hpkw0NhDdMna8KU5EpFM4KBHtlPkmJGlrLHac6Eg9KoY4jHNhQplVDatFHz7Rl+EH&#10;j1RIAozIEuMP2D1A7P/X2Bmmt4+uIrX44JzfaQiTMzgmlp0HjxQZTBicdWvAvVWZwqr6yNn+SFKm&#10;JrK0hvrw4HLL4Jh5y29afOZb5sMDc/iKeIlbItzjTyroKgr9iZIG3K+37qM9NjpqKelwQivqf26Z&#10;E5SorwZH4KKcTOJIJwEbboyCe6lZv9SYrb4GbIcyZZeO0T6o41E60M+4TJYxKqqY4RgbGzW4o3Ad&#10;8ubAdcTFcpnMcIwtC7fm0fIIHlmNffm0f2bO9r0ecEru4DjNfQtnRk+20dPAchtAtiEqT7z2Aq6A&#10;1Dj9uoo75qWcrE5LdfEbAAD//wMAUEsDBBQABgAIAAAAIQDsQo6Z4QAAAAsBAAAPAAAAZHJzL2Rv&#10;d25yZXYueG1sTI/BTsMwEETvSPyDtUjcWqeJVNoQpwpI9IAEqKUVVzc2icFeR7bbpn/PcoLbjHY0&#10;O69ajc6ykw7ReBQwm2bANLZeGewE7N6fJgtgMUlU0nrUAi46wqq+vqpkqfwZN/q0TR2jEoylFNCn&#10;NJScx7bXTsapHzTS7dMHJxPZ0HEV5JnKneV5ls25kwbpQy8H/djr9nt7dAKaN7tYP7xcuo9mzcPz&#10;5svs/asR4vZmbO6BJT2mvzD8zqfpUNOmgz+iiswKmBRLYkkC8nx5B4wSRTEjmAOJOQleV/w/Q/0D&#10;AAD//wMAUEsBAi0AFAAGAAgAAAAhALaDOJL+AAAA4QEAABMAAAAAAAAAAAAAAAAAAAAAAFtDb250&#10;ZW50X1R5cGVzXS54bWxQSwECLQAUAAYACAAAACEAOP0h/9YAAACUAQAACwAAAAAAAAAAAAAAAAAv&#10;AQAAX3JlbHMvLnJlbHNQSwECLQAUAAYACAAAACEA4mVO9KECAACcBQAADgAAAAAAAAAAAAAAAAAu&#10;AgAAZHJzL2Uyb0RvYy54bWxQSwECLQAUAAYACAAAACEA7EKOme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Fatturato, sovvenzioni, finanziamenti </w:t>
            </w:r>
            <w:r>
              <w:rPr>
                <w:rFonts w:ascii="Arial" w:hAnsi="Arial"/>
                <w:color w:val="FFFFFF" w:themeColor="background1"/>
              </w:rPr>
              <w:br/>
              <w:t>e assicurazioni</w:t>
            </w:r>
          </w:p>
        </w:tc>
        <w:tc>
          <w:tcPr>
            <w:tcW w:w="5450" w:type="dxa"/>
          </w:tcPr>
          <w:p w14:paraId="7E016335" w14:textId="58ED28F0" w:rsidR="00CE1B39" w:rsidRPr="004C0EBD" w:rsidRDefault="00F16ACA" w:rsidP="0075115D">
            <w:pPr>
              <w:pStyle w:val="BodyText1"/>
              <w:numPr>
                <w:ilvl w:val="0"/>
                <w:numId w:val="12"/>
              </w:numPr>
              <w:ind w:left="492" w:hanging="492"/>
              <w:jc w:val="left"/>
            </w:pPr>
            <w:r>
              <w:t>Vendita di energia elettrica; SDE++ [</w:t>
            </w:r>
            <w:r w:rsidR="000A782D">
              <w:t>regime</w:t>
            </w:r>
            <w:r>
              <w:t xml:space="preserve"> di incentivi per la produzione di energia sostenibile e la transizione climatica] o altre sovvenzioni? </w:t>
            </w:r>
          </w:p>
          <w:p w14:paraId="1C6D623F" w14:textId="77777777" w:rsidR="005A6695" w:rsidRPr="004C0EBD" w:rsidRDefault="005A6695" w:rsidP="0075115D">
            <w:pPr>
              <w:pStyle w:val="BodyText1"/>
              <w:numPr>
                <w:ilvl w:val="0"/>
                <w:numId w:val="12"/>
              </w:numPr>
              <w:ind w:left="492" w:hanging="492"/>
              <w:jc w:val="left"/>
            </w:pPr>
            <w:r>
              <w:t xml:space="preserve">Finanziamenti (interni + esterni)? </w:t>
            </w:r>
          </w:p>
          <w:p w14:paraId="65A5BE93" w14:textId="6C515738" w:rsidR="005A6695" w:rsidRPr="004C0EBD" w:rsidRDefault="005A6695" w:rsidP="0075115D">
            <w:pPr>
              <w:pStyle w:val="BodyText1"/>
              <w:numPr>
                <w:ilvl w:val="0"/>
                <w:numId w:val="12"/>
              </w:numPr>
              <w:ind w:left="492" w:hanging="492"/>
              <w:jc w:val="left"/>
            </w:pPr>
            <w:r>
              <w:t>Assicurazione</w:t>
            </w:r>
          </w:p>
        </w:tc>
      </w:tr>
      <w:tr w:rsidR="00E87C9F" w:rsidRPr="004C0EBD" w14:paraId="1514DD95" w14:textId="77777777" w:rsidTr="006F4930">
        <w:trPr>
          <w:trHeight w:val="953"/>
        </w:trPr>
        <w:tc>
          <w:tcPr>
            <w:tcW w:w="3660" w:type="dxa"/>
          </w:tcPr>
          <w:p w14:paraId="48DADDE2" w14:textId="310B0587" w:rsidR="00E87C9F" w:rsidRPr="006F4930" w:rsidRDefault="00D01A67" w:rsidP="00A3595E">
            <w:pPr>
              <w:rPr>
                <w:rFonts w:ascii="Arial" w:hAnsi="Arial" w:cs="Arial"/>
                <w:color w:val="FFFFFF" w:themeColor="background1"/>
              </w:rPr>
            </w:pPr>
            <w:r>
              <w:rPr>
                <w:rFonts w:ascii="Arial" w:hAnsi="Arial"/>
                <w:color w:val="FFFFFF" w:themeColor="background1"/>
              </w:rPr>
              <w:t xml:space="preserve">6. Aspetti relativi alla </w:t>
            </w:r>
            <w:r w:rsidR="0064099B">
              <w:rPr>
                <w:rFonts w:ascii="Arial" w:hAnsi="Arial"/>
                <w:color w:val="FFFFFF" w:themeColor="background1"/>
                <w:lang w:val="el-GR"/>
              </w:rPr>
              <w:br/>
            </w:r>
            <w:r>
              <w:rPr>
                <w:rFonts w:ascii="Arial" w:hAnsi="Arial"/>
                <w:color w:val="FFFFFF" w:themeColor="background1"/>
              </w:rPr>
              <w:t xml:space="preserve">sostenibilità </w:t>
            </w:r>
          </w:p>
        </w:tc>
        <w:tc>
          <w:tcPr>
            <w:tcW w:w="5450" w:type="dxa"/>
          </w:tcPr>
          <w:p w14:paraId="2AFC672C" w14:textId="5561B16E" w:rsidR="00B63BBC" w:rsidRPr="004C0EBD" w:rsidRDefault="00FA5774" w:rsidP="0075115D">
            <w:pPr>
              <w:pStyle w:val="BodyText1"/>
              <w:numPr>
                <w:ilvl w:val="0"/>
                <w:numId w:val="12"/>
              </w:numPr>
              <w:ind w:left="492" w:hanging="492"/>
              <w:jc w:val="left"/>
            </w:pPr>
            <w:r>
              <w:t>Aspetti relativi alla sostenibilità dei pannelli solari</w:t>
            </w:r>
          </w:p>
          <w:p w14:paraId="52D6FAC6" w14:textId="77777777" w:rsidR="00F7042B" w:rsidRPr="004C0EBD" w:rsidRDefault="00FA5774" w:rsidP="0075115D">
            <w:pPr>
              <w:pStyle w:val="BodyText1"/>
              <w:numPr>
                <w:ilvl w:val="0"/>
                <w:numId w:val="12"/>
              </w:numPr>
              <w:ind w:left="492" w:hanging="492"/>
              <w:jc w:val="left"/>
            </w:pPr>
            <w:r>
              <w:t xml:space="preserve">Questioni ambientali </w:t>
            </w:r>
          </w:p>
          <w:p w14:paraId="0F7EF8A0" w14:textId="58E18293" w:rsidR="00C677D9" w:rsidRPr="004C0EBD" w:rsidRDefault="00F7042B" w:rsidP="0075115D">
            <w:pPr>
              <w:pStyle w:val="BodyText1"/>
              <w:numPr>
                <w:ilvl w:val="0"/>
                <w:numId w:val="12"/>
              </w:numPr>
              <w:ind w:left="492" w:hanging="492"/>
              <w:jc w:val="left"/>
            </w:pPr>
            <w:r>
              <w:t xml:space="preserve">Condizioni di lavoro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Esecuzione e consegna</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Scope 12 </w:t>
            </w:r>
          </w:p>
          <w:p w14:paraId="68836B08" w14:textId="61E71DA6" w:rsidR="004E647C" w:rsidRPr="004C0EBD" w:rsidRDefault="004E647C" w:rsidP="0075115D">
            <w:pPr>
              <w:pStyle w:val="BodyText1"/>
              <w:numPr>
                <w:ilvl w:val="0"/>
                <w:numId w:val="12"/>
              </w:numPr>
              <w:ind w:left="492" w:hanging="492"/>
              <w:jc w:val="left"/>
            </w:pPr>
            <w:r>
              <w:t>Altri collaudi e ispezioni</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Manutenzione e controllo</w:t>
            </w:r>
          </w:p>
        </w:tc>
        <w:tc>
          <w:tcPr>
            <w:tcW w:w="5450" w:type="dxa"/>
          </w:tcPr>
          <w:p w14:paraId="46556BA3" w14:textId="77777777" w:rsidR="00E44898" w:rsidRPr="004C0EBD" w:rsidRDefault="00D01A67" w:rsidP="0075115D">
            <w:pPr>
              <w:pStyle w:val="BodyText1"/>
              <w:numPr>
                <w:ilvl w:val="0"/>
                <w:numId w:val="12"/>
              </w:numPr>
              <w:ind w:left="492" w:hanging="492"/>
              <w:jc w:val="left"/>
            </w:pPr>
            <w:r>
              <w:t>Manutenzione</w:t>
            </w:r>
          </w:p>
          <w:p w14:paraId="46B4C901" w14:textId="4E85AC8A" w:rsidR="00D01A67" w:rsidRPr="004C0EBD" w:rsidRDefault="00D01A67" w:rsidP="0075115D">
            <w:pPr>
              <w:pStyle w:val="BodyText1"/>
              <w:numPr>
                <w:ilvl w:val="0"/>
                <w:numId w:val="12"/>
              </w:numPr>
              <w:ind w:left="492" w:hanging="492"/>
              <w:jc w:val="left"/>
            </w:pPr>
            <w:r>
              <w:t>Controllo</w:t>
            </w:r>
          </w:p>
        </w:tc>
      </w:tr>
    </w:tbl>
    <w:p w14:paraId="25927F44" w14:textId="77777777" w:rsidR="008D2EA0" w:rsidRPr="004C0EBD" w:rsidRDefault="008D2EA0" w:rsidP="00A3595E">
      <w:pPr>
        <w:pStyle w:val="Heading2"/>
      </w:pPr>
    </w:p>
    <w:p w14:paraId="164855BD" w14:textId="12D8E33E" w:rsidR="00CC46CB" w:rsidRPr="001079C7" w:rsidRDefault="00BC1A03" w:rsidP="00F426F5">
      <w:pPr>
        <w:pStyle w:val="MH2"/>
      </w:pPr>
      <w:bookmarkStart w:id="57" w:name="_Toc180569751"/>
      <w:r>
        <w:t>Fase 1 Punto della situazione</w:t>
      </w:r>
      <w:bookmarkEnd w:id="57"/>
    </w:p>
    <w:p w14:paraId="1B214EE4" w14:textId="77777777" w:rsidR="00411443" w:rsidRPr="004C0EBD" w:rsidRDefault="00411443" w:rsidP="00A3595E"/>
    <w:p w14:paraId="420861F0" w14:textId="3B0B2D94" w:rsidR="00681E9B" w:rsidRPr="004C0EBD" w:rsidRDefault="00E7122D" w:rsidP="001079C7">
      <w:pPr>
        <w:pStyle w:val="BodyText1"/>
      </w:pPr>
      <w:r>
        <w:t xml:space="preserve">La prima fase del progetto consiste nel fare il punto sui tetti disponibili o sulle parcelle incluse nel progetto. È possibile farlo (in parte) in autonomia o con il supporto di un consulente tecnico (cfr. il Consiglio 1). In caso di siti multipli, spesso viene presentata una panoramica in una tabella, insieme a foto e mappe per ciascun sito. </w:t>
      </w:r>
    </w:p>
    <w:p w14:paraId="76D4D889" w14:textId="77777777" w:rsidR="00681E9B" w:rsidRPr="004C0EBD" w:rsidRDefault="00681E9B" w:rsidP="00A3595E"/>
    <w:p w14:paraId="5D2BA25A" w14:textId="5C92DB7E" w:rsidR="00114C41" w:rsidRPr="004C0EBD" w:rsidRDefault="00444DFF" w:rsidP="00F426F5">
      <w:pPr>
        <w:pStyle w:val="MH3"/>
      </w:pPr>
      <w:bookmarkStart w:id="58" w:name="_Toc180569752"/>
      <w:r>
        <w:t>1.1 Informazioni generali</w:t>
      </w:r>
      <w:bookmarkEnd w:id="58"/>
      <w:r>
        <w:t xml:space="preserve"> </w:t>
      </w:r>
    </w:p>
    <w:p w14:paraId="5B6D9F83" w14:textId="77777777" w:rsidR="00114C41" w:rsidRPr="004C0EBD" w:rsidRDefault="00114C41" w:rsidP="0075115D">
      <w:pPr>
        <w:pStyle w:val="BodyText1"/>
        <w:numPr>
          <w:ilvl w:val="0"/>
          <w:numId w:val="13"/>
        </w:numPr>
      </w:pPr>
      <w:r>
        <w:t xml:space="preserve">Indirizzo del sito </w:t>
      </w:r>
    </w:p>
    <w:p w14:paraId="5DB92B22" w14:textId="7931C678" w:rsidR="00114C41" w:rsidRPr="004C0EBD" w:rsidRDefault="00114C41" w:rsidP="0075115D">
      <w:pPr>
        <w:pStyle w:val="BodyText1"/>
        <w:numPr>
          <w:ilvl w:val="0"/>
          <w:numId w:val="13"/>
        </w:numPr>
      </w:pPr>
      <w:r>
        <w:t>Breve descrizione del sito</w:t>
      </w:r>
    </w:p>
    <w:p w14:paraId="0A07B288" w14:textId="2F3857E4" w:rsidR="00114C41" w:rsidRPr="004C0EBD" w:rsidRDefault="00114C41" w:rsidP="0075115D">
      <w:pPr>
        <w:pStyle w:val="BodyText1"/>
        <w:numPr>
          <w:ilvl w:val="0"/>
          <w:numId w:val="13"/>
        </w:numPr>
      </w:pPr>
      <w:r>
        <w:t xml:space="preserve">Misurazioni approssimative dell'area FV (lunghezza x larghezza) </w:t>
      </w:r>
    </w:p>
    <w:p w14:paraId="72BD0897" w14:textId="5E125031" w:rsidR="00114C41" w:rsidRPr="001079C7" w:rsidRDefault="00114C41" w:rsidP="0075115D">
      <w:pPr>
        <w:pStyle w:val="BodyText1"/>
        <w:numPr>
          <w:ilvl w:val="0"/>
          <w:numId w:val="13"/>
        </w:numPr>
      </w:pPr>
      <w:r>
        <w:t xml:space="preserve">Possibile data di inizio dell'installazione e data di fine, se applicabile </w:t>
      </w:r>
    </w:p>
    <w:p w14:paraId="3806F316" w14:textId="77777777" w:rsidR="001079C7" w:rsidRPr="004C0EBD" w:rsidRDefault="001079C7" w:rsidP="001079C7">
      <w:pPr>
        <w:pStyle w:val="BodyText1"/>
      </w:pPr>
    </w:p>
    <w:p w14:paraId="7F334611" w14:textId="5E538399" w:rsidR="00E7122D" w:rsidRPr="004C0EBD" w:rsidRDefault="00444DFF" w:rsidP="00F426F5">
      <w:pPr>
        <w:pStyle w:val="MH3"/>
      </w:pPr>
      <w:bookmarkStart w:id="59" w:name="_Toc180569753"/>
      <w:r>
        <w:t>1.2 Considerazioni di natura elettrica</w:t>
      </w:r>
      <w:bookmarkEnd w:id="59"/>
    </w:p>
    <w:p w14:paraId="0E76CFDD" w14:textId="5681F8E5" w:rsidR="003C1054" w:rsidRPr="004C0EBD" w:rsidRDefault="003C1054" w:rsidP="001079C7">
      <w:pPr>
        <w:pStyle w:val="BodyText1"/>
      </w:pPr>
      <w:r>
        <w:t xml:space="preserve">Fare il punto della situazione con il responsabile del sito/gestore dell'edificio: </w:t>
      </w:r>
    </w:p>
    <w:p w14:paraId="52AB198E" w14:textId="7D194B9A" w:rsidR="007C4E71" w:rsidRPr="004C0EBD" w:rsidRDefault="007C4E71" w:rsidP="0064099B">
      <w:pPr>
        <w:pStyle w:val="BodyText1"/>
        <w:numPr>
          <w:ilvl w:val="0"/>
          <w:numId w:val="14"/>
        </w:numPr>
        <w:ind w:left="709" w:hanging="709"/>
      </w:pPr>
      <w:r>
        <w:t>esiste un qualche autoconsumo? Esiste un collegamento alla rete elettrica in questo sito?</w:t>
      </w:r>
    </w:p>
    <w:p w14:paraId="26D1DF1B" w14:textId="5B0621F7" w:rsidR="00411443" w:rsidRPr="004C0EBD" w:rsidRDefault="00114C41" w:rsidP="0075115D">
      <w:pPr>
        <w:pStyle w:val="BodyText1"/>
        <w:numPr>
          <w:ilvl w:val="0"/>
          <w:numId w:val="14"/>
        </w:numPr>
      </w:pPr>
      <w:r>
        <w:t>dimensioni del collegamento alla rete in questo sito (ad esempio 3 x 80 A);</w:t>
      </w:r>
    </w:p>
    <w:p w14:paraId="2F3D523B" w14:textId="441412C2" w:rsidR="00E7122D" w:rsidRPr="004C0EBD" w:rsidRDefault="003C1054" w:rsidP="0075115D">
      <w:pPr>
        <w:pStyle w:val="BodyText1"/>
        <w:numPr>
          <w:ilvl w:val="0"/>
          <w:numId w:val="14"/>
        </w:numPr>
      </w:pPr>
      <w:r>
        <w:t xml:space="preserve">autoconsumo di elettricità in loco; </w:t>
      </w:r>
    </w:p>
    <w:p w14:paraId="3DEE601E" w14:textId="59CB8CD6" w:rsidR="00496B5F" w:rsidRPr="004C0EBD" w:rsidRDefault="007C4E71" w:rsidP="0075115D">
      <w:pPr>
        <w:pStyle w:val="BodyText1"/>
        <w:numPr>
          <w:ilvl w:val="0"/>
          <w:numId w:val="14"/>
        </w:numPr>
      </w:pPr>
      <w:r>
        <w:t>cambiamenti previsti nel consumo di elettricità;</w:t>
      </w:r>
    </w:p>
    <w:p w14:paraId="774CA499" w14:textId="647800FF" w:rsidR="00BC1A03" w:rsidRPr="001079C7" w:rsidRDefault="00BC1A03" w:rsidP="0075115D">
      <w:pPr>
        <w:pStyle w:val="BodyText1"/>
        <w:numPr>
          <w:ilvl w:val="0"/>
          <w:numId w:val="14"/>
        </w:numPr>
      </w:pPr>
      <w:r>
        <w:t>eventualmente: necessità di punti di ricarica.</w:t>
      </w:r>
    </w:p>
    <w:p w14:paraId="55F12E43" w14:textId="77777777" w:rsidR="001079C7" w:rsidRPr="004C0EBD" w:rsidRDefault="001079C7" w:rsidP="001079C7">
      <w:pPr>
        <w:pStyle w:val="BodyText1"/>
      </w:pPr>
    </w:p>
    <w:p w14:paraId="379FE481" w14:textId="418BDC35" w:rsidR="007C4E71" w:rsidRPr="004C0EBD" w:rsidRDefault="00444DFF" w:rsidP="00F426F5">
      <w:pPr>
        <w:pStyle w:val="MH3"/>
      </w:pPr>
      <w:bookmarkStart w:id="60" w:name="_Toc180569754"/>
      <w:r>
        <w:t>1.3 Foto e mappe</w:t>
      </w:r>
      <w:bookmarkEnd w:id="60"/>
    </w:p>
    <w:p w14:paraId="652FBA37" w14:textId="77777777" w:rsidR="001079C7" w:rsidRPr="00C42EE6" w:rsidRDefault="003C1054" w:rsidP="001079C7">
      <w:pPr>
        <w:pStyle w:val="BodyText1"/>
      </w:pPr>
      <w:r>
        <w:t xml:space="preserve">Preparare un file digitale contenente mappe del sito, immagini satellitari e immagini ravvicinate che includano </w:t>
      </w:r>
    </w:p>
    <w:p w14:paraId="513C6494" w14:textId="066ED6B6" w:rsidR="00114C41" w:rsidRPr="004C0EBD" w:rsidRDefault="003C1054" w:rsidP="001079C7">
      <w:pPr>
        <w:pStyle w:val="BodyText1"/>
      </w:pPr>
      <w:r>
        <w:t xml:space="preserve">eventuali ostacoli. </w:t>
      </w:r>
    </w:p>
    <w:p w14:paraId="54052296" w14:textId="77777777" w:rsidR="00444DFF" w:rsidRPr="004C0EBD" w:rsidRDefault="00444DFF" w:rsidP="00A3595E"/>
    <w:p w14:paraId="1C7C8400" w14:textId="1B33421D" w:rsidR="00411443" w:rsidRPr="004C0EBD" w:rsidRDefault="00444DFF" w:rsidP="00F426F5">
      <w:pPr>
        <w:pStyle w:val="MH3"/>
      </w:pPr>
      <w:bookmarkStart w:id="61" w:name="_Toc180569755"/>
      <w:r>
        <w:t>1.4 Pianificazione</w:t>
      </w:r>
      <w:bookmarkEnd w:id="61"/>
      <w:r>
        <w:t xml:space="preserve"> </w:t>
      </w:r>
    </w:p>
    <w:p w14:paraId="4F82EC2B" w14:textId="7ADC4DEC" w:rsidR="003C1054" w:rsidRPr="004C0EBD" w:rsidRDefault="003C1054" w:rsidP="00A70E7F">
      <w:pPr>
        <w:pStyle w:val="BodyText1"/>
      </w:pPr>
      <w:r>
        <w:t xml:space="preserve">Fare il punto della situazione con il responsabile del sito/gestore dell'edificio: </w:t>
      </w:r>
    </w:p>
    <w:p w14:paraId="407FE870" w14:textId="0BB90B32" w:rsidR="00411443" w:rsidRPr="004C0EBD" w:rsidRDefault="003C1054" w:rsidP="0075115D">
      <w:pPr>
        <w:pStyle w:val="BodyText1"/>
        <w:numPr>
          <w:ilvl w:val="0"/>
          <w:numId w:val="15"/>
        </w:numPr>
      </w:pPr>
      <w:r>
        <w:t xml:space="preserve">manutenzione su larga scala, ad esempio sostituzione del tetto; </w:t>
      </w:r>
    </w:p>
    <w:p w14:paraId="5A17C2AA" w14:textId="54EF4339" w:rsidR="007C4E71" w:rsidRPr="00A70E7F" w:rsidRDefault="00411443" w:rsidP="0075115D">
      <w:pPr>
        <w:pStyle w:val="BodyText1"/>
        <w:numPr>
          <w:ilvl w:val="0"/>
          <w:numId w:val="15"/>
        </w:numPr>
      </w:pPr>
      <w:r>
        <w:t xml:space="preserve">piani relativi a parcelle/tetti, è prevista una costruzione/uno sviluppo in futuro? </w:t>
      </w:r>
    </w:p>
    <w:p w14:paraId="0BBD0BB9" w14:textId="77777777" w:rsidR="00A70E7F" w:rsidRPr="004C0EBD" w:rsidRDefault="00A70E7F" w:rsidP="00A70E7F">
      <w:pPr>
        <w:pStyle w:val="BodyText1"/>
      </w:pPr>
    </w:p>
    <w:p w14:paraId="26C0B24E" w14:textId="201CBAB8" w:rsidR="003C1054" w:rsidRPr="004C0EBD" w:rsidRDefault="00444DFF" w:rsidP="00F426F5">
      <w:pPr>
        <w:pStyle w:val="MH3"/>
      </w:pPr>
      <w:bookmarkStart w:id="62" w:name="_Toc180569756"/>
      <w:r>
        <w:t>1.5 Carico sul tetto</w:t>
      </w:r>
      <w:bookmarkEnd w:id="62"/>
    </w:p>
    <w:p w14:paraId="77E710BB" w14:textId="73038DB9" w:rsidR="00D347ED" w:rsidRPr="004C0EBD" w:rsidRDefault="00444DFF" w:rsidP="00A70E7F">
      <w:pPr>
        <w:pStyle w:val="BodyText1"/>
      </w:pPr>
      <w:r>
        <w:t>Il carico ammissibile sul tetto è un parametro importante per i progetti "</w:t>
      </w:r>
      <w:r>
        <w:rPr>
          <w:i/>
        </w:rPr>
        <w:t xml:space="preserve">Zon-op-Dak </w:t>
      </w:r>
      <w:r>
        <w:t xml:space="preserve">"[Sun-on-Roof]. Nei Paesi Bassi circa la metà dei tetti </w:t>
      </w:r>
      <w:r>
        <w:rPr>
          <w:i/>
        </w:rPr>
        <w:t>non</w:t>
      </w:r>
      <w:r>
        <w:t xml:space="preserve"> è adatta a un sistema fotovoltaico standard, perché la zavorra che impedisce ai pannelli di cadere dal tetto è troppo pesante. </w:t>
      </w:r>
    </w:p>
    <w:p w14:paraId="6EBC3381" w14:textId="1D4D5D99" w:rsidR="00444DFF" w:rsidRPr="004C0EBD" w:rsidRDefault="00D347ED" w:rsidP="00A70E7F">
      <w:pPr>
        <w:pStyle w:val="BodyText1"/>
      </w:pPr>
      <w:r>
        <w:t xml:space="preserve"> </w:t>
      </w:r>
      <w:r>
        <w:br/>
        <w:t>Esistono diverse soluzioni se il tetto è troppo fragile, tra cui:</w:t>
      </w:r>
    </w:p>
    <w:p w14:paraId="6C09C343" w14:textId="69AD8252" w:rsidR="00444DFF" w:rsidRPr="004C0EBD" w:rsidRDefault="00377C7A" w:rsidP="0075115D">
      <w:pPr>
        <w:pStyle w:val="BodyText1"/>
        <w:numPr>
          <w:ilvl w:val="0"/>
          <w:numId w:val="16"/>
        </w:numPr>
      </w:pPr>
      <w:r>
        <w:t>un sistema fotovoltaico che non utilizza la zavorra, mediante l'ancoraggio al tetto;</w:t>
      </w:r>
    </w:p>
    <w:p w14:paraId="5FD78EB2" w14:textId="41AD75BC" w:rsidR="00444DFF" w:rsidRPr="004C0EBD" w:rsidRDefault="00D347ED" w:rsidP="0075115D">
      <w:pPr>
        <w:pStyle w:val="BodyText1"/>
        <w:numPr>
          <w:ilvl w:val="0"/>
          <w:numId w:val="16"/>
        </w:numPr>
      </w:pPr>
      <w:r>
        <w:t xml:space="preserve">pannelli solari flessibili incollati sul tetto; </w:t>
      </w:r>
    </w:p>
    <w:p w14:paraId="72237B61" w14:textId="398B99EF" w:rsidR="00BC1A03" w:rsidRPr="004C0EBD" w:rsidRDefault="00D347ED" w:rsidP="0075115D">
      <w:pPr>
        <w:pStyle w:val="BodyText1"/>
        <w:numPr>
          <w:ilvl w:val="0"/>
          <w:numId w:val="16"/>
        </w:numPr>
      </w:pPr>
      <w:r>
        <w:t>speciali pannelli solari leggeri (ad esempio Solarge) o sistemi di fissaggio specifici;</w:t>
      </w:r>
    </w:p>
    <w:p w14:paraId="6FF6B0D8" w14:textId="10CF4FAB" w:rsidR="00D347ED" w:rsidRPr="004C0EBD" w:rsidRDefault="00D347ED" w:rsidP="0075115D">
      <w:pPr>
        <w:pStyle w:val="BodyText1"/>
        <w:numPr>
          <w:ilvl w:val="0"/>
          <w:numId w:val="16"/>
        </w:numPr>
      </w:pPr>
      <w:r>
        <w:t>rafforzamento della costruzione del tetto.</w:t>
      </w:r>
    </w:p>
    <w:p w14:paraId="2E50202C" w14:textId="05AFEF77" w:rsidR="00D347ED" w:rsidRPr="004C0EBD" w:rsidRDefault="003C1054" w:rsidP="00A70E7F">
      <w:pPr>
        <w:pStyle w:val="BodyText1"/>
      </w:pPr>
      <w:r>
        <w:lastRenderedPageBreak/>
        <w:t>Il carico ammissibile sul tetto può essere spiegato o calcolato dall'appaltatore o dall'architetto dell'edificio/tetto; può essere altrimenti determinato da un consulente indipendente di fisica edile o da un ingegnere strutturale.</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Consiglio 2</w:t>
      </w:r>
      <w:r>
        <w:rPr>
          <w:rFonts w:ascii="Arial" w:hAnsi="Arial"/>
          <w:b/>
          <w:color w:val="104D54"/>
        </w:rPr>
        <w:t>: cfr. l'</w:t>
      </w:r>
      <w:r>
        <w:rPr>
          <w:rFonts w:ascii="Arial" w:hAnsi="Arial"/>
          <w:b/>
          <w:color w:val="104D54"/>
          <w:u w:val="single"/>
        </w:rPr>
        <w:t>allegato 2</w:t>
      </w:r>
      <w:r>
        <w:rPr>
          <w:rFonts w:ascii="Arial" w:hAnsi="Arial"/>
          <w:b/>
          <w:color w:val="104D54"/>
        </w:rPr>
        <w:t xml:space="preserve"> per un elenco di esperti indipendenti che possono fornire assistenza in questo senso.</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F426F5">
      <w:pPr>
        <w:pStyle w:val="MH2"/>
        <w:rPr>
          <w:rFonts w:eastAsiaTheme="majorEastAsia"/>
          <w:bCs/>
          <w:color w:val="92D050"/>
          <w:sz w:val="26"/>
          <w:szCs w:val="26"/>
        </w:rPr>
      </w:pPr>
      <w:bookmarkStart w:id="63" w:name="_Toc180569757"/>
      <w:r>
        <w:t>Fase 2. Ingegneria orientativa</w:t>
      </w:r>
      <w:bookmarkEnd w:id="63"/>
    </w:p>
    <w:p w14:paraId="08ADCCFC" w14:textId="77777777" w:rsidR="00EF504B" w:rsidRPr="004C0EBD" w:rsidRDefault="00EF504B" w:rsidP="00A3595E"/>
    <w:p w14:paraId="746B00D5" w14:textId="77777777" w:rsidR="00A70E7F" w:rsidRPr="00C42EE6" w:rsidRDefault="00151032" w:rsidP="00A70E7F">
      <w:pPr>
        <w:pStyle w:val="BodyText1"/>
      </w:pPr>
      <w:r>
        <w:t>Se la propria organizzazione vanta una grande esperienza con i progetti FV ed è dotata di un software idoneo, è possibile procedere autonomamente, altrimenti occorrerebbe rivolgersi ad un consulente tecnico.</w:t>
      </w:r>
    </w:p>
    <w:p w14:paraId="43DBAA02" w14:textId="480BF3D3" w:rsidR="004C453E" w:rsidRPr="0064099B" w:rsidRDefault="004C453E" w:rsidP="00A70E7F">
      <w:pPr>
        <w:pStyle w:val="BodyText1"/>
      </w:pPr>
    </w:p>
    <w:p w14:paraId="31ED8F63" w14:textId="7202D20A" w:rsidR="004C453E" w:rsidRPr="004C0EBD" w:rsidRDefault="00151032" w:rsidP="00A70E7F">
      <w:pPr>
        <w:pStyle w:val="BodyText1"/>
      </w:pPr>
      <w:r>
        <w:t xml:space="preserve">In questa fase si determinano le specifiche orientative dell'impianto fotovoltaico; si tratta di un passaggio importante per garantire un'assegnazione più chiara che, a sua volta, consente alle parti contraenti di presentare un'offerta più precisa in un lasso di tempo più breve.  </w:t>
      </w:r>
    </w:p>
    <w:p w14:paraId="46EE7F19" w14:textId="77777777" w:rsidR="004C453E" w:rsidRPr="004C0EBD" w:rsidRDefault="004C453E" w:rsidP="00A3595E"/>
    <w:p w14:paraId="189EACD7" w14:textId="3FAE0B9D" w:rsidR="004C453E" w:rsidRPr="00C42EE6" w:rsidRDefault="00444DFF" w:rsidP="00F426F5">
      <w:pPr>
        <w:pStyle w:val="MH3"/>
      </w:pPr>
      <w:bookmarkStart w:id="64" w:name="_Toc180569758"/>
      <w:r>
        <w:t>2.1 Determinazione del numero massimo di pannelli solari e della massima produzione di energia</w:t>
      </w:r>
      <w:bookmarkEnd w:id="64"/>
      <w:r>
        <w:t xml:space="preserve"> </w:t>
      </w:r>
    </w:p>
    <w:p w14:paraId="17543A43" w14:textId="3370A4DC" w:rsidR="00DC2765" w:rsidRPr="004C0EBD" w:rsidRDefault="00DC2765" w:rsidP="0075115D">
      <w:pPr>
        <w:pStyle w:val="BodyText1"/>
        <w:numPr>
          <w:ilvl w:val="0"/>
          <w:numId w:val="18"/>
        </w:numPr>
      </w:pPr>
      <w:r>
        <w:t xml:space="preserve">Determinare l'orientamento, Est-Ovest o Sud, o un altro orientamento dei pannelli solari </w:t>
      </w:r>
    </w:p>
    <w:p w14:paraId="7E349BD3" w14:textId="51DF5FBE" w:rsidR="00FC7CC6" w:rsidRPr="004C0EBD" w:rsidRDefault="00BC3C5E" w:rsidP="0075115D">
      <w:pPr>
        <w:pStyle w:val="BodyText1"/>
        <w:numPr>
          <w:ilvl w:val="0"/>
          <w:numId w:val="17"/>
        </w:numPr>
      </w:pPr>
      <w:r>
        <w:t>Abbonamento orientativo ai pannelli solari per sito</w:t>
      </w:r>
    </w:p>
    <w:p w14:paraId="5F53603B" w14:textId="0E9D80BC" w:rsidR="00A613D4" w:rsidRPr="004C0EBD" w:rsidRDefault="00FC7CC6" w:rsidP="0075115D">
      <w:pPr>
        <w:pStyle w:val="BodyText1"/>
        <w:numPr>
          <w:ilvl w:val="0"/>
          <w:numId w:val="17"/>
        </w:numPr>
      </w:pPr>
      <w:r>
        <w:t xml:space="preserve">Determinare il numero massimo di pannelli  </w:t>
      </w:r>
    </w:p>
    <w:p w14:paraId="49135BFD" w14:textId="177FC8D9" w:rsidR="00FC7CC6" w:rsidRPr="004C0EBD" w:rsidRDefault="00FC7CC6" w:rsidP="0075115D">
      <w:pPr>
        <w:pStyle w:val="BodyText1"/>
        <w:numPr>
          <w:ilvl w:val="0"/>
          <w:numId w:val="17"/>
        </w:numPr>
      </w:pPr>
      <w:r>
        <w:t xml:space="preserve">Determinare la potenza massima per sito </w:t>
      </w:r>
    </w:p>
    <w:p w14:paraId="6FAE0A43" w14:textId="6E47CF5D" w:rsidR="00FC7CC6" w:rsidRPr="004C0EBD" w:rsidRDefault="00FC7CC6" w:rsidP="0075115D">
      <w:pPr>
        <w:pStyle w:val="BodyText1"/>
        <w:numPr>
          <w:ilvl w:val="0"/>
          <w:numId w:val="17"/>
        </w:numPr>
      </w:pPr>
      <w:r>
        <w:t xml:space="preserve">Determinare la produzione massima annua di energia </w:t>
      </w:r>
    </w:p>
    <w:p w14:paraId="7B06B5CA" w14:textId="16B76D1E" w:rsidR="00DC2765" w:rsidRPr="00A70E7F" w:rsidRDefault="00DC2765" w:rsidP="0075115D">
      <w:pPr>
        <w:pStyle w:val="BodyText1"/>
        <w:numPr>
          <w:ilvl w:val="0"/>
          <w:numId w:val="17"/>
        </w:numPr>
      </w:pPr>
      <w:r>
        <w:t>Verificare se la produzione massima di energia è adatta al collegamento esistente</w:t>
      </w:r>
    </w:p>
    <w:p w14:paraId="057FE66C" w14:textId="77777777" w:rsidR="00A70E7F" w:rsidRPr="004C0EBD" w:rsidRDefault="00A70E7F" w:rsidP="00A70E7F">
      <w:pPr>
        <w:pStyle w:val="BodyText1"/>
      </w:pPr>
    </w:p>
    <w:p w14:paraId="3604A7E9" w14:textId="7246DAD6" w:rsidR="00A613D4" w:rsidRPr="004C0EBD" w:rsidRDefault="00444DFF" w:rsidP="00F426F5">
      <w:pPr>
        <w:pStyle w:val="MH3"/>
      </w:pPr>
      <w:bookmarkStart w:id="65" w:name="_Toc180569759"/>
      <w:r>
        <w:t>2.2 Redazione delle linee generali del business case</w:t>
      </w:r>
      <w:bookmarkEnd w:id="65"/>
    </w:p>
    <w:p w14:paraId="58E4530C" w14:textId="51B989EC" w:rsidR="00A613D4" w:rsidRPr="00A70E7F" w:rsidRDefault="00A613D4" w:rsidP="004A78D5">
      <w:pPr>
        <w:pStyle w:val="ListParagraph"/>
        <w:numPr>
          <w:ilvl w:val="0"/>
          <w:numId w:val="19"/>
        </w:numPr>
        <w:ind w:left="709" w:hanging="709"/>
        <w:rPr>
          <w:rFonts w:ascii="Arial" w:hAnsi="Arial" w:cs="Arial"/>
        </w:rPr>
      </w:pPr>
      <w:r>
        <w:rPr>
          <w:rFonts w:ascii="Arial" w:hAnsi="Arial"/>
        </w:rPr>
        <w:t xml:space="preserve">Investimento orientativo per l'installazione del sistema fotovoltaico: per Wp e importo totale in migliaia di euro.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Collegamento alla rete: adattamento o meno?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In caso di adattamento: calendario orientativo da parte dell'operatore di rete </w:t>
      </w:r>
    </w:p>
    <w:p w14:paraId="6D3D3E5B" w14:textId="19FA057E" w:rsidR="00DC2765" w:rsidRPr="00A70E7F" w:rsidRDefault="00DC2765" w:rsidP="0075115D">
      <w:pPr>
        <w:pStyle w:val="ListParagraph"/>
        <w:numPr>
          <w:ilvl w:val="0"/>
          <w:numId w:val="19"/>
        </w:numPr>
        <w:rPr>
          <w:rFonts w:ascii="Arial" w:hAnsi="Arial" w:cs="Arial"/>
        </w:rPr>
      </w:pPr>
      <w:r>
        <w:rPr>
          <w:rFonts w:ascii="Arial" w:hAnsi="Arial"/>
        </w:rPr>
        <w:t xml:space="preserve">Rendimento: </w:t>
      </w:r>
      <w:r w:rsidR="000A782D">
        <w:rPr>
          <w:rFonts w:ascii="Arial" w:hAnsi="Arial"/>
        </w:rPr>
        <w:t>regime</w:t>
      </w:r>
      <w:r>
        <w:rPr>
          <w:rFonts w:ascii="Arial" w:hAnsi="Arial"/>
        </w:rPr>
        <w:t xml:space="preserve"> SDE++ o un'altra sovvenzione?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In caso di SDE++: verificare quanta capacità massima a corrente alternata è possibile collegare;  </w:t>
      </w:r>
      <w:r>
        <w:rPr>
          <w:rFonts w:ascii="Arial" w:hAnsi="Arial"/>
        </w:rPr>
        <w:br/>
        <w:t xml:space="preserve">in genere, si tratta del 50 % al massimo, a volte del 70 % della capacità a corrente continua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Rendimento: previsione di riduzione della quantità di elettricità da acquistare e risparmio sui costi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Rendimento: proiezione dei ricavi dalla vendita di energia solare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Eventualmente: come gestire i prezzi negativi, con un sistema di gestione dell'energia? </w:t>
      </w:r>
    </w:p>
    <w:p w14:paraId="41F4C0DB" w14:textId="77777777" w:rsidR="00FF7CCF" w:rsidRDefault="00FF7CCF" w:rsidP="00F426F5">
      <w:pPr>
        <w:pStyle w:val="MH3"/>
      </w:pPr>
    </w:p>
    <w:p w14:paraId="67A1D1C4" w14:textId="77777777" w:rsidR="005C5B6D" w:rsidRDefault="005C5B6D" w:rsidP="00F426F5">
      <w:pPr>
        <w:pStyle w:val="MH3"/>
      </w:pPr>
    </w:p>
    <w:p w14:paraId="60BF0DC9" w14:textId="4E8E3E31" w:rsidR="00A430E2" w:rsidRPr="004C0EBD" w:rsidRDefault="00444DFF" w:rsidP="00F426F5">
      <w:pPr>
        <w:pStyle w:val="MH3"/>
      </w:pPr>
      <w:bookmarkStart w:id="66" w:name="_Toc180569760"/>
      <w:r>
        <w:lastRenderedPageBreak/>
        <w:t>2.3 Determinazione della produzione orientativa di energia, dei costi del progetto e del numero di pannelli solari</w:t>
      </w:r>
      <w:bookmarkEnd w:id="66"/>
      <w:r>
        <w:t xml:space="preserve"> </w:t>
      </w:r>
    </w:p>
    <w:p w14:paraId="61AB905F" w14:textId="477FD3E7" w:rsidR="006A4807" w:rsidRPr="004C0EBD" w:rsidRDefault="006A4807" w:rsidP="00FF7CCF">
      <w:pPr>
        <w:pStyle w:val="BodyText1"/>
      </w:pPr>
      <w:r>
        <w:t>Spesso occorrerà un determinato numero di iterazioni prima di stabilire le specifiche orientative, in parte perché dipend</w:t>
      </w:r>
      <w:r w:rsidR="009E41AB">
        <w:t>ono</w:t>
      </w:r>
      <w:r>
        <w:t xml:space="preserve"> da vari obiettivi e limitazioni. Le specifiche orientative sono: </w:t>
      </w:r>
    </w:p>
    <w:p w14:paraId="1D5721C3" w14:textId="5E89B471" w:rsidR="006A4807" w:rsidRPr="004C0EBD" w:rsidRDefault="006A4807" w:rsidP="0075115D">
      <w:pPr>
        <w:pStyle w:val="BodyText1"/>
        <w:numPr>
          <w:ilvl w:val="0"/>
          <w:numId w:val="21"/>
        </w:numPr>
      </w:pPr>
      <w:r>
        <w:t xml:space="preserve">la capacità totale dei pannelli solari (capacità a corrente continua); </w:t>
      </w:r>
    </w:p>
    <w:p w14:paraId="4D0A6C41" w14:textId="63DC4491" w:rsidR="006A4807" w:rsidRPr="004C0EBD" w:rsidRDefault="006A4807" w:rsidP="0075115D">
      <w:pPr>
        <w:pStyle w:val="BodyText1"/>
        <w:numPr>
          <w:ilvl w:val="0"/>
          <w:numId w:val="21"/>
        </w:numPr>
      </w:pPr>
      <w:r>
        <w:t xml:space="preserve">la capacità a corrente alternata degli inverter; </w:t>
      </w:r>
    </w:p>
    <w:p w14:paraId="1F6D6089" w14:textId="143F4FA3" w:rsidR="006A4807" w:rsidRPr="004C0EBD" w:rsidRDefault="006A4807" w:rsidP="0075115D">
      <w:pPr>
        <w:pStyle w:val="BodyText1"/>
        <w:numPr>
          <w:ilvl w:val="0"/>
          <w:numId w:val="21"/>
        </w:numPr>
      </w:pPr>
      <w:r>
        <w:t xml:space="preserve">la produzione annua di energia; </w:t>
      </w:r>
    </w:p>
    <w:p w14:paraId="59A0CAC4" w14:textId="0718C367" w:rsidR="00950CF7" w:rsidRPr="004C0EBD" w:rsidRDefault="006A4807" w:rsidP="0075115D">
      <w:pPr>
        <w:pStyle w:val="BodyText1"/>
        <w:numPr>
          <w:ilvl w:val="0"/>
          <w:numId w:val="21"/>
        </w:numPr>
      </w:pPr>
      <w:r>
        <w:t>i costi indicativi del progetto (capacità a corrente continua in Wp x 1 EUR per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F426F5">
      <w:pPr>
        <w:pStyle w:val="MH3"/>
      </w:pPr>
      <w:bookmarkStart w:id="67" w:name="_Toc180569761"/>
      <w:r>
        <w:t>2.4 Facoltativo</w:t>
      </w:r>
      <w:bookmarkEnd w:id="67"/>
    </w:p>
    <w:p w14:paraId="46F06188" w14:textId="557DB0C6" w:rsidR="00FC7CC6" w:rsidRPr="004C0EBD" w:rsidRDefault="00A430E2" w:rsidP="0075115D">
      <w:pPr>
        <w:pStyle w:val="BodyText1"/>
        <w:numPr>
          <w:ilvl w:val="0"/>
          <w:numId w:val="20"/>
        </w:numPr>
      </w:pPr>
      <w:r>
        <w:t xml:space="preserve">Pianificazione per fasi dei siti </w:t>
      </w:r>
    </w:p>
    <w:p w14:paraId="61BF59F1" w14:textId="51F37E63" w:rsidR="00BC3C5E" w:rsidRPr="004C0EBD" w:rsidRDefault="00BC3C5E" w:rsidP="0075115D">
      <w:pPr>
        <w:pStyle w:val="BodyText1"/>
        <w:numPr>
          <w:ilvl w:val="0"/>
          <w:numId w:val="20"/>
        </w:numPr>
      </w:pPr>
      <w:r>
        <w:t xml:space="preserve">Eventualmente: optare per pannelli solari monofacciali/bifacciali </w:t>
      </w:r>
    </w:p>
    <w:p w14:paraId="3A9DF611" w14:textId="56AE3FC5" w:rsidR="00B33249" w:rsidRPr="004A78D5" w:rsidRDefault="00BC3C5E" w:rsidP="0075115D">
      <w:pPr>
        <w:pStyle w:val="BodyText1"/>
        <w:numPr>
          <w:ilvl w:val="0"/>
          <w:numId w:val="20"/>
        </w:numPr>
        <w:rPr>
          <w:spacing w:val="-4"/>
        </w:rPr>
      </w:pPr>
      <w:r w:rsidRPr="004A78D5">
        <w:rPr>
          <w:spacing w:val="-4"/>
        </w:rPr>
        <w:t>Eventualmente: per "Sun-on-Land"/"Sun-on-Water": un sistema di inseguimento del sole?</w:t>
      </w:r>
    </w:p>
    <w:p w14:paraId="2C56632E" w14:textId="77777777" w:rsidR="00FF7CCF" w:rsidRDefault="00FF7CCF" w:rsidP="00FF7CCF"/>
    <w:p w14:paraId="53ABF10C" w14:textId="77777777" w:rsidR="00FF7CCF" w:rsidRDefault="00FF7CCF" w:rsidP="00FF7CCF"/>
    <w:p w14:paraId="44C8B20D" w14:textId="77777777" w:rsidR="00FF7CCF" w:rsidRDefault="00FF7CCF" w:rsidP="00F426F5">
      <w:pPr>
        <w:pStyle w:val="MH2"/>
      </w:pPr>
    </w:p>
    <w:p w14:paraId="5FE7E779" w14:textId="71437ABE" w:rsidR="00151032" w:rsidRPr="004C0EBD" w:rsidRDefault="00151032" w:rsidP="00F426F5">
      <w:pPr>
        <w:pStyle w:val="MH2"/>
      </w:pPr>
      <w:bookmarkStart w:id="68" w:name="_Toc180569762"/>
      <w:r>
        <w:t xml:space="preserve">Fase 3 Titolarità e pubblicazione di un bando </w:t>
      </w:r>
      <w:r>
        <w:br/>
        <w:t>di gara/appalto</w:t>
      </w:r>
      <w:bookmarkEnd w:id="68"/>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Le due fasi precedenti hanno delineato a grandi linee le dimensioni e l'impostazione del progetto. Ora è importante valutare se si vuole essere proprietari dell'impianto fotovoltaico o se si preferisce affittare la superficie del tetto o la parcella del terreno nell'ambito di un contratto di concessione. La questione è quindi come selezionare un fornitore o una parte contraente.  </w:t>
      </w:r>
    </w:p>
    <w:p w14:paraId="68B0E7A7" w14:textId="77777777" w:rsidR="00FC1525" w:rsidRPr="004C0EBD" w:rsidRDefault="00FC1525" w:rsidP="00A3595E"/>
    <w:p w14:paraId="5AFF0A5E" w14:textId="573FB55B" w:rsidR="00502061" w:rsidRPr="004C0EBD" w:rsidRDefault="00444DFF" w:rsidP="00F426F5">
      <w:pPr>
        <w:pStyle w:val="MH3"/>
      </w:pPr>
      <w:bookmarkStart w:id="69" w:name="_Toc180569763"/>
      <w:r>
        <w:t>3.1 Proprietario o affittuario?</w:t>
      </w:r>
      <w:bookmarkEnd w:id="69"/>
    </w:p>
    <w:p w14:paraId="08A261E9" w14:textId="5C0D08E1" w:rsidR="009A0DA0" w:rsidRPr="004C0EBD" w:rsidRDefault="00FC1525" w:rsidP="00FF7CCF">
      <w:pPr>
        <w:pStyle w:val="BodyText1"/>
      </w:pPr>
      <w:r>
        <w:t xml:space="preserve">In caso di affitto, si otterrà un determinato prezzo per metro quadrato all'anno. Vantaggio: consente un notevole risparmio di tempo. </w:t>
      </w:r>
    </w:p>
    <w:p w14:paraId="0D565C5A" w14:textId="77777777" w:rsidR="004C4869" w:rsidRPr="004C0EBD" w:rsidRDefault="004C4869" w:rsidP="00FF7CCF">
      <w:pPr>
        <w:pStyle w:val="BodyText1"/>
      </w:pPr>
    </w:p>
    <w:p w14:paraId="29E4BC9E" w14:textId="6FE8182E" w:rsidR="00FC1525" w:rsidRPr="004C0EBD" w:rsidRDefault="00E24CEC" w:rsidP="00FF7CCF">
      <w:pPr>
        <w:pStyle w:val="BodyText1"/>
      </w:pPr>
      <w:r>
        <w:t xml:space="preserve">Tra i potenziali svantaggi figurano il </w:t>
      </w:r>
      <w:r w:rsidR="00557433">
        <w:t xml:space="preserve">fatto di non trarre un </w:t>
      </w:r>
      <w:r>
        <w:t xml:space="preserve">beneficio finanziario </w:t>
      </w:r>
      <w:r w:rsidR="00557433">
        <w:t xml:space="preserve">equivalente </w:t>
      </w:r>
      <w:r>
        <w:t>d</w:t>
      </w:r>
      <w:r w:rsidR="00557433">
        <w:t>a</w:t>
      </w:r>
      <w:r>
        <w:t xml:space="preserve"> un impianto fotovoltaico, </w:t>
      </w:r>
      <w:r w:rsidR="00557433">
        <w:t xml:space="preserve">il fatto di influire solo in </w:t>
      </w:r>
      <w:r>
        <w:t xml:space="preserve">scarsa </w:t>
      </w:r>
      <w:r w:rsidR="00557433">
        <w:t xml:space="preserve">misura </w:t>
      </w:r>
      <w:r>
        <w:t>sull</w:t>
      </w:r>
      <w:r w:rsidR="00557433">
        <w:t>e decisioni relative all</w:t>
      </w:r>
      <w:r w:rsidR="00557433" w:rsidRPr="00557433">
        <w:t>'</w:t>
      </w:r>
      <w:r>
        <w:t xml:space="preserve">impianto e la rinuncia alla flessibilità. Quindi, se si volesse in seguito utilizzare il tetto o la parcella in altro modo, ci si potrebbe trovare vincolati da un contratto con un affittuario/locatario. </w:t>
      </w:r>
    </w:p>
    <w:p w14:paraId="7B394F21" w14:textId="77777777" w:rsidR="009A0DA0" w:rsidRPr="004C0EBD" w:rsidRDefault="009A0DA0" w:rsidP="00A3595E"/>
    <w:p w14:paraId="4FFBBA84" w14:textId="3AD18753" w:rsidR="00151032" w:rsidRPr="004C0EBD" w:rsidRDefault="00444DFF" w:rsidP="00F426F5">
      <w:pPr>
        <w:pStyle w:val="MH3"/>
      </w:pPr>
      <w:bookmarkStart w:id="70" w:name="_Toc180569764"/>
      <w:r>
        <w:t>3.2 Per le organizzazioni pubbliche: appalto pubblico o aggiudicazione diretta?</w:t>
      </w:r>
      <w:bookmarkEnd w:id="70"/>
    </w:p>
    <w:p w14:paraId="04BE1967" w14:textId="1DDD73B2" w:rsidR="004C4869" w:rsidRPr="004C0EBD" w:rsidRDefault="00770820" w:rsidP="00A3595E">
      <w:r>
        <w:t xml:space="preserve"> Il presente punto non si applica alle società o ad altre organizzazioni private. Le organizzazioni private possono semplicemente chiedere offerte a un determinato numero di potenziali parti </w:t>
      </w:r>
      <w:r>
        <w:lastRenderedPageBreak/>
        <w:t xml:space="preserve">contraenti.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I</w:t>
      </w:r>
      <w:r>
        <w:rPr>
          <w:rFonts w:ascii="Arial" w:hAnsi="Arial"/>
        </w:rPr>
        <w:t xml:space="preserve">n ogni caso, è necessario un programma di requisiti anche per la richiesta di offerte standard. Il </w:t>
      </w:r>
      <w:r>
        <w:rPr>
          <w:rFonts w:ascii="Arial" w:hAnsi="Arial"/>
          <w:b/>
          <w:color w:val="FFFFFF" w:themeColor="background1"/>
          <w:highlight w:val="darkCyan"/>
        </w:rPr>
        <w:t>"Modello per i requisiti di acquisto"</w:t>
      </w:r>
      <w:r>
        <w:rPr>
          <w:rFonts w:ascii="Arial" w:hAnsi="Arial"/>
        </w:rPr>
        <w:t xml:space="preserve"> si presta perfettamente anche a questo scopo. </w:t>
      </w:r>
    </w:p>
    <w:p w14:paraId="4F157CB7" w14:textId="77777777" w:rsidR="009E09C2" w:rsidRPr="004C0EBD" w:rsidRDefault="009E09C2" w:rsidP="00A3595E"/>
    <w:p w14:paraId="019FF291" w14:textId="3115061C" w:rsidR="00624300" w:rsidRPr="004C0EBD" w:rsidRDefault="009E09C2" w:rsidP="00FF7CCF">
      <w:pPr>
        <w:pStyle w:val="BodyText1"/>
        <w:rPr>
          <w:color w:val="343434"/>
        </w:rPr>
      </w:pPr>
      <w:r>
        <w:t xml:space="preserve">La legge sugli appalti pubblici del 2012 </w:t>
      </w:r>
      <w:r>
        <w:rPr>
          <w:color w:val="3DC3C6"/>
        </w:rPr>
        <w:t>[</w:t>
      </w:r>
      <w:hyperlink r:id="rId15" w:tooltip="Link esterno: Legge sugli appalti pubblici (in olandese) su overheid.nl" w:history="1">
        <w:r>
          <w:rPr>
            <w:i/>
            <w:color w:val="3DC3C6"/>
            <w:u w:val="single"/>
          </w:rPr>
          <w:t>Aanbestedingswet 2012</w:t>
        </w:r>
      </w:hyperlink>
      <w:r w:rsidR="004A78D5">
        <w:rPr>
          <w:rStyle w:val="FootnoteReference"/>
          <w:color w:val="3DC3C6"/>
          <w:u w:val="single"/>
        </w:rPr>
        <w:footnoteReference w:id="1"/>
      </w:r>
      <w:r>
        <w:rPr>
          <w:color w:val="3DC3C6"/>
        </w:rPr>
        <w:t xml:space="preserve">] </w:t>
      </w:r>
      <w:r>
        <w:t>si applica agli appalti pubblici delle istituzioni (semi)pubbliche nei Paesi Bassi.</w:t>
      </w:r>
      <w:r>
        <w:rPr>
          <w:color w:val="343434"/>
        </w:rPr>
        <w:t xml:space="preserve"> Più il progetto è consistente, minore è il numero di opzioni di procedure possibili. Alcune procedure (come l'aggiudicazione diretta) non sono consentite al di sopra di una certa soglia.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Le soglie dipendono dal tipo di progetto: "Opere" o "Fornitura/Servizio".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Il tipo dipende dall'obiettivo del progetto: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Fornitura </w:t>
      </w:r>
    </w:p>
    <w:p w14:paraId="3FF0867A" w14:textId="1DB2602C" w:rsidR="00624300" w:rsidRPr="004C0EBD" w:rsidRDefault="00624300" w:rsidP="0075115D">
      <w:pPr>
        <w:pStyle w:val="BodyText1"/>
        <w:numPr>
          <w:ilvl w:val="0"/>
          <w:numId w:val="22"/>
        </w:numPr>
        <w:ind w:left="1418" w:hanging="425"/>
        <w:rPr>
          <w:i/>
          <w:iCs/>
        </w:rPr>
      </w:pPr>
      <w:r>
        <w:t xml:space="preserve">Solo la fornitura di pannelli solari  </w:t>
      </w:r>
    </w:p>
    <w:p w14:paraId="22703909" w14:textId="62056830" w:rsidR="00624300" w:rsidRPr="004C0EBD" w:rsidRDefault="00624300" w:rsidP="0075115D">
      <w:pPr>
        <w:pStyle w:val="BodyText1"/>
        <w:numPr>
          <w:ilvl w:val="0"/>
          <w:numId w:val="22"/>
        </w:numPr>
        <w:ind w:left="1418" w:hanging="425"/>
        <w:rPr>
          <w:i/>
          <w:iCs/>
        </w:rPr>
      </w:pPr>
      <w:r>
        <w:t>Solo l'installazione dell'impianto elettrico e dei componenti lato CC</w:t>
      </w:r>
    </w:p>
    <w:p w14:paraId="28F4917F" w14:textId="77777777" w:rsidR="004A78D5" w:rsidRPr="004A78D5" w:rsidRDefault="00624300" w:rsidP="0075115D">
      <w:pPr>
        <w:pStyle w:val="BodyText1"/>
        <w:numPr>
          <w:ilvl w:val="0"/>
          <w:numId w:val="22"/>
        </w:numPr>
        <w:ind w:left="1418" w:hanging="425"/>
        <w:rPr>
          <w:i/>
          <w:iCs/>
        </w:rPr>
      </w:pPr>
      <w:r>
        <w:t xml:space="preserve">Solo l'installazione dell'impianto elettrico e dei componenti lato AC </w:t>
      </w:r>
    </w:p>
    <w:p w14:paraId="064AD047" w14:textId="497E7AE5" w:rsidR="00624300" w:rsidRPr="004C0EBD" w:rsidRDefault="00624300" w:rsidP="004A78D5">
      <w:pPr>
        <w:pStyle w:val="BodyText1"/>
        <w:ind w:left="1418"/>
        <w:rPr>
          <w:i/>
          <w:iCs/>
        </w:rPr>
      </w:pP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Opere</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La parte contraente è pienamente responsabile dell'attuazione del progetto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Combinazione di progettazione, fornitura e opere: -&gt; opere</w:t>
      </w:r>
    </w:p>
    <w:p w14:paraId="2754C0BF" w14:textId="77777777" w:rsidR="00770820" w:rsidRPr="004C0EBD" w:rsidRDefault="00624300" w:rsidP="00FF7CCF">
      <w:pPr>
        <w:pStyle w:val="BodyText1"/>
      </w:pPr>
      <w:proofErr w:type="gramStart"/>
      <w:r>
        <w:t>Inoltre</w:t>
      </w:r>
      <w:proofErr w:type="gramEnd"/>
      <w:r>
        <w:t xml:space="preserve"> ad alcune organizzazioni si applicano ulteriori soglie specifiche. </w:t>
      </w:r>
    </w:p>
    <w:p w14:paraId="056740D2" w14:textId="77777777" w:rsidR="00FF7CCF" w:rsidRDefault="00624300" w:rsidP="00FF7CCF">
      <w:pPr>
        <w:pStyle w:val="BodyText1"/>
      </w:pPr>
      <w:r>
        <w:t xml:space="preserve">Il seguente paragrafo dovrebbe pertanto essere preso in considerazione solo </w:t>
      </w:r>
      <w:r>
        <w:rPr>
          <w:i/>
        </w:rPr>
        <w:t>a titolo orientativo</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Avvertenza: tali importi sono validi fino al 2023. Nel 2024 gli importi saranno presumibilmente </w:t>
      </w:r>
    </w:p>
    <w:p w14:paraId="59BA22B8" w14:textId="2C1F9501" w:rsidR="00624300" w:rsidRDefault="00E24CEC" w:rsidP="005C5B6D">
      <w:pPr>
        <w:pStyle w:val="BodyText1"/>
      </w:pPr>
      <w:r>
        <w:t xml:space="preserve">un po' più alti.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Aggiudicazione diretta semplice </w:t>
      </w:r>
    </w:p>
    <w:p w14:paraId="574FE2F4" w14:textId="7B1A7DFF" w:rsidR="00624300" w:rsidRPr="00FF7CCF" w:rsidRDefault="00624300" w:rsidP="004A78D5">
      <w:pPr>
        <w:pStyle w:val="ListParagraph"/>
        <w:numPr>
          <w:ilvl w:val="1"/>
          <w:numId w:val="6"/>
        </w:numPr>
        <w:tabs>
          <w:tab w:val="left" w:pos="3261"/>
        </w:tabs>
        <w:rPr>
          <w:rFonts w:ascii="Arial" w:hAnsi="Arial" w:cs="Arial"/>
        </w:rPr>
      </w:pPr>
      <w:r>
        <w:rPr>
          <w:rFonts w:ascii="Arial" w:hAnsi="Arial"/>
        </w:rPr>
        <w:t xml:space="preserve">Per le </w:t>
      </w:r>
      <w:r>
        <w:rPr>
          <w:rFonts w:ascii="Arial" w:hAnsi="Arial"/>
          <w:i/>
        </w:rPr>
        <w:t>Forniture</w:t>
      </w:r>
      <w:r>
        <w:rPr>
          <w:rFonts w:ascii="Arial" w:hAnsi="Arial"/>
        </w:rPr>
        <w:t xml:space="preserve">: </w:t>
      </w:r>
      <w:r>
        <w:rPr>
          <w:rFonts w:ascii="Arial" w:hAnsi="Arial"/>
        </w:rPr>
        <w:tab/>
        <w:t>&lt; 50 000 EUR</w:t>
      </w:r>
    </w:p>
    <w:p w14:paraId="41ED53B8" w14:textId="42608CCF" w:rsidR="00624300" w:rsidRPr="00FF7CCF" w:rsidRDefault="00624300" w:rsidP="004A78D5">
      <w:pPr>
        <w:pStyle w:val="ListParagraph"/>
        <w:numPr>
          <w:ilvl w:val="1"/>
          <w:numId w:val="6"/>
        </w:numPr>
        <w:tabs>
          <w:tab w:val="left" w:pos="3261"/>
        </w:tabs>
        <w:rPr>
          <w:rFonts w:ascii="Arial" w:hAnsi="Arial" w:cs="Arial"/>
        </w:rPr>
      </w:pPr>
      <w:r>
        <w:rPr>
          <w:rFonts w:ascii="Arial" w:hAnsi="Arial"/>
        </w:rPr>
        <w:t xml:space="preserve">Per le </w:t>
      </w:r>
      <w:r>
        <w:rPr>
          <w:rFonts w:ascii="Arial" w:hAnsi="Arial"/>
          <w:i/>
        </w:rPr>
        <w:t>Opere</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I progetti su piccola scala possono essere aggiudicati direttamente a una singola parte, ad esempio l'abituale società di installazione o qualsiasi altro fornitore locale. </w:t>
      </w:r>
    </w:p>
    <w:p w14:paraId="25AC0C47" w14:textId="68524A74" w:rsidR="00624300" w:rsidRPr="004C0EBD" w:rsidRDefault="009E09C2" w:rsidP="00FF7CCF">
      <w:pPr>
        <w:pStyle w:val="BodyText1"/>
        <w:ind w:left="426"/>
      </w:pPr>
      <w:r>
        <w:rPr>
          <w:i/>
        </w:rPr>
        <w:t>Vantaggi</w:t>
      </w:r>
      <w:r>
        <w:t>: tempi di esecuzione brevi, bassi costi procedurali, possibilità di trattativa, flessibilità.</w:t>
      </w:r>
      <w:r>
        <w:br/>
      </w:r>
      <w:r>
        <w:rPr>
          <w:i/>
        </w:rPr>
        <w:t>Svantaggi</w:t>
      </w:r>
      <w:r>
        <w:t>:</w:t>
      </w:r>
      <w:r w:rsidR="004A78D5">
        <w:t xml:space="preserve"> </w:t>
      </w:r>
      <w:r>
        <w:t xml:space="preserve">probabilmente non si tratta del miglior rapporto qualità/prezzo, rischio di conflitto di interessi.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Procedura diretta multipla</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Per le </w:t>
      </w:r>
      <w:r>
        <w:rPr>
          <w:rFonts w:ascii="Arial" w:hAnsi="Arial"/>
          <w:i/>
        </w:rPr>
        <w:t>Forniture</w:t>
      </w:r>
      <w:r>
        <w:rPr>
          <w:rFonts w:ascii="Arial" w:hAnsi="Arial"/>
        </w:rPr>
        <w:t xml:space="preserve"> alle istituzioni (semi)pubbliche decentralizzate: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lastRenderedPageBreak/>
        <w:t xml:space="preserve">Per le </w:t>
      </w:r>
      <w:r>
        <w:rPr>
          <w:rFonts w:ascii="Arial" w:hAnsi="Arial"/>
          <w:i/>
        </w:rPr>
        <w:t>Forniture</w:t>
      </w:r>
      <w:r>
        <w:rPr>
          <w:rFonts w:ascii="Arial" w:hAnsi="Arial"/>
        </w:rPr>
        <w:t xml:space="preserve"> alle organizzazioni che operano, inter alia, nei settori idrico, energetico o dei trasporti: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Per le </w:t>
      </w:r>
      <w:r>
        <w:rPr>
          <w:rFonts w:ascii="Arial" w:hAnsi="Arial"/>
          <w:i/>
        </w:rPr>
        <w:t>Opere</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Chiedere un'offerta a più fornitori. Aggiudicazione all'"offerta economicamente più vantaggiosa". </w:t>
      </w:r>
    </w:p>
    <w:p w14:paraId="722B33D7" w14:textId="3BE24D5E" w:rsidR="00560408" w:rsidRPr="00FF7CCF" w:rsidRDefault="00033DC3" w:rsidP="00FF7CCF">
      <w:pPr>
        <w:ind w:left="426"/>
        <w:rPr>
          <w:rFonts w:ascii="Arial" w:hAnsi="Arial" w:cs="Arial"/>
        </w:rPr>
      </w:pPr>
      <w:r>
        <w:rPr>
          <w:rFonts w:ascii="Arial" w:hAnsi="Arial"/>
          <w:i/>
        </w:rPr>
        <w:t>Vantaggi</w:t>
      </w:r>
      <w:r>
        <w:rPr>
          <w:rFonts w:ascii="Arial" w:hAnsi="Arial"/>
        </w:rPr>
        <w:t xml:space="preserve">: tempi di esecuzione brevi, bassi costi procedurali, possibilità di trattativa, flessibilità.   </w:t>
      </w:r>
    </w:p>
    <w:p w14:paraId="13255528" w14:textId="0554B7E5" w:rsidR="00FF7CCF" w:rsidRDefault="00033DC3" w:rsidP="005C5B6D">
      <w:pPr>
        <w:ind w:left="426"/>
        <w:rPr>
          <w:rFonts w:ascii="Arial" w:hAnsi="Arial"/>
        </w:rPr>
      </w:pPr>
      <w:r>
        <w:rPr>
          <w:rFonts w:ascii="Arial" w:hAnsi="Arial"/>
          <w:i/>
        </w:rPr>
        <w:t>Svantaggi</w:t>
      </w:r>
      <w:r>
        <w:rPr>
          <w:rFonts w:ascii="Arial" w:hAnsi="Arial"/>
        </w:rPr>
        <w:t xml:space="preserve">: molti offerenti non vedono il bando; non vi è alcuna possibilità di trattativa. </w:t>
      </w:r>
    </w:p>
    <w:p w14:paraId="48133758" w14:textId="77777777" w:rsidR="00B03AC9" w:rsidRPr="005C5B6D" w:rsidRDefault="00B03AC9" w:rsidP="005C5B6D">
      <w:pPr>
        <w:ind w:left="426"/>
        <w:rPr>
          <w:rFonts w:ascii="Arial" w:hAnsi="Arial" w:cs="Arial"/>
        </w:rPr>
      </w:pP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Procedura nazionale</w:t>
      </w:r>
      <w:r>
        <w:rPr>
          <w:rFonts w:ascii="Arial" w:hAnsi="Arial"/>
          <w:color w:val="3DC3C6"/>
        </w:rPr>
        <w:t xml:space="preserve">: </w:t>
      </w:r>
      <w:r>
        <w:rPr>
          <w:rFonts w:ascii="Arial" w:hAnsi="Arial"/>
        </w:rPr>
        <w:t>con o senza ciclo di selezione</w:t>
      </w:r>
    </w:p>
    <w:p w14:paraId="4B7F6BC3" w14:textId="2F9CEEB4" w:rsidR="00560408" w:rsidRPr="004C0EBD" w:rsidRDefault="00560408" w:rsidP="0075115D">
      <w:pPr>
        <w:pStyle w:val="BodyText1"/>
        <w:numPr>
          <w:ilvl w:val="0"/>
          <w:numId w:val="26"/>
        </w:numPr>
        <w:ind w:left="1134" w:firstLine="0"/>
      </w:pPr>
      <w:r>
        <w:t xml:space="preserve">Per le </w:t>
      </w:r>
      <w:r>
        <w:rPr>
          <w:i/>
        </w:rPr>
        <w:t>Forniture</w:t>
      </w:r>
      <w:r>
        <w:t xml:space="preserve"> alle autorità (semi) decentralizzate: &lt; 215 000 EUR</w:t>
      </w:r>
    </w:p>
    <w:p w14:paraId="1E677ECC" w14:textId="327E482F" w:rsidR="00560408" w:rsidRPr="004C0EBD" w:rsidRDefault="00560408" w:rsidP="0075115D">
      <w:pPr>
        <w:pStyle w:val="BodyText1"/>
        <w:numPr>
          <w:ilvl w:val="0"/>
          <w:numId w:val="26"/>
        </w:numPr>
        <w:ind w:left="1418" w:hanging="284"/>
      </w:pPr>
      <w:r>
        <w:t xml:space="preserve">Per le </w:t>
      </w:r>
      <w:r>
        <w:rPr>
          <w:i/>
        </w:rPr>
        <w:t>Forniture</w:t>
      </w:r>
      <w:r>
        <w:t xml:space="preserve"> alle organizzazioni che operano, inter alia, nei settori idrico, energetico o dei trasporti: &lt; 431 000 EUR</w:t>
      </w:r>
    </w:p>
    <w:p w14:paraId="309D7CF0" w14:textId="31A3EFEB" w:rsidR="00560408" w:rsidRPr="004C0EBD" w:rsidRDefault="00560408" w:rsidP="0075115D">
      <w:pPr>
        <w:pStyle w:val="BodyText1"/>
        <w:numPr>
          <w:ilvl w:val="0"/>
          <w:numId w:val="26"/>
        </w:numPr>
        <w:ind w:left="1134" w:firstLine="0"/>
      </w:pPr>
      <w:r>
        <w:t xml:space="preserve">Per le </w:t>
      </w:r>
      <w:r>
        <w:rPr>
          <w:i/>
        </w:rPr>
        <w:t>Opere</w:t>
      </w:r>
      <w:r>
        <w:t>: &lt; 5 382 000 EUR</w:t>
      </w:r>
    </w:p>
    <w:p w14:paraId="78D6BC75" w14:textId="16162A04" w:rsidR="009E09C2" w:rsidRPr="004C0EBD" w:rsidRDefault="00033DC3" w:rsidP="00FF7CCF">
      <w:pPr>
        <w:pStyle w:val="BodyText1"/>
        <w:ind w:left="426"/>
      </w:pPr>
      <w:r>
        <w:t xml:space="preserve">Avviso di gara su </w:t>
      </w:r>
      <w:hyperlink r:id="rId16" w:tooltip="Link esterno: tenderned.nl" w:history="1">
        <w:r>
          <w:rPr>
            <w:color w:val="D52B1E"/>
            <w:u w:val="single"/>
          </w:rPr>
          <w:t>TenderNed</w:t>
        </w:r>
      </w:hyperlink>
      <w:r>
        <w:t xml:space="preserve"> ed eventualmente su riviste specializzate o giornali. Quando si utilizza un ciclo di selezione, spesso cinque fornitori sono invitati a presentare un'offerta.  </w:t>
      </w:r>
      <w:r>
        <w:br/>
      </w:r>
      <w:r>
        <w:rPr>
          <w:i/>
        </w:rPr>
        <w:t>Vantaggi</w:t>
      </w:r>
      <w:r>
        <w:t>: ampia concorrenza, rapporto qualità/prezzo in linea con il mercato; obiettività; trasparenza.</w:t>
      </w:r>
      <w:r>
        <w:br/>
      </w:r>
      <w:r>
        <w:rPr>
          <w:i/>
        </w:rPr>
        <w:t>Svantaggi</w:t>
      </w:r>
      <w:r>
        <w:t xml:space="preserve">: tempi di esecuzione lunghi, costi procedurali considerevoli, poca flessibilità.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Bando di gara a livello europeo</w:t>
      </w:r>
      <w:r>
        <w:rPr>
          <w:rFonts w:ascii="Arial" w:hAnsi="Arial"/>
          <w:color w:val="3DC3C6"/>
        </w:rPr>
        <w:t xml:space="preserve">: </w:t>
      </w:r>
      <w:r>
        <w:rPr>
          <w:rFonts w:ascii="Arial" w:hAnsi="Arial"/>
        </w:rPr>
        <w:t xml:space="preserve">con o senza ciclo di selezione.  </w:t>
      </w:r>
    </w:p>
    <w:p w14:paraId="757143C4" w14:textId="77777777" w:rsidR="005C5B6D" w:rsidRDefault="00033DC3" w:rsidP="005C5B6D">
      <w:pPr>
        <w:pStyle w:val="BodyText1"/>
        <w:ind w:left="426"/>
      </w:pPr>
      <w:r>
        <w:t xml:space="preserve">Avviso su TenderNed. Quando si utilizza un ciclo di selezione, spesso cinque fornitori sono invitati a presentare un'offerta. </w:t>
      </w:r>
    </w:p>
    <w:p w14:paraId="4143539F" w14:textId="37FF35F5" w:rsidR="00033DC3" w:rsidRPr="004C0EBD" w:rsidRDefault="00033DC3" w:rsidP="005C5B6D">
      <w:pPr>
        <w:pStyle w:val="BodyText1"/>
        <w:ind w:left="426"/>
      </w:pPr>
      <w:r>
        <w:rPr>
          <w:i/>
        </w:rPr>
        <w:t>Vantaggi</w:t>
      </w:r>
      <w:r>
        <w:t xml:space="preserve">: tutto il mercato può presentare un'offerta; forte pressione concorrenziale; obiettività; trasparenza. </w:t>
      </w:r>
    </w:p>
    <w:p w14:paraId="09E05DD5" w14:textId="57DCC175" w:rsidR="009E09C2" w:rsidRDefault="00033DC3" w:rsidP="005C5B6D">
      <w:pPr>
        <w:pStyle w:val="BodyText1"/>
        <w:ind w:left="426"/>
      </w:pPr>
      <w:r>
        <w:rPr>
          <w:i/>
        </w:rPr>
        <w:t>Svantaggi:</w:t>
      </w:r>
      <w:r>
        <w:t xml:space="preserve"> procedura lunga; costi procedurali elevati in caso di (troppe) presentazioni; nessuna trattativa possibile, poca flessibilità.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Per ulteriori informazioni sugli importi delle soglie nazionali: </w:t>
      </w:r>
      <w:hyperlink r:id="rId17" w:history="1">
        <w:r>
          <w:rPr>
            <w:rStyle w:val="Hyperlink"/>
            <w:color w:val="3DC3C6"/>
          </w:rPr>
          <w:t>https://www.pianoo.nl/nl/inkoopproces/aanbestedingsprocedures/nationale-procedures/circulaire-grensbedragen-rijksoverheid</w:t>
        </w:r>
      </w:hyperlink>
      <w:r>
        <w:t>.</w:t>
      </w:r>
    </w:p>
    <w:p w14:paraId="1FB54116" w14:textId="6FC9952D" w:rsidR="009E09C2" w:rsidRPr="004C0EBD" w:rsidRDefault="00560408" w:rsidP="005C5B6D">
      <w:pPr>
        <w:pStyle w:val="BodyText1"/>
        <w:jc w:val="left"/>
        <w:rPr>
          <w:sz w:val="18"/>
          <w:szCs w:val="18"/>
        </w:rPr>
      </w:pPr>
      <w:r>
        <w:t xml:space="preserve">Per ulteriori informazioni sugli importi delle soglie europee:  </w:t>
      </w:r>
      <w:r>
        <w:br/>
      </w:r>
      <w:hyperlink r:id="rId18" w:history="1">
        <w:r>
          <w:rPr>
            <w:rStyle w:val="Hyperlink"/>
            <w:color w:val="3DC3C6"/>
          </w:rPr>
          <w:t>https://www.pianoo.nl/nl/regelgeving/drempelbedragen-europees-aanbesteden</w:t>
        </w:r>
      </w:hyperlink>
      <w:r>
        <w:t>.</w:t>
      </w:r>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Consiglio 3</w:t>
      </w:r>
      <w:r>
        <w:rPr>
          <w:rFonts w:ascii="Arial" w:hAnsi="Arial"/>
          <w:color w:val="70AD47" w:themeColor="accent6"/>
        </w:rPr>
        <w:t xml:space="preserve"> </w:t>
      </w:r>
      <w:r>
        <w:rPr>
          <w:rFonts w:ascii="Arial" w:hAnsi="Arial"/>
        </w:rPr>
        <w:t>Per i progetti più ampi, &gt; 2 MWp, l'</w:t>
      </w:r>
      <w:r>
        <w:rPr>
          <w:rFonts w:ascii="Arial" w:hAnsi="Arial"/>
          <w:b/>
          <w:color w:val="104D54"/>
        </w:rPr>
        <w:t>allegato 3</w:t>
      </w:r>
      <w:r>
        <w:rPr>
          <w:rFonts w:ascii="Arial" w:hAnsi="Arial"/>
        </w:rPr>
        <w:t xml:space="preserve"> fornisce un elenco</w:t>
      </w:r>
      <w:r w:rsidRPr="005C5B6D">
        <w:rPr>
          <w:rStyle w:val="FootnoteReference"/>
          <w:rFonts w:ascii="Arial" w:hAnsi="Arial" w:cs="Arial"/>
        </w:rPr>
        <w:footnoteReference w:id="2"/>
      </w:r>
      <w:r>
        <w:rPr>
          <w:rFonts w:ascii="Arial" w:hAnsi="Arial"/>
        </w:rPr>
        <w:t xml:space="preserve"> di società di installazione, sviluppatori di progetti e società di EPC [</w:t>
      </w:r>
      <w:r>
        <w:rPr>
          <w:rFonts w:ascii="Arial" w:hAnsi="Arial"/>
          <w:i/>
        </w:rPr>
        <w:t>Energieprestatiecontracten</w:t>
      </w:r>
      <w:r>
        <w:rPr>
          <w:rFonts w:ascii="Arial" w:hAnsi="Arial"/>
        </w:rPr>
        <w:t xml:space="preserve"> - Contratti di prestazione energetica] con esperienza in progetti di grandi dimensioni nei Paesi Bassi. </w:t>
      </w:r>
    </w:p>
    <w:p w14:paraId="38677CE4" w14:textId="243F0FE6" w:rsidR="00B03AC9" w:rsidRDefault="00B03AC9">
      <w:pPr>
        <w:spacing w:line="240" w:lineRule="auto"/>
        <w:rPr>
          <w:rFonts w:ascii="Arial" w:eastAsiaTheme="majorEastAsia" w:hAnsi="Arial" w:cs="Arial"/>
          <w:color w:val="92D050"/>
          <w:sz w:val="32"/>
          <w:szCs w:val="32"/>
        </w:rPr>
      </w:pPr>
      <w:r>
        <w:rPr>
          <w:rFonts w:ascii="Arial" w:eastAsiaTheme="majorEastAsia" w:hAnsi="Arial" w:cs="Arial"/>
          <w:color w:val="92D050"/>
          <w:sz w:val="32"/>
          <w:szCs w:val="32"/>
        </w:rPr>
        <w:br w:type="page"/>
      </w:r>
    </w:p>
    <w:p w14:paraId="0F9139DA" w14:textId="55EA2FB1" w:rsidR="00FA7BE8" w:rsidRPr="004C0EBD" w:rsidRDefault="00C71DF9" w:rsidP="00F426F5">
      <w:pPr>
        <w:pStyle w:val="MH2"/>
      </w:pPr>
      <w:bookmarkStart w:id="71" w:name="_Toc180569765"/>
      <w:r>
        <w:lastRenderedPageBreak/>
        <w:t>Fase 4 Autorizzazioni e collegamento alla rete</w:t>
      </w:r>
      <w:bookmarkEnd w:id="71"/>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 xml:space="preserve">Questa fase si concentrerà sulle autorizzazioni ambientali </w:t>
      </w:r>
      <w:proofErr w:type="gramStart"/>
      <w:r>
        <w:t>ed</w:t>
      </w:r>
      <w:proofErr w:type="gramEnd"/>
      <w:r>
        <w:t xml:space="preserve"> edilizie, oltre a esaminare alcune opzioni relative al collegamento alla rete.</w:t>
      </w:r>
    </w:p>
    <w:p w14:paraId="51CE28AD" w14:textId="77777777" w:rsidR="00BA688B" w:rsidRPr="004C0EBD" w:rsidRDefault="00BA688B" w:rsidP="00A3595E"/>
    <w:p w14:paraId="3536D660" w14:textId="690EBEDC" w:rsidR="00B54C59" w:rsidRPr="004C0EBD" w:rsidRDefault="00444DFF" w:rsidP="00F426F5">
      <w:pPr>
        <w:pStyle w:val="MH3"/>
      </w:pPr>
      <w:bookmarkStart w:id="72" w:name="_Toc180569766"/>
      <w:r>
        <w:t>4.1 Autorizzazioni</w:t>
      </w:r>
      <w:bookmarkEnd w:id="72"/>
    </w:p>
    <w:p w14:paraId="4D38BD90" w14:textId="77777777" w:rsidR="004A78D5" w:rsidRDefault="00E97EDE" w:rsidP="005C5B6D">
      <w:pPr>
        <w:pStyle w:val="BodyText1"/>
      </w:pPr>
      <w:r>
        <w:t xml:space="preserve">Molti progetti subiscono ritardi a causa della mancata richiesta delle autorizzazioni ambientali (in tempo). </w:t>
      </w:r>
    </w:p>
    <w:p w14:paraId="3795DE65" w14:textId="1923BA2E" w:rsidR="006171C0" w:rsidRPr="004C0EBD" w:rsidRDefault="00E97EDE" w:rsidP="005C5B6D">
      <w:pPr>
        <w:pStyle w:val="BodyText1"/>
      </w:pPr>
      <w:r>
        <w:t xml:space="preserve">Questo è il motivo per cui è meglio richiedere le autorizzazioni necessarie il prima possibile nel corso del processo.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Ciò può comportare ulteriori requisiti: </w:t>
      </w:r>
    </w:p>
    <w:p w14:paraId="038A1C40" w14:textId="77777777" w:rsidR="005C5B6D" w:rsidRDefault="00B54C59" w:rsidP="0075115D">
      <w:pPr>
        <w:pStyle w:val="BodyText1"/>
        <w:numPr>
          <w:ilvl w:val="0"/>
          <w:numId w:val="28"/>
        </w:numPr>
      </w:pPr>
      <w:r>
        <w:t xml:space="preserve">per i progetti </w:t>
      </w:r>
      <w:r>
        <w:rPr>
          <w:b/>
          <w:i/>
          <w:color w:val="3DC3C6"/>
        </w:rPr>
        <w:t>Sun-on-</w:t>
      </w:r>
      <w:proofErr w:type="gramStart"/>
      <w:r>
        <w:rPr>
          <w:b/>
          <w:i/>
          <w:color w:val="3DC3C6"/>
        </w:rPr>
        <w:t>Roof</w:t>
      </w:r>
      <w:r>
        <w:rPr>
          <w:color w:val="3DC3C6"/>
        </w:rPr>
        <w:t xml:space="preserve"> </w:t>
      </w:r>
      <w:r>
        <w:t>,</w:t>
      </w:r>
      <w:proofErr w:type="gramEnd"/>
      <w:r>
        <w:t xml:space="preserve"> </w:t>
      </w:r>
      <w:r>
        <w:rPr>
          <w:i/>
        </w:rPr>
        <w:t xml:space="preserve">in genere non </w:t>
      </w:r>
      <w:r>
        <w:t xml:space="preserve">sono necessarie autorizzazioni ambientali.  </w:t>
      </w:r>
      <w:r>
        <w:br/>
      </w:r>
      <w:proofErr w:type="gramStart"/>
      <w:r>
        <w:t>Tuttavia</w:t>
      </w:r>
      <w:proofErr w:type="gramEnd"/>
      <w:r>
        <w:t xml:space="preserve"> gli edifici elencati necessitano di un'autorizzazione;</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per i progetti </w:t>
      </w:r>
      <w:r>
        <w:rPr>
          <w:rFonts w:ascii="Arial" w:hAnsi="Arial"/>
          <w:b/>
          <w:i/>
          <w:color w:val="3DC3C6"/>
        </w:rPr>
        <w:t>Sun-on-</w:t>
      </w:r>
      <w:proofErr w:type="gramStart"/>
      <w:r>
        <w:rPr>
          <w:rFonts w:ascii="Arial" w:hAnsi="Arial"/>
          <w:b/>
          <w:i/>
          <w:color w:val="3DC3C6"/>
        </w:rPr>
        <w:t>Land</w:t>
      </w:r>
      <w:r>
        <w:rPr>
          <w:rFonts w:ascii="Arial" w:hAnsi="Arial"/>
          <w:color w:val="3DC3C6"/>
        </w:rPr>
        <w:t xml:space="preserve"> </w:t>
      </w:r>
      <w:r>
        <w:rPr>
          <w:rFonts w:ascii="Arial" w:hAnsi="Arial"/>
        </w:rPr>
        <w:t>,</w:t>
      </w:r>
      <w:proofErr w:type="gramEnd"/>
      <w:r>
        <w:rPr>
          <w:rFonts w:ascii="Arial" w:hAnsi="Arial"/>
        </w:rPr>
        <w:t xml:space="preserve"> possono essere richieste le autorizzazioni e indagini seguenti:</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piano regolatore,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licenza edilizia,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autorizzazione ambientale,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indagine su questioni ambientali/specie animali rare,</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indagine archeologica,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indagine sugli esplosivi abbandonati;</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per i progetti </w:t>
      </w:r>
      <w:r>
        <w:rPr>
          <w:rFonts w:ascii="Arial" w:hAnsi="Arial"/>
          <w:b/>
          <w:i/>
          <w:color w:val="3DC3C6"/>
        </w:rPr>
        <w:t>Sun-on-</w:t>
      </w:r>
      <w:proofErr w:type="gramStart"/>
      <w:r>
        <w:rPr>
          <w:rFonts w:ascii="Arial" w:hAnsi="Arial"/>
          <w:b/>
          <w:i/>
          <w:color w:val="3DC3C6"/>
        </w:rPr>
        <w:t>Water</w:t>
      </w:r>
      <w:r>
        <w:rPr>
          <w:rFonts w:ascii="Arial" w:hAnsi="Arial"/>
          <w:color w:val="3DC3C6"/>
        </w:rPr>
        <w:t xml:space="preserve"> </w:t>
      </w:r>
      <w:r>
        <w:rPr>
          <w:rFonts w:ascii="Arial" w:hAnsi="Arial"/>
        </w:rPr>
        <w:t>,</w:t>
      </w:r>
      <w:proofErr w:type="gramEnd"/>
      <w:r>
        <w:rPr>
          <w:rFonts w:ascii="Arial" w:hAnsi="Arial"/>
        </w:rPr>
        <w:t xml:space="preserve"> sono richieste varie autorizzazioni: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autorizzazione ambientale,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piano regolatore,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licenza edilizia.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Avvertenza per il Sun-on-Water: i progetti FV non sono consentiti per alcuni tipi di zone acquatiche, in ragione della presenza di specie vulnerabili o rare. Tali zone includono stagni, paludi, sorgenti e stagni di brughiera.  </w:t>
      </w:r>
    </w:p>
    <w:p w14:paraId="7F426014" w14:textId="268BB29D" w:rsidR="00E611E7" w:rsidRPr="005C5B6D" w:rsidRDefault="00E97EDE" w:rsidP="005C5B6D">
      <w:pPr>
        <w:pStyle w:val="BodyText1"/>
      </w:pPr>
      <w:r>
        <w:br/>
        <w:t>È pertanto essenziale consultare prima l'ente per le acque. L'ente per le acque spesso impone requisiti specifici per un progetto Sun-on-Water</w:t>
      </w:r>
      <w:r w:rsidRPr="005C5B6D">
        <w:rPr>
          <w:rStyle w:val="FootnoteReference"/>
          <w:vertAlign w:val="baseline"/>
        </w:rPr>
        <w:footnoteReference w:id="3"/>
      </w:r>
      <w:r>
        <w:t xml:space="preserve">. Occorre inoltre tenere conto del fatto che Sun-on-Water è ancora uno sviluppo relativamente nuovo. Sono disponibili numerosi sistemi e materiali diversi, ma non esistono ancora standard validi o collaudi standardizzati per i galleggianti e i sistemi di installazione. Anche nelle acque interne vi è il rischio che i sistemi non durino più di 10 o 15 anni a causa del vento e delle onde. </w:t>
      </w:r>
    </w:p>
    <w:p w14:paraId="6360BEE7" w14:textId="77777777" w:rsidR="005C5B6D" w:rsidRPr="004C0EBD" w:rsidRDefault="005C5B6D" w:rsidP="005C5B6D">
      <w:pPr>
        <w:pStyle w:val="BodyText1"/>
      </w:pPr>
    </w:p>
    <w:p w14:paraId="5E7E5410" w14:textId="53E4B5B3" w:rsidR="00B54C59" w:rsidRPr="004C0EBD" w:rsidRDefault="00444DFF" w:rsidP="00F426F5">
      <w:pPr>
        <w:pStyle w:val="MH3"/>
      </w:pPr>
      <w:bookmarkStart w:id="73" w:name="_Toc180569767"/>
      <w:r>
        <w:t>4.2 Collegamento alla rete: opzioni e considerazioni</w:t>
      </w:r>
      <w:bookmarkEnd w:id="73"/>
    </w:p>
    <w:p w14:paraId="7DF4F35F" w14:textId="13A80543" w:rsidR="005C7AE9" w:rsidRPr="004C0EBD" w:rsidRDefault="0029163B" w:rsidP="00B848B1">
      <w:pPr>
        <w:pStyle w:val="BodyText1"/>
      </w:pPr>
      <w:r>
        <w:lastRenderedPageBreak/>
        <w:t xml:space="preserve">Le opzioni di collegamento alla rete dipendono dal numero di pannelli solari scelti. Una buona opzione, a volte, è quella di installare meno pannelli rispetto al numero massimo installabile, per rimanere all'interno del collegamento alla rete esistente.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Le domande e considerazioni seguenti sono importanti per compiere la scelta giusta.  </w:t>
      </w:r>
      <w:r>
        <w:br/>
      </w:r>
    </w:p>
    <w:p w14:paraId="0D949EEB" w14:textId="2273F828" w:rsidR="00154E4F" w:rsidRPr="004C0EBD" w:rsidRDefault="00154E4F" w:rsidP="0075115D">
      <w:pPr>
        <w:pStyle w:val="ListParagraph"/>
        <w:numPr>
          <w:ilvl w:val="0"/>
          <w:numId w:val="32"/>
        </w:numPr>
      </w:pPr>
      <w:r>
        <w:rPr>
          <w:rFonts w:ascii="Arial" w:hAnsi="Arial"/>
          <w:b/>
          <w:color w:val="3DC3C6"/>
        </w:rPr>
        <w:t>Autoconsumo in loco</w:t>
      </w:r>
      <w:r>
        <w:br/>
        <w:t xml:space="preserve">Qual è il rapporto tra la capacità massima durante le ore diurne e il consumo in loco durante le ore diurne e nei periodi invernale ed estivo?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Adattamento del collegamento alla rete o installazione di un EMS</w:t>
      </w:r>
      <w:r>
        <w:rPr>
          <w:color w:val="3DC3C6"/>
        </w:rPr>
        <w:t xml:space="preserve"> </w:t>
      </w:r>
      <w:r>
        <w:br/>
      </w:r>
      <w:r>
        <w:rPr>
          <w:rFonts w:ascii="Arial" w:hAnsi="Arial"/>
        </w:rPr>
        <w:t xml:space="preserve">La capacità a corrente alternata degli invertitori è solitamente pari al 50-75 % della capacità a corrente continua dei pannelli solari. Se la capacità a corrente alternata è superiore al collegamento alla rete, sono disponibili due opzioni: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Opzione 1 - Aumento della capacità di collegamento alla rete</w:t>
      </w:r>
      <w:r>
        <w:rPr>
          <w:rFonts w:ascii="Arial" w:hAnsi="Arial"/>
          <w:color w:val="3DC3C6"/>
        </w:rPr>
        <w:t xml:space="preserve">  </w:t>
      </w:r>
      <w:r>
        <w:rPr>
          <w:rFonts w:ascii="Arial" w:hAnsi="Arial"/>
        </w:rPr>
        <w:br/>
        <w:t xml:space="preserve">Si dovrebbe verificare con l'operatore di rete quali sono i tempi di attesa e informarsi sul costo...  </w:t>
      </w:r>
    </w:p>
    <w:p w14:paraId="35BAC780" w14:textId="77777777" w:rsidR="00B848B1" w:rsidRPr="00B848B1" w:rsidRDefault="0029163B" w:rsidP="004A78D5">
      <w:pPr>
        <w:pStyle w:val="ListParagraph"/>
        <w:numPr>
          <w:ilvl w:val="0"/>
          <w:numId w:val="34"/>
        </w:numPr>
        <w:tabs>
          <w:tab w:val="left" w:pos="1134"/>
        </w:tabs>
        <w:ind w:left="1134" w:hanging="425"/>
        <w:rPr>
          <w:color w:val="000000" w:themeColor="text1"/>
        </w:rPr>
      </w:pPr>
      <w:r>
        <w:rPr>
          <w:rFonts w:ascii="Arial" w:hAnsi="Arial"/>
          <w:color w:val="000000" w:themeColor="text1"/>
        </w:rPr>
        <w:t xml:space="preserve">i tempi di attesa per un collegamento alla rete su larga scala possono arrivare a cinque anni (!); </w:t>
      </w:r>
    </w:p>
    <w:p w14:paraId="743281D9" w14:textId="16181A6F" w:rsidR="00B54067" w:rsidRPr="004C0EBD" w:rsidRDefault="00B848B1" w:rsidP="004A78D5">
      <w:pPr>
        <w:pStyle w:val="ListParagraph"/>
        <w:numPr>
          <w:ilvl w:val="0"/>
          <w:numId w:val="34"/>
        </w:numPr>
        <w:tabs>
          <w:tab w:val="left" w:pos="1134"/>
        </w:tabs>
        <w:ind w:left="1134" w:hanging="425"/>
      </w:pPr>
      <w:proofErr w:type="gramStart"/>
      <w:r>
        <w:rPr>
          <w:rFonts w:ascii="Arial" w:hAnsi="Arial"/>
          <w:color w:val="000000" w:themeColor="text1"/>
        </w:rPr>
        <w:t>inoltre</w:t>
      </w:r>
      <w:proofErr w:type="gramEnd"/>
      <w:r>
        <w:rPr>
          <w:rFonts w:ascii="Arial" w:hAnsi="Arial"/>
          <w:color w:val="000000" w:themeColor="text1"/>
        </w:rPr>
        <w:t xml:space="preserve"> i costi iniziali e annui possono essere elevati, rendendo il business case meno attraente rispetto al mantenimento della capacità del collegamento esistente.</w:t>
      </w:r>
      <w:r>
        <w:rPr>
          <w:rFonts w:ascii="Arial" w:hAnsi="Arial"/>
        </w:rPr>
        <w:br/>
        <w:t xml:space="preserve">   </w:t>
      </w:r>
      <w:r>
        <w:rPr>
          <w:rFonts w:ascii="Arial" w:hAnsi="Arial"/>
        </w:rPr>
        <w:br/>
      </w:r>
      <w:r>
        <w:rPr>
          <w:rFonts w:ascii="Arial" w:hAnsi="Arial"/>
          <w:i/>
          <w:color w:val="3DC3C6"/>
        </w:rPr>
        <w:t xml:space="preserve">Opzione 2 - Utilizzo di un sistema di gestione dell'energia </w:t>
      </w:r>
      <w:r>
        <w:rPr>
          <w:rFonts w:ascii="Arial" w:hAnsi="Arial"/>
          <w:color w:val="3DC3C6"/>
        </w:rPr>
        <w:t xml:space="preserve">(EMS) </w:t>
      </w:r>
      <w:r>
        <w:rPr>
          <w:rFonts w:ascii="Arial" w:hAnsi="Arial"/>
        </w:rPr>
        <w:br/>
        <w:t>Un EMS monitora costantemente la produzione di energia fotovoltaica e il consumo di elettricità e garantisce che la rete non venga mai rialimentata oltre una certa quantità di energia.</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Punti di ricarica e auto elettriche</w:t>
      </w:r>
      <w:r>
        <w:br/>
      </w:r>
      <w:r>
        <w:rPr>
          <w:rFonts w:ascii="Arial" w:hAnsi="Arial"/>
        </w:rPr>
        <w:t>Sono presenti punti di ricarica per le auto elettriche in loco o se ne prevede l'installazione a breve termine? Cosa significa questo in termini di collegamento elettrico? La ricarica "intelligente" è auspicabile in base all'energia solare disponibile, alla tariffa elettrica o al collegamento alla rete?</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Gestione della domanda</w:t>
      </w:r>
      <w:r>
        <w:br/>
      </w:r>
      <w:r>
        <w:rPr>
          <w:rFonts w:ascii="Arial" w:hAnsi="Arial"/>
        </w:rPr>
        <w:t xml:space="preserve">È possibile azionare determinati dispositivi e macchine in modo "intelligente" e accenderli solo in determinati orari? Benefici: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rimanere all'interno del collegamento alla rete esistente, sia per il consumo sia per la produzione;</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beneficiare dei prezzi bassi e scollegarsi quando i prezzi sono alti.</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Batterie</w:t>
      </w:r>
      <w:r>
        <w:br/>
      </w:r>
      <w:r>
        <w:rPr>
          <w:rFonts w:ascii="Arial" w:hAnsi="Arial"/>
        </w:rPr>
        <w:t xml:space="preserve">L'aggiunta di batterie a un EMS offre ulteriori possibilità. Per rimanere nell'ambito del collegamento alla rete esistente, l'energia prodotta oltre la capacità massima del collegamento alla rete può essere immagazzinata nella batteria. </w:t>
      </w:r>
    </w:p>
    <w:p w14:paraId="7232CC23" w14:textId="44ED6275" w:rsidR="000E3421" w:rsidRPr="009F1963" w:rsidRDefault="0052536B" w:rsidP="00585024">
      <w:pPr>
        <w:ind w:left="709"/>
        <w:jc w:val="both"/>
        <w:rPr>
          <w:rFonts w:ascii="Arial" w:hAnsi="Arial" w:cs="Arial"/>
        </w:rPr>
      </w:pPr>
      <w:r>
        <w:rPr>
          <w:rFonts w:ascii="Arial" w:hAnsi="Arial"/>
        </w:rPr>
        <w:lastRenderedPageBreak/>
        <w:t xml:space="preserve">Il tempo di ammortamento delle batterie è ad oggi piuttosto lungo e imprevedibile. È possibile analizzare il business case di diversi obiettivi: 1) limitazione della produzione fotovoltaica all'interno del collegamento esistente; 2) limitazione della percentuale di autoconsumo di energia solare; 3) ottimizzazione finanziaria.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646FECC5">
                <wp:simplePos x="0" y="0"/>
                <wp:positionH relativeFrom="column">
                  <wp:posOffset>1905</wp:posOffset>
                </wp:positionH>
                <wp:positionV relativeFrom="paragraph">
                  <wp:posOffset>125095</wp:posOffset>
                </wp:positionV>
                <wp:extent cx="379730" cy="577850"/>
                <wp:effectExtent l="0" t="0" r="1270" b="0"/>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577850"/>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15pt;margin-top:9.85pt;width:29.9pt;height:4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JuELgIAAFoEAAAOAAAAZHJzL2Uyb0RvYy54bWysVEtv2zAMvg/YfxB0X5xn0xpxiixFhgFF&#10;WyAdelZkKRYgi5qkxM5+/Sg5r3Y7DbvIpEjx8X2kZ/dtrcleOK/AFHTQ61MiDIdSmW1Bf7yuvtxS&#10;4gMzJdNgREEPwtP7+edPs8bmYggV6FI4gkGMzxtb0CoEm2eZ55Wome+BFQaNElzNAqpum5WONRi9&#10;1tmw37/JGnCldcCF93j70BnpPMWXUvDwLKUXgeiCYm0hnS6dm3hm8xnLt47ZSvFjGewfqqiZMpj0&#10;HOqBBUZ2Tv0RqlbcgQcZehzqDKRUXKQesJtB/0M364pZkXpBcLw9w+T/X1j+tF/bF0dC+xVaJDAC&#10;0life7yM/bTS1fGLlRK0I4SHM2yiDYTj5Wh6Nx2hhaNpMp3eThKs2eWxdT58E1CTKBTUISsJLLZ/&#10;9AETouvJJebyoFW5UlonJU6CWGpH9gw51CGViC/eeWlDmoLejDB1fGQgPu8ia4MJLi1FKbSblqgS&#10;qz21u4HygCg46AbEW75SWOsj8+GFOZwIbA+nPDzjITVgLjhKlFTgfv3tPvojUWilpMEJK6j/uWNO&#10;UKK/G6TwbjAex5FMyngyHaLiri2ba4vZ1UtAAAa4T5YnMfoHfRKlg/oNl2ERs6KJGY65CxpO4jJ0&#10;c4/LxMVikZxwCC0Lj2ZteQwdsYtMvLZvzNkjXQF5foLTLLL8A2udb4f6YhdAqkRpxLlD9Qg/DnBi&#10;+rhscUOu9eR1+SXMfwMAAP//AwBQSwMEFAAGAAgAAAAhAANYk8DbAAAABgEAAA8AAABkcnMvZG93&#10;bnJldi54bWxMjktPhDAUhfcm/ofmmrgxTovEQZEyMcZHMjsHH3HXoVcg0ltCO4D/3utKl+eRc75i&#10;s7heTDiGzpOGZKVAINXedtRoeKkezq9AhGjImt4TavjGAJvy+KgwufUzPeO0i43gEQq50dDGOORS&#10;hrpFZ8LKD0icffrRmchybKQdzczjrpcXSq2lMx3xQ2sGvGux/todnIaPs+Z9G5bH1zm9TIf7p6nK&#10;3myl9enJcnsDIuIS/8rwi8/oUDLT3h/IBtFrSLnH7nUGgtO1SkDsWScqA1kW8j9++QMAAP//AwBQ&#10;SwECLQAUAAYACAAAACEAtoM4kv4AAADhAQAAEwAAAAAAAAAAAAAAAAAAAAAAW0NvbnRlbnRfVHlw&#10;ZXNdLnhtbFBLAQItABQABgAIAAAAIQA4/SH/1gAAAJQBAAALAAAAAAAAAAAAAAAAAC8BAABfcmVs&#10;cy8ucmVsc1BLAQItABQABgAIAAAAIQDd6JuELgIAAFoEAAAOAAAAAAAAAAAAAAAAAC4CAABkcnMv&#10;ZTJvRG9jLnhtbFBLAQItABQABgAIAAAAIQADWJPA2wAAAAY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Consiglio 4</w:t>
      </w:r>
      <w:r>
        <w:rPr>
          <w:rFonts w:ascii="Arial" w:hAnsi="Arial"/>
          <w:color w:val="FFFFFF" w:themeColor="background1"/>
        </w:rPr>
        <w:t xml:space="preserve"> </w:t>
      </w:r>
      <w:r>
        <w:rPr>
          <w:rFonts w:ascii="Arial" w:hAnsi="Arial"/>
          <w:color w:val="104D54"/>
        </w:rPr>
        <w:t>Anche in questo caso, i consulenti specializzati possono fornire assistenza. L'elenco (ancora incompleto) dei consulenti specializzati è disponibile nell'</w:t>
      </w:r>
      <w:r>
        <w:rPr>
          <w:rFonts w:ascii="Arial" w:hAnsi="Arial"/>
          <w:b/>
          <w:color w:val="104D54"/>
          <w:u w:val="single"/>
        </w:rPr>
        <w:t>allegato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Qualora fosse opportuno aggiungere al progetto punti di ricarica, batterie o un EMS, si pone la questione se </w:t>
      </w:r>
      <w:r>
        <w:rPr>
          <w:i/>
        </w:rPr>
        <w:t>combinare</w:t>
      </w:r>
      <w:r>
        <w:t xml:space="preserve"> o meno tutto questo con l'impianto fotovoltaico in un unico contratto/bando di gara. La preparazione di un contratto o di un bando di gara separato in tal senso potrebbe ridurre il grado di complessità per il cliente e la parte contraente. </w:t>
      </w:r>
    </w:p>
    <w:p w14:paraId="7EF32110" w14:textId="77777777" w:rsidR="009F1963" w:rsidRPr="00C42EE6" w:rsidRDefault="009F1963" w:rsidP="009F1963"/>
    <w:p w14:paraId="04E2F86E" w14:textId="77777777" w:rsidR="009F1963" w:rsidRPr="0064099B" w:rsidRDefault="009F1963" w:rsidP="009F1963"/>
    <w:p w14:paraId="3899C9E3" w14:textId="77777777" w:rsidR="009F1963" w:rsidRPr="0064099B" w:rsidRDefault="009F1963" w:rsidP="009F1963"/>
    <w:p w14:paraId="0C43BA5B" w14:textId="126144D1" w:rsidR="00FA7BE8" w:rsidRPr="009F1963" w:rsidRDefault="004D365E" w:rsidP="00F426F5">
      <w:pPr>
        <w:pStyle w:val="MH2"/>
        <w:rPr>
          <w:rFonts w:eastAsiaTheme="majorEastAsia"/>
          <w:color w:val="92D050"/>
          <w:sz w:val="32"/>
          <w:szCs w:val="32"/>
        </w:rPr>
      </w:pPr>
      <w:bookmarkStart w:id="74" w:name="_Toc180569768"/>
      <w:r>
        <w:t>Fase 5 Fatturato, sovvenzioni, finanziamenti e assicurazioni</w:t>
      </w:r>
      <w:bookmarkEnd w:id="74"/>
    </w:p>
    <w:p w14:paraId="700BB5A0" w14:textId="3C3F6FC7" w:rsidR="00FA7BE8" w:rsidRPr="004C0EBD" w:rsidRDefault="00FA7BE8" w:rsidP="00A3595E"/>
    <w:p w14:paraId="6E1F3C8F" w14:textId="1D308FDD" w:rsidR="004343AC" w:rsidRPr="009F1963" w:rsidRDefault="00295EA1" w:rsidP="009F1963">
      <w:pPr>
        <w:pStyle w:val="BodyText1"/>
      </w:pPr>
      <w:r>
        <w:t xml:space="preserve">Le fasi precedenti hanno determinato le specifiche tecniche. Questa fase esaminerà l'ammissibilità o meno del progetto alle sovvenzioni, nonché il finanziamento e le assicurazioni. </w:t>
      </w:r>
    </w:p>
    <w:p w14:paraId="13C00B39" w14:textId="77777777" w:rsidR="00251095" w:rsidRPr="004C0EBD" w:rsidRDefault="00251095" w:rsidP="00A3595E"/>
    <w:p w14:paraId="500215C8" w14:textId="15872C52" w:rsidR="00F16ACA" w:rsidRPr="004C0EBD" w:rsidRDefault="00F16ACA" w:rsidP="00F426F5">
      <w:pPr>
        <w:pStyle w:val="MH3"/>
      </w:pPr>
      <w:bookmarkStart w:id="75" w:name="_Toc180569769"/>
      <w:r>
        <w:t>5.1 Fatturato dalla fornitura inversa di energia</w:t>
      </w:r>
      <w:bookmarkEnd w:id="75"/>
      <w:r>
        <w:t xml:space="preserve"> </w:t>
      </w:r>
    </w:p>
    <w:p w14:paraId="28260D4D" w14:textId="34DB3E66" w:rsidR="00E368C4" w:rsidRPr="004C0EBD" w:rsidRDefault="007733E9" w:rsidP="009F1963">
      <w:pPr>
        <w:pStyle w:val="BodyText1"/>
      </w:pPr>
      <w:r>
        <w:t xml:space="preserve">Durante i periodi di irraggiamento solare, la maggior parte degli impianti fotovoltaici genera una quantità di energia considerevolmente maggiore rispetto all'autoconsumo. </w:t>
      </w:r>
    </w:p>
    <w:p w14:paraId="06B828EC" w14:textId="59F59A0F" w:rsidR="009F1963" w:rsidRPr="009F1963" w:rsidRDefault="007733E9" w:rsidP="009F1963">
      <w:pPr>
        <w:pStyle w:val="BodyText1"/>
      </w:pPr>
      <w:r>
        <w:t xml:space="preserve">L'energia in eccedenza può successivamente essere reimmessa nella rete. Quale prezzo si può ottenere per questa fornitura inversa di energia? Un tempo era possibile sottoscrivere un contratto con un prezzo fisso e una lunga durata. Ciò consentiva un elevato livello di certezza, ma purtroppo questa opzione non è più valida.  </w:t>
      </w:r>
    </w:p>
    <w:p w14:paraId="04006B7E" w14:textId="6206A7BF" w:rsidR="00F16ACA" w:rsidRPr="009F1963" w:rsidRDefault="007733E9" w:rsidP="00C903B7">
      <w:pPr>
        <w:jc w:val="both"/>
        <w:rPr>
          <w:rFonts w:ascii="Arial" w:hAnsi="Arial" w:cs="Arial"/>
        </w:rPr>
      </w:pPr>
      <w:r>
        <w:t xml:space="preserve"> </w:t>
      </w:r>
      <w:r>
        <w:br/>
      </w:r>
      <w:r>
        <w:rPr>
          <w:rFonts w:ascii="Arial" w:hAnsi="Arial"/>
        </w:rPr>
        <w:t>Ad oggi, sono tre le opzioni principali:</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mediante un contratto con un fornitore di energia elettrica (su base annua):</w:t>
      </w:r>
      <w:r>
        <w:rPr>
          <w:color w:val="3DC3C6"/>
        </w:rPr>
        <w:t xml:space="preserve"> </w:t>
      </w:r>
      <w:r>
        <w:rPr>
          <w:color w:val="3DC3C6"/>
        </w:rPr>
        <w:br/>
      </w:r>
      <w:r>
        <w:rPr>
          <w:rFonts w:ascii="Arial" w:hAnsi="Arial"/>
        </w:rPr>
        <w:t>è possibile chiedere a diversi fornitori di energia elettrica un contratto fisso standard sia per il consumo sia per la fornitura inversa. La durata è in genere di un anno. Non è chiaro come si evolverà il pagamento per la fornitura inversa nei prossimi anni. Prezzo orientativo della fornitura inversa per l'estate 2023, per gli impianti fotovoltaici più grandi (&gt; 100 kWp): 3-5 centesimi/kWh;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mediante un contratto "dinamico" con un fornitore di energia elettrica</w:t>
      </w:r>
      <w:r>
        <w:rPr>
          <w:color w:val="3DC3C6"/>
        </w:rPr>
        <w:t>:</w:t>
      </w:r>
      <w:r>
        <w:br/>
      </w:r>
      <w:r>
        <w:rPr>
          <w:rFonts w:ascii="Arial" w:hAnsi="Arial"/>
        </w:rPr>
        <w:t>alcuni fornitori di energia elettrica</w:t>
      </w:r>
      <w:r w:rsidRPr="009F1963">
        <w:rPr>
          <w:rStyle w:val="FootnoteReference"/>
          <w:rFonts w:ascii="Arial" w:hAnsi="Arial" w:cs="Arial"/>
        </w:rPr>
        <w:footnoteReference w:id="4"/>
      </w:r>
      <w:r>
        <w:rPr>
          <w:rFonts w:ascii="Arial" w:hAnsi="Arial"/>
        </w:rPr>
        <w:t xml:space="preserve"> offrono un contratto "dinamico", in cui il prezzo per kWh varia di ora in ora. La base del prezzo orario è il prezzo EPEX del giorno prima oltre a un supplemento.</w:t>
      </w:r>
      <w:r>
        <w:t xml:space="preserve">  </w:t>
      </w:r>
      <w:r>
        <w:br/>
      </w:r>
      <w:r>
        <w:lastRenderedPageBreak/>
        <w:br/>
      </w:r>
      <w:r>
        <w:rPr>
          <w:rFonts w:ascii="Arial" w:hAnsi="Arial"/>
        </w:rPr>
        <w:t xml:space="preserve">Avvertenza: talvolta questi prezzi sono negativi e sarà necessario </w:t>
      </w:r>
      <w:r>
        <w:rPr>
          <w:rFonts w:ascii="Arial" w:hAnsi="Arial"/>
          <w:i/>
        </w:rPr>
        <w:t>pagare</w:t>
      </w:r>
      <w:r>
        <w:rPr>
          <w:rFonts w:ascii="Arial" w:hAnsi="Arial"/>
        </w:rPr>
        <w:t xml:space="preserve"> in caso di fornitura inversa.  </w:t>
      </w:r>
      <w:r>
        <w:rPr>
          <w:rFonts w:ascii="Arial" w:hAnsi="Arial"/>
        </w:rPr>
        <w:br/>
        <w:t>Da gennaio alla fine di luglio 2023, questo già si applicava a 212 ore, spesso intorno a mezzogiorno. Per evitare di pagare per la fornitura inversa di energia, è possibile installare una scatola che spegne gli inverter durante le ore di prezzo negativo. Durante quelle ore in cui il prezzo dell'energia è positivo, in genere si otterrà un prezzo considerevolmente più alto rispetto alla remunerazione fissa per la fornitura inversa di cui sopra;</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negoziazione automatizzata sul mercato EPEX del giorno prima e sul mercato per la gestione degli squilibri</w:t>
      </w:r>
      <w:r>
        <w:rPr>
          <w:color w:val="3DC3C6"/>
        </w:rPr>
        <w:t xml:space="preserve"> </w:t>
      </w:r>
      <w:r>
        <w:br/>
        <w:t>È altresì possibile sottoscrivere un contratto con una piattaforma di negoziazione</w:t>
      </w:r>
      <w:r w:rsidRPr="004C0EBD">
        <w:rPr>
          <w:rStyle w:val="FootnoteReference"/>
        </w:rPr>
        <w:footnoteReference w:id="5"/>
      </w:r>
      <w:r>
        <w:t xml:space="preserve">. Le società negoziano (di solito in modo automatizzato) tramite il proprio software sia sul mercato EPEX del giorno prima sia sul mercato infragiornaliero/per la gestione degli squilibri. A tal fine, montano una scatola che può accendere o spegnere gli inverter; questa soluzione è disponibile per i progetti superiori a una certa dimensione. </w:t>
      </w:r>
    </w:p>
    <w:p w14:paraId="7C9836F6" w14:textId="794DEEFC" w:rsidR="00C903B7" w:rsidRPr="004C0EBD" w:rsidRDefault="00C903B7" w:rsidP="009F1963">
      <w:pPr>
        <w:pStyle w:val="BodyText1"/>
        <w:rPr>
          <w:rFonts w:cs="Calibri"/>
        </w:rPr>
      </w:pPr>
      <w:r>
        <w:t>Per tutte le opzioni, può essere utile distribuire il sistema fotovoltaico su due collegamenti alla rete: il collegamento principale e un secondo collegamento (l'opzione "MLOEA" - (</w:t>
      </w:r>
      <w:r>
        <w:rPr>
          <w:i/>
        </w:rPr>
        <w:t>Meerdere Leveranciers Op Één Aansluiting</w:t>
      </w:r>
      <w:r>
        <w:t xml:space="preserve"> [Fornitori multipli in un unico collegamento]). Tutti i consumi propri provengono dal collegamento principale, mentre l'eccedenza è destinata al secondo collegamento. Stipulando due contratti diversi (con imprese del settore dell'energia diverse), si può ottenere un prezzo più alto.</w:t>
      </w:r>
    </w:p>
    <w:p w14:paraId="3E5405FD" w14:textId="77777777" w:rsidR="00C903B7" w:rsidRPr="004C0EBD" w:rsidRDefault="00C903B7" w:rsidP="00C903B7"/>
    <w:p w14:paraId="5C05686E" w14:textId="3A55C9CC" w:rsidR="00C903B7" w:rsidRPr="004C0EBD" w:rsidRDefault="00444DFF" w:rsidP="00F426F5">
      <w:pPr>
        <w:pStyle w:val="MH3"/>
      </w:pPr>
      <w:bookmarkStart w:id="76" w:name="_Toc180569770"/>
      <w:r>
        <w:t>5.1 Sovvenzioni</w:t>
      </w:r>
      <w:bookmarkEnd w:id="76"/>
    </w:p>
    <w:p w14:paraId="4023D4DB" w14:textId="344ECD8A" w:rsidR="00CE2638" w:rsidRPr="004C0EBD" w:rsidRDefault="00CE2638" w:rsidP="009F1963">
      <w:pPr>
        <w:pStyle w:val="BodyText1"/>
      </w:pPr>
      <w:r>
        <w:t>Di seguito sono riportati i principali regimi di sovvenzione:</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regime di</w:t>
      </w:r>
      <w:r>
        <w:rPr>
          <w:rFonts w:ascii="Arial" w:hAnsi="Arial"/>
          <w:i/>
          <w:color w:val="3DC3C6"/>
        </w:rPr>
        <w:t xml:space="preserve"> </w:t>
      </w:r>
      <w:r>
        <w:rPr>
          <w:rFonts w:ascii="Arial" w:hAnsi="Arial"/>
          <w:b/>
          <w:i/>
          <w:color w:val="3DC3C6"/>
        </w:rPr>
        <w:t>misurazione del consumo netto:</w:t>
      </w:r>
      <w:r>
        <w:br/>
      </w:r>
      <w:r>
        <w:rPr>
          <w:rFonts w:ascii="Arial" w:hAnsi="Arial"/>
        </w:rPr>
        <w:t>il regime di misurazione del consumo netto ("</w:t>
      </w:r>
      <w:r>
        <w:rPr>
          <w:rFonts w:ascii="Arial" w:hAnsi="Arial"/>
          <w:i/>
        </w:rPr>
        <w:t>Salderingsregeling</w:t>
      </w:r>
      <w:r>
        <w:rPr>
          <w:rFonts w:ascii="Arial" w:hAnsi="Arial"/>
        </w:rPr>
        <w:t xml:space="preserve">") si applica non solo ai privati, ma anche a molte società, club sportivi, uffici, ecc. Il prerequisito consiste nel disporre di un "collegamento a basso consumo", ossia un collegamento alla rete con una capacità inferiore a 3 x 80 A. Tale regime sarà sostituito a partire dal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proofErr w:type="gramStart"/>
      <w:r>
        <w:rPr>
          <w:rFonts w:ascii="Arial" w:hAnsi="Arial"/>
          <w:b/>
          <w:i/>
          <w:color w:val="3DC3C6"/>
        </w:rPr>
        <w:t>+</w:t>
      </w:r>
      <w:r>
        <w:rPr>
          <w:b/>
          <w:i/>
          <w:color w:val="3DC3C6"/>
        </w:rPr>
        <w:t xml:space="preserve"> </w:t>
      </w:r>
      <w:r>
        <w:rPr>
          <w:color w:val="3DC3C6"/>
        </w:rPr>
        <w:t>:</w:t>
      </w:r>
      <w:proofErr w:type="gramEnd"/>
      <w:r>
        <w:br/>
      </w:r>
      <w:r>
        <w:rPr>
          <w:rFonts w:ascii="Arial" w:hAnsi="Arial"/>
        </w:rPr>
        <w:t xml:space="preserve">con il regime di sovvenzioni SDE++, il governo garantisce un prezzo minimo per la fornitura di elettricità alla rete per le energie rinnovabili.    </w:t>
      </w:r>
      <w:r>
        <w:rPr>
          <w:rFonts w:ascii="Arial" w:hAnsi="Arial"/>
        </w:rPr>
        <w:br/>
        <w:t xml:space="preserve">La maggior parte degli impianti fotovoltaici più grandi, sia sui tetti sia sui terreni, utilizza questo regime,  </w:t>
      </w:r>
      <w:r>
        <w:rPr>
          <w:rFonts w:ascii="Arial" w:hAnsi="Arial"/>
        </w:rPr>
        <w:br/>
        <w:t xml:space="preserve">grazie al quale i Paesi Bassi si trovano ora tra i primi </w:t>
      </w:r>
      <w:proofErr w:type="gramStart"/>
      <w:r>
        <w:rPr>
          <w:rFonts w:ascii="Arial" w:hAnsi="Arial"/>
        </w:rPr>
        <w:t>3</w:t>
      </w:r>
      <w:proofErr w:type="gramEnd"/>
      <w:r>
        <w:rPr>
          <w:rFonts w:ascii="Arial" w:hAnsi="Arial"/>
        </w:rPr>
        <w:t xml:space="preserve"> della classifica mondiale in termini di capacità di produzione pro capite.  </w:t>
      </w:r>
      <w:r>
        <w:rPr>
          <w:rFonts w:ascii="Arial" w:hAnsi="Arial"/>
        </w:rPr>
        <w:br/>
        <w:t xml:space="preserve">A chi è rivolto questo regime?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Collegamento alla rete di almeno 3 x 80 A;</w:t>
      </w:r>
    </w:p>
    <w:p w14:paraId="289046AB" w14:textId="73FD8834" w:rsidR="001F2F97" w:rsidRPr="004C0EBD" w:rsidRDefault="00295EA1" w:rsidP="0075115D">
      <w:pPr>
        <w:pStyle w:val="ListParagraph"/>
        <w:numPr>
          <w:ilvl w:val="1"/>
          <w:numId w:val="3"/>
        </w:numPr>
        <w:rPr>
          <w:b/>
          <w:bCs/>
          <w:i/>
          <w:iCs/>
        </w:rPr>
      </w:pPr>
      <w:r>
        <w:rPr>
          <w:rFonts w:ascii="Arial" w:hAnsi="Arial"/>
        </w:rPr>
        <w:t>Sono escluse le organizzazioni del governo centrale;</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 xml:space="preserve">"Postcoderoos" [un regime di tariffa </w:t>
      </w:r>
      <w:proofErr w:type="gramStart"/>
      <w:r>
        <w:rPr>
          <w:rFonts w:ascii="Arial" w:hAnsi="Arial"/>
          <w:b/>
          <w:i/>
          <w:color w:val="3DC3C6"/>
        </w:rPr>
        <w:t>ridotta]/</w:t>
      </w:r>
      <w:proofErr w:type="gramEnd"/>
      <w:r>
        <w:rPr>
          <w:rFonts w:ascii="Arial" w:hAnsi="Arial"/>
          <w:b/>
          <w:i/>
          <w:color w:val="3DC3C6"/>
        </w:rPr>
        <w:t>regime SCE</w:t>
      </w:r>
      <w:r>
        <w:rPr>
          <w:color w:val="3DC3C6"/>
        </w:rPr>
        <w:t>:</w:t>
      </w:r>
      <w:r>
        <w:br/>
        <w:t>il "</w:t>
      </w:r>
      <w:r>
        <w:rPr>
          <w:i/>
        </w:rPr>
        <w:t>Subsidieregeling Coöperatieve Energieopwekking</w:t>
      </w:r>
      <w:r>
        <w:t xml:space="preserve">" [Regime di sovvenzione per la </w:t>
      </w:r>
      <w:r>
        <w:lastRenderedPageBreak/>
        <w:t xml:space="preserve">produzione energetica in cooperativa] consente ai vicini di condividere un progetto FV su un tetto di grandi dimensioni;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w:t>
      </w:r>
      <w:r>
        <w:br/>
      </w:r>
      <w:r>
        <w:rPr>
          <w:rFonts w:ascii="Arial" w:hAnsi="Arial"/>
        </w:rPr>
        <w:t>tali regimi incoraggiano le società a diventare più sostenibili attraverso incentivi fiscali, ad esempio con l'ammortamento accelerato degli investimenti effettuati in misure volte a migliorare la sostenibilità.</w:t>
      </w:r>
      <w:r>
        <w:t xml:space="preserve"> </w:t>
      </w:r>
    </w:p>
    <w:p w14:paraId="279AD331" w14:textId="77777777" w:rsidR="004343AC" w:rsidRPr="004C0EBD" w:rsidRDefault="004343AC" w:rsidP="00A3595E"/>
    <w:p w14:paraId="63966417" w14:textId="2698432D" w:rsidR="006A5081" w:rsidRPr="004C0EBD" w:rsidRDefault="00444DFF" w:rsidP="00F426F5">
      <w:pPr>
        <w:pStyle w:val="MH3"/>
      </w:pPr>
      <w:bookmarkStart w:id="77" w:name="_Toc180569771"/>
      <w:r>
        <w:t>5.2 Finanziamenti</w:t>
      </w:r>
      <w:bookmarkEnd w:id="77"/>
    </w:p>
    <w:p w14:paraId="6A71FF93" w14:textId="3DBBFC7F" w:rsidR="004A7C5B" w:rsidRPr="004C0EBD" w:rsidRDefault="005E16E5" w:rsidP="009F1963">
      <w:pPr>
        <w:pStyle w:val="BodyText1"/>
      </w:pPr>
      <w:r>
        <w:t>Per la maggior parte dei progetti Sun-on-Roof, il proprietario o l'affittuario dell'edificio diventa anche titolare del sistema fotovoltaico</w:t>
      </w:r>
      <w:r w:rsidRPr="004C0EBD">
        <w:rPr>
          <w:rStyle w:val="FootnoteReference"/>
        </w:rPr>
        <w:footnoteReference w:id="6"/>
      </w:r>
      <w:r>
        <w:t xml:space="preserve">. Ciò solleva la questione di come finanziare il progetto; autofinanziarsi completamente con risorse proprie o in parte con finanziatori esterni. Il sostegno finanziario esterno richiede un modello finanziario per il progetto FV che definisca le entrate e le uscite, i bilanci e i flussi di cassa nel periodo del progetto.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Esistono due categorie di finanziamenti, ciascuna con rischi e rendimenti diversi: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Mediante un prestito, basso rischio e basso rendimento</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A seconda delle dimensioni del progetto e del finanziatore, il 70-90 % può essere contratto come prestito, spesso a un tasso d'interesse basso (dal 2 al 5 %). Ciò significa che sarà necessario sostenere personalmente solo il 10-30 % dei costi del progetto a monte. Le entrate del progetto saranno prima stanziate al fornitore del prestito.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Condizioni tipiche: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Importo minimo: 1 milione di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I finanziatori spesso richiedono una dimensione minima, in quanto il prestito per un progetto FV comporta molto lavoro. Occorre rivedere tutti i dettagli finanziari e tecnici e valutare i contratti. Non si tratta di un compito automatizzato e continua ad essere ad alta intensità di lavoro. È per questo motivo che i finanziatori applicano una dimensione minima di prestito per un progetto (o per una serie di progetti combinati dello stesso titolare).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Requisiti aggiuntivi</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Il coinvolgimento di finanziatori esterni spesso comporta la definizione di requisiti aggiuntivi volti a minimizzare il rischio. Ad esempio, alcune banche finanzieranno solo moduli FV di fornitori "di primo livello" del BNEF; lo status di "primo livello" fornisce solo un'indicazione della situazione finanziaria, ma non dice nulla sulla qualità o sulla sostenibilità [dell'impianto]. </w:t>
      </w:r>
    </w:p>
    <w:p w14:paraId="5C20AE65" w14:textId="1FCEE519" w:rsidR="004176E3" w:rsidRPr="007A5646" w:rsidRDefault="004176E3" w:rsidP="007A5646">
      <w:pPr>
        <w:ind w:left="1133"/>
        <w:jc w:val="both"/>
        <w:rPr>
          <w:rFonts w:ascii="Arial" w:hAnsi="Arial" w:cs="Arial"/>
          <w:i/>
          <w:iCs/>
        </w:rPr>
      </w:pPr>
      <w:r>
        <w:rPr>
          <w:rFonts w:ascii="Arial" w:hAnsi="Arial"/>
        </w:rPr>
        <w:lastRenderedPageBreak/>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In qualità di azionista - capitale di rischio</w:t>
      </w:r>
    </w:p>
    <w:p w14:paraId="79BEA158" w14:textId="0295E312" w:rsidR="007A5646" w:rsidRDefault="00CE2638" w:rsidP="007A5646">
      <w:pPr>
        <w:ind w:left="426" w:hanging="66"/>
        <w:jc w:val="both"/>
        <w:rPr>
          <w:rFonts w:ascii="Arial" w:hAnsi="Arial" w:cs="Arial"/>
        </w:rPr>
      </w:pPr>
      <w:r>
        <w:rPr>
          <w:rFonts w:ascii="Arial" w:hAnsi="Arial"/>
          <w:sz w:val="2"/>
        </w:rPr>
        <w:br/>
      </w:r>
      <w:r>
        <w:rPr>
          <w:rFonts w:ascii="Arial" w:hAnsi="Arial"/>
        </w:rPr>
        <w:t xml:space="preserve">Se una banca eroga un prestito, questo spesso copre il 70-90 % dei costi del progetto.  </w:t>
      </w:r>
      <w:r>
        <w:rPr>
          <w:rFonts w:ascii="Arial" w:hAnsi="Arial"/>
        </w:rPr>
        <w:br/>
        <w:t xml:space="preserve">Il restante 10-30 % è considerato come capitale di rischio </w:t>
      </w:r>
      <w:r w:rsidR="00557433">
        <w:rPr>
          <w:rFonts w:ascii="Arial" w:hAnsi="Arial"/>
        </w:rPr>
        <w:t xml:space="preserve">e sarà il </w:t>
      </w:r>
      <w:r>
        <w:rPr>
          <w:rFonts w:ascii="Arial" w:hAnsi="Arial"/>
        </w:rPr>
        <w:t xml:space="preserve">primo a </w:t>
      </w:r>
      <w:r w:rsidR="00557433">
        <w:rPr>
          <w:rFonts w:ascii="Arial" w:hAnsi="Arial"/>
        </w:rPr>
        <w:t xml:space="preserve">essere utilizzato </w:t>
      </w:r>
      <w:r>
        <w:rPr>
          <w:rFonts w:ascii="Arial" w:hAnsi="Arial"/>
        </w:rPr>
        <w:t xml:space="preserve">in caso di problemi o se le entrate non sono all'altezza delle aspettative.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Gli sviluppatori di progetti/EPC spesso mettono a disposizione parte del capitale proprio richiesto; ciò significa che essi si assumono anche il rischio principale in caso di risultati deludenti. In tal modo, conferiscono ulteriore credibilità al fatto che il progetto è stato completato correttamente.</w:t>
      </w:r>
    </w:p>
    <w:p w14:paraId="14563404" w14:textId="4A307488" w:rsidR="004176E3" w:rsidRPr="00C02710" w:rsidRDefault="00CE2638" w:rsidP="007A5646">
      <w:pPr>
        <w:ind w:left="426" w:hanging="66"/>
        <w:jc w:val="both"/>
        <w:rPr>
          <w:rFonts w:ascii="Arial" w:hAnsi="Arial"/>
        </w:rPr>
      </w:pPr>
      <w:r>
        <w:rPr>
          <w:rFonts w:ascii="Arial" w:hAnsi="Arial"/>
        </w:rPr>
        <w:t xml:space="preserve">   </w:t>
      </w:r>
      <w:r>
        <w:rPr>
          <w:rFonts w:ascii="Arial" w:hAnsi="Arial"/>
        </w:rPr>
        <w:br/>
        <w:t xml:space="preserve">Oltre agli sviluppatori del progetto, vi sono inoltre diversi finanziatori disposti ad aiutare, ad esempio attraverso il crowdfunding o alcuni fondi di investimento. </w:t>
      </w:r>
    </w:p>
    <w:p w14:paraId="06CC5354" w14:textId="77777777" w:rsidR="004A78D5" w:rsidRPr="00C02710" w:rsidRDefault="004A78D5" w:rsidP="007A5646">
      <w:pPr>
        <w:ind w:left="426" w:hanging="66"/>
        <w:jc w:val="both"/>
        <w:rPr>
          <w:rFonts w:ascii="Arial" w:hAnsi="Arial" w:cs="Arial"/>
          <w:i/>
          <w:iCs/>
        </w:rPr>
      </w:pPr>
    </w:p>
    <w:p w14:paraId="17A2033D" w14:textId="36527063" w:rsidR="00077532" w:rsidRPr="007A5646" w:rsidRDefault="007A5646" w:rsidP="00A3595E">
      <w:pPr>
        <w:rPr>
          <w:rFonts w:ascii="Arial" w:hAnsi="Arial" w:cs="Arial"/>
        </w:rPr>
      </w:pPr>
      <w:r>
        <w:rPr>
          <w:rStyle w:val="SubtleEmphasis"/>
          <w:rFonts w:ascii="Arial" w:hAnsi="Arial"/>
          <w:color w:val="3DC3C6"/>
        </w:rPr>
        <w:t>Panoramica dei potenziali finanziatori</w:t>
      </w:r>
      <w:r>
        <w:rPr>
          <w:rFonts w:ascii="Arial" w:hAnsi="Arial"/>
          <w:color w:val="3DC3C6"/>
        </w:rPr>
        <w:t xml:space="preserve"> </w:t>
      </w:r>
      <w:r>
        <w:rPr>
          <w:rFonts w:ascii="Arial" w:hAnsi="Arial"/>
        </w:rPr>
        <w:br/>
        <w:t>Triodos e ASN Bank, le grandi banche commerciali, le banche statali come la BNG e molti altri fondi e finanziatori specializzati: fare riferimento all'</w:t>
      </w:r>
      <w:r>
        <w:rPr>
          <w:rFonts w:ascii="Arial" w:hAnsi="Arial"/>
          <w:b/>
          <w:color w:val="3DC3C6"/>
          <w:u w:val="single"/>
        </w:rPr>
        <w:t xml:space="preserve">allegato </w:t>
      </w:r>
      <w:proofErr w:type="gramStart"/>
      <w:r>
        <w:rPr>
          <w:rFonts w:ascii="Arial" w:hAnsi="Arial"/>
          <w:b/>
          <w:color w:val="3DC3C6"/>
          <w:u w:val="single"/>
        </w:rPr>
        <w:t>5</w:t>
      </w:r>
      <w:proofErr w:type="gramEnd"/>
      <w:r>
        <w:rPr>
          <w:rFonts w:ascii="Arial" w:hAnsi="Arial"/>
          <w:color w:val="3DC3C6"/>
        </w:rPr>
        <w:t xml:space="preserve"> </w:t>
      </w:r>
      <w:r>
        <w:rPr>
          <w:rFonts w:ascii="Arial" w:hAnsi="Arial"/>
        </w:rPr>
        <w:t>per l'elenco dei finanziatori</w:t>
      </w:r>
      <w:r>
        <w:rPr>
          <w:rStyle w:val="FootnoteReference"/>
          <w:rFonts w:ascii="Arial" w:hAnsi="Arial"/>
        </w:rPr>
        <w:t>2</w:t>
      </w:r>
      <w:r>
        <w:rPr>
          <w:rFonts w:ascii="Arial" w:hAnsi="Arial"/>
        </w:rPr>
        <w:t>.</w:t>
      </w:r>
    </w:p>
    <w:p w14:paraId="05E2FA74" w14:textId="13AE692C" w:rsidR="00321C0F" w:rsidRPr="004C0EBD" w:rsidRDefault="004A78D5" w:rsidP="00A3595E">
      <w:pPr>
        <w:rPr>
          <w:i/>
          <w:iCs/>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04367E7D">
                <wp:simplePos x="0" y="0"/>
                <wp:positionH relativeFrom="column">
                  <wp:posOffset>1905</wp:posOffset>
                </wp:positionH>
                <wp:positionV relativeFrom="paragraph">
                  <wp:posOffset>177800</wp:posOffset>
                </wp:positionV>
                <wp:extent cx="5953125" cy="3848100"/>
                <wp:effectExtent l="0" t="0" r="28575" b="19050"/>
                <wp:wrapTopAndBottom/>
                <wp:docPr id="1864413992" name="Tekstvak 2"/>
                <wp:cNvGraphicFramePr/>
                <a:graphic xmlns:a="http://schemas.openxmlformats.org/drawingml/2006/main">
                  <a:graphicData uri="http://schemas.microsoft.com/office/word/2010/wordprocessingShape">
                    <wps:wsp>
                      <wps:cNvSpPr txBox="1"/>
                      <wps:spPr>
                        <a:xfrm>
                          <a:off x="0" y="0"/>
                          <a:ext cx="5953125" cy="3848100"/>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Rischi significativi legati ai progetti FV: incendio</w:t>
                            </w:r>
                          </w:p>
                          <w:p w14:paraId="054304E8" w14:textId="77777777" w:rsidR="007A5646" w:rsidRPr="007A5646" w:rsidRDefault="007A5646" w:rsidP="007167EB">
                            <w:pPr>
                              <w:rPr>
                                <w:rFonts w:ascii="Arial" w:hAnsi="Arial" w:cs="Arial"/>
                                <w:color w:val="104D54"/>
                                <w:sz w:val="20"/>
                                <w:szCs w:val="20"/>
                              </w:rPr>
                            </w:pPr>
                          </w:p>
                          <w:p w14:paraId="30F090A1" w14:textId="2007AEBF" w:rsidR="007167EB" w:rsidRPr="007A5646" w:rsidRDefault="007167EB" w:rsidP="007167EB">
                            <w:pPr>
                              <w:jc w:val="both"/>
                              <w:rPr>
                                <w:rFonts w:ascii="Arial" w:hAnsi="Arial" w:cs="Arial"/>
                                <w:sz w:val="20"/>
                                <w:szCs w:val="20"/>
                              </w:rPr>
                            </w:pPr>
                            <w:r>
                              <w:rPr>
                                <w:rFonts w:ascii="Arial" w:hAnsi="Arial"/>
                                <w:sz w:val="20"/>
                              </w:rPr>
                              <w:t xml:space="preserve">I connettori sono spesso causa di incendio in un impianto fotovoltaico. Ad esempio, se il connettore maschio e quello femmina di un cavo a corrente continua sono entrambi di tipo MC4, ma realizzati da produttori diversi. Oppure se un connettore è montato in modo errato sul cavo. A volte la copertura del tetto prende fuoco e possono verificarsi danni da incendio o fumo all'edificio e al </w:t>
                            </w:r>
                            <w:r w:rsidR="00557433">
                              <w:rPr>
                                <w:rFonts w:ascii="Arial" w:hAnsi="Arial"/>
                                <w:sz w:val="20"/>
                              </w:rPr>
                              <w:t xml:space="preserve">suo </w:t>
                            </w:r>
                            <w:r>
                              <w:rPr>
                                <w:rFonts w:ascii="Arial" w:hAnsi="Arial"/>
                                <w:sz w:val="20"/>
                              </w:rPr>
                              <w:t xml:space="preserve">contenuto. A causa della corrente continua nei cavi CC (tra i pannelli solari e l'inverter), una volta che si è verificato, un arco elettrico non si risolve rapidamente.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Un arco elettrico può causare il raggiungimento di temperature estremamente elevate nei connettori e fondere la copertura del tetto, per poi provocare l'incendio dei materiali isolanti infiammabili (come l'EPS). </w:t>
                            </w:r>
                            <w:r>
                              <w:rPr>
                                <w:rFonts w:ascii="Arial" w:hAnsi="Arial"/>
                              </w:rPr>
                              <w:t xml:space="preserve"> </w:t>
                            </w:r>
                            <w:r>
                              <w:rPr>
                                <w:rFonts w:ascii="Arial" w:hAnsi="Arial"/>
                              </w:rPr>
                              <w:br/>
                            </w:r>
                            <w:r>
                              <w:rPr>
                                <w:rFonts w:ascii="Arial" w:hAnsi="Arial"/>
                                <w:sz w:val="20"/>
                              </w:rPr>
                              <w:t xml:space="preserve">Gli incendi sul tetto di questo tipo sono difficili da estinguere e l'intero edificio può andare perso.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Tra le soluzioni a questo problema figurano: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rilevatore di arco elettrico con spegnimento automatico (elencato nel Modello con i requisiti);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pellicole (come Solardec) e rivestimenti (come Allshields) resistenti al fuoco;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alloggiamento dei connettori resistente al fuoco (come ArcBox).</w:t>
                            </w:r>
                          </w:p>
                          <w:p w14:paraId="561BE267" w14:textId="2E7B33F9" w:rsidR="007167EB" w:rsidRDefault="007167EB" w:rsidP="004A78D5">
                            <w:pPr>
                              <w:jc w:val="both"/>
                            </w:pPr>
                            <w:r>
                              <w:rPr>
                                <w:rFonts w:ascii="Arial" w:hAnsi="Arial"/>
                              </w:rPr>
                              <w:t>Anche altre misure sono importanti per minimizzare il rischio di incendio: i connettori corretti; la corretta installazione dei connettori; il dimensionamento dei cavi; la gestione dei cavi; la manutenzione e il controllo, ecc.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15pt;margin-top:14pt;width:468.75pt;height:30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kQOgIAAIYEAAAOAAAAZHJzL2Uyb0RvYy54bWysVEtvGjEQvlfqf7B8L8vySAhiiSiIqlKU&#10;RCJRzsZrs5a8Htc27NJf37F5Jump6sU778c3Mzu5b2tNdsJ5BaageadLiTAcSmU2BX19WX4bUeID&#10;MyXTYERB98LT++nXL5PGjkUPKtClcASDGD9ubEGrEOw4yzyvRM18B6wwqJTgahaQdZusdKzB6LXO&#10;et3uTdaAK60DLrxH6eKgpNMUX0rBw5OUXgSiC4q1hfS69K7jm00nbLxxzFaKH8tg/1BFzZTBpOdQ&#10;CxYY2Tr1KVStuAMPMnQ41BlIqbhIPWA3efdDN6uKWZF6QXC8PcPk/19Y/rhb2WdHQvsdWhxgBKSx&#10;fuxRGPtppavjFyslqEcI92fYRBsIR+HwbtjPe0NKOOr6o8Eo7yZgs4u7dT78EFCTSBTU4VwSXGz3&#10;4AOmRNOTSczmQatyqbROTNwFMdeO7BhOUYdUJHq8s9KGNFh/7xZzfw7hNutzgP5i3p/fxEbfx0BO&#10;GxRe2o9UaNctUWVBk0eUrKHcI2IODsvkLV8q7OqB+fDMHG4PgoQXEZ7wkRqwKjhSlFTgfv9NHu1x&#10;qKilpMFtLKj/tWVOUKJ/Ghz3XT4YxPVNzGB420PGXWvW1xqzreeAUOV4e5YnMtoHfSKlg/oND2cW&#10;s6KKGY65CxpO5DwcbgQPj4vZLBnhwloWHszK8hg6ghxn9tK+MWePgw24E49w2ls2/jDfg230NDDb&#10;BpAqDf+C6hF+XPY0neNhxmu65pPV5fcx/QMAAP//AwBQSwMEFAAGAAgAAAAhACwfhHreAAAABwEA&#10;AA8AAABkcnMvZG93bnJldi54bWxMj0FLw0AUhO+C/2F5gje7sZE0xryUUhQED9Zq8fqSXbPB7G7I&#10;btP4732e6nGYYeabcj3bXkx6DJ13CLeLBIR2jVedaxE+3p9uchAhklPUe6cRfnSAdXV5UVKh/Mm9&#10;6WkfW8ElLhSEYGIcCilDY7SlsPCDdux9+dFSZDm2Uo104nLby2WSZNJS53jB0KC3Rjff+6NF2D1/&#10;bil7eTzkU/tarw4b07Q7g3h9NW8eQEQ9x3MY/vAZHSpmqv3RqSB6hJRzCMucD7F7n674SI2QpXcJ&#10;yKqU//mrXwAAAP//AwBQSwECLQAUAAYACAAAACEAtoM4kv4AAADhAQAAEwAAAAAAAAAAAAAAAAAA&#10;AAAAW0NvbnRlbnRfVHlwZXNdLnhtbFBLAQItABQABgAIAAAAIQA4/SH/1gAAAJQBAAALAAAAAAAA&#10;AAAAAAAAAC8BAABfcmVscy8ucmVsc1BLAQItABQABgAIAAAAIQD8e+kQOgIAAIYEAAAOAAAAAAAA&#10;AAAAAAAAAC4CAABkcnMvZTJvRG9jLnhtbFBLAQItABQABgAIAAAAIQAsH4R63gAAAAcBAAAPAAAA&#10;AAAAAAAAAAAAAJQEAABkcnMvZG93bnJldi54bWxQSwUGAAAAAAQABADzAAAAnwUA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Rischi significativi legati ai progetti FV: incendio</w:t>
                      </w:r>
                    </w:p>
                    <w:p w14:paraId="054304E8" w14:textId="77777777" w:rsidR="007A5646" w:rsidRPr="007A5646" w:rsidRDefault="007A5646" w:rsidP="007167EB">
                      <w:pPr>
                        <w:rPr>
                          <w:rFonts w:ascii="Arial" w:hAnsi="Arial" w:cs="Arial"/>
                          <w:color w:val="104D54"/>
                          <w:sz w:val="20"/>
                          <w:szCs w:val="20"/>
                        </w:rPr>
                      </w:pPr>
                    </w:p>
                    <w:p w14:paraId="30F090A1" w14:textId="2007AEBF" w:rsidR="007167EB" w:rsidRPr="007A5646" w:rsidRDefault="007167EB" w:rsidP="007167EB">
                      <w:pPr>
                        <w:jc w:val="both"/>
                        <w:rPr>
                          <w:rFonts w:ascii="Arial" w:hAnsi="Arial" w:cs="Arial"/>
                          <w:sz w:val="20"/>
                          <w:szCs w:val="20"/>
                        </w:rPr>
                      </w:pPr>
                      <w:r>
                        <w:rPr>
                          <w:rFonts w:ascii="Arial" w:hAnsi="Arial"/>
                          <w:sz w:val="20"/>
                        </w:rPr>
                        <w:t xml:space="preserve">I connettori sono spesso causa di incendio in un impianto fotovoltaico. Ad esempio, se il connettore maschio e quello femmina di un cavo a corrente continua sono entrambi di tipo MC4, ma realizzati da produttori diversi. Oppure se un connettore è montato in modo errato sul cavo. A volte la copertura del tetto prende fuoco e possono verificarsi danni da incendio o fumo all'edificio e al </w:t>
                      </w:r>
                      <w:r w:rsidR="00557433">
                        <w:rPr>
                          <w:rFonts w:ascii="Arial" w:hAnsi="Arial"/>
                          <w:sz w:val="20"/>
                        </w:rPr>
                        <w:t xml:space="preserve">suo </w:t>
                      </w:r>
                      <w:r>
                        <w:rPr>
                          <w:rFonts w:ascii="Arial" w:hAnsi="Arial"/>
                          <w:sz w:val="20"/>
                        </w:rPr>
                        <w:t xml:space="preserve">contenuto. A causa della corrente continua nei cavi CC (tra i pannelli solari e l'inverter), una volta che si è verificato, un arco elettrico non si risolve rapidamente.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Un arco elettrico può causare il raggiungimento di temperature estremamente elevate nei connettori e fondere la copertura del tetto, per poi provocare l'incendio dei materiali isolanti infiammabili (come l'EPS). </w:t>
                      </w:r>
                      <w:r>
                        <w:rPr>
                          <w:rFonts w:ascii="Arial" w:hAnsi="Arial"/>
                        </w:rPr>
                        <w:t xml:space="preserve"> </w:t>
                      </w:r>
                      <w:r>
                        <w:rPr>
                          <w:rFonts w:ascii="Arial" w:hAnsi="Arial"/>
                        </w:rPr>
                        <w:br/>
                      </w:r>
                      <w:r>
                        <w:rPr>
                          <w:rFonts w:ascii="Arial" w:hAnsi="Arial"/>
                          <w:sz w:val="20"/>
                        </w:rPr>
                        <w:t xml:space="preserve">Gli incendi sul tetto di questo tipo sono difficili da estinguere e l'intero edificio può andare perso.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Tra le soluzioni a questo problema figurano: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rilevatore di arco elettrico con spegnimento automatico (elencato nel Modello con i requisiti);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pellicole (come Solardec) e rivestimenti (come Allshields) resistenti al fuoco;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alloggiamento dei connettori resistente al fuoco (come ArcBox).</w:t>
                      </w:r>
                    </w:p>
                    <w:p w14:paraId="561BE267" w14:textId="2E7B33F9" w:rsidR="007167EB" w:rsidRDefault="007167EB" w:rsidP="004A78D5">
                      <w:pPr>
                        <w:jc w:val="both"/>
                      </w:pPr>
                      <w:r>
                        <w:rPr>
                          <w:rFonts w:ascii="Arial" w:hAnsi="Arial"/>
                        </w:rPr>
                        <w:t>Anche altre misure sono importanti per minimizzare il rischio di incendio: i connettori corretti; la corretta installazione dei connettori; il dimensionamento dei cavi; la gestione dei cavi; la manutenzione e il controllo, ecc.</w:t>
                      </w:r>
                    </w:p>
                  </w:txbxContent>
                </v:textbox>
                <w10:wrap type="topAndBottom"/>
              </v:shape>
            </w:pict>
          </mc:Fallback>
        </mc:AlternateContent>
      </w:r>
    </w:p>
    <w:p w14:paraId="0C149A44" w14:textId="77777777" w:rsidR="00D424A6" w:rsidRPr="004C0EBD" w:rsidRDefault="00D424A6" w:rsidP="00A3595E">
      <w:pPr>
        <w:pStyle w:val="Heading3"/>
      </w:pPr>
    </w:p>
    <w:p w14:paraId="319C0F84" w14:textId="4B0C013C" w:rsidR="006A5081" w:rsidRPr="004C0EBD" w:rsidRDefault="00CD425D" w:rsidP="00F426F5">
      <w:pPr>
        <w:pStyle w:val="MH3"/>
      </w:pPr>
      <w:bookmarkStart w:id="78" w:name="_Toc180569772"/>
      <w:r>
        <w:t>5.3 Assicurazione</w:t>
      </w:r>
      <w:bookmarkEnd w:id="78"/>
    </w:p>
    <w:p w14:paraId="7D2C96C5" w14:textId="31310D6D" w:rsidR="00301A85" w:rsidRPr="004A78D5" w:rsidRDefault="00681240" w:rsidP="006D0CA6">
      <w:pPr>
        <w:jc w:val="both"/>
        <w:rPr>
          <w:rFonts w:ascii="Arial" w:hAnsi="Arial" w:cs="Arial"/>
          <w:spacing w:val="-2"/>
        </w:rPr>
      </w:pPr>
      <w:r w:rsidRPr="004A78D5">
        <w:rPr>
          <w:rFonts w:ascii="Arial" w:hAnsi="Arial"/>
          <w:spacing w:val="-2"/>
        </w:rPr>
        <w:t xml:space="preserve">A seconda della situazione, possono rivelarsi opportune diverse assicurazioni. Se si sta pagando il progetto con le proprie risorse, è possibile valutare la questione in autonomia. In caso di coinvolgimento di banche o altri finanziatori nel progetto, quasi sempre questi richiedono </w:t>
      </w:r>
      <w:r w:rsidRPr="004A78D5">
        <w:rPr>
          <w:rFonts w:ascii="Arial" w:hAnsi="Arial"/>
          <w:spacing w:val="-2"/>
        </w:rPr>
        <w:lastRenderedPageBreak/>
        <w:t>un'assicurazione "Operational All Risk"</w:t>
      </w:r>
      <w:r w:rsidRPr="004A78D5">
        <w:rPr>
          <w:rFonts w:ascii="Arial" w:hAnsi="Arial"/>
          <w:i/>
          <w:spacing w:val="-2"/>
        </w:rPr>
        <w:t xml:space="preserve"> </w:t>
      </w:r>
      <w:r w:rsidRPr="004A78D5">
        <w:rPr>
          <w:rFonts w:ascii="Arial" w:hAnsi="Arial"/>
          <w:spacing w:val="-2"/>
        </w:rPr>
        <w:t>(OAR)</w:t>
      </w:r>
      <w:r w:rsidRPr="004A78D5">
        <w:rPr>
          <w:rFonts w:ascii="Arial" w:hAnsi="Arial"/>
          <w:i/>
          <w:spacing w:val="-2"/>
        </w:rPr>
        <w:t xml:space="preserve"> </w:t>
      </w:r>
      <w:r w:rsidRPr="004A78D5">
        <w:rPr>
          <w:rFonts w:ascii="Arial" w:hAnsi="Arial"/>
          <w:spacing w:val="-2"/>
        </w:rPr>
        <w:t>e che la parte contraente disponga di un'adeguata assicurazione di responsabilità civile per imprese (</w:t>
      </w:r>
      <w:r w:rsidRPr="004A78D5">
        <w:rPr>
          <w:rFonts w:ascii="Arial" w:hAnsi="Arial"/>
          <w:i/>
          <w:spacing w:val="-2"/>
        </w:rPr>
        <w:t xml:space="preserve">Bedrijfsaansprakelijkheidsverzekering </w:t>
      </w:r>
      <w:r w:rsidRPr="004A78D5">
        <w:rPr>
          <w:rFonts w:ascii="Arial" w:hAnsi="Arial"/>
          <w:spacing w:val="-2"/>
        </w:rPr>
        <w:t>-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Di seguito, una breve descrizione di quattro tipi di assicurazione pertinenti.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Per Sun-on-Roof: assicurazione antincendio </w:t>
      </w:r>
    </w:p>
    <w:p w14:paraId="4B57E2F5" w14:textId="74558B0F" w:rsidR="00293FAD" w:rsidRPr="007A5646" w:rsidRDefault="00681240" w:rsidP="00321C0F">
      <w:pPr>
        <w:jc w:val="both"/>
        <w:rPr>
          <w:rFonts w:ascii="Arial" w:hAnsi="Arial" w:cs="Arial"/>
        </w:rPr>
      </w:pPr>
      <w:r>
        <w:rPr>
          <w:rFonts w:ascii="Arial" w:hAnsi="Arial"/>
        </w:rPr>
        <w:t>Negli ultimi anni gli impianti fotovoltaici sono stati all'origine di numerosi incendi di edifici. I premi per l'assicurazione degli edifici e del contenuto spesso aumentano a causa del maggior rischio di incendio dopo l'installazione di un impianto fotovoltaico sul tetto. L'assicuratore può talvolta imporre requisiti aggiuntivi (ad esempio, un rilevatore di arco elettrico). I requisiti devono essere inclusi nel bando di gara o nella descrizione del contratto.</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42D73D"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Consiglio</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È importante informarsi </w:t>
      </w:r>
      <w:r>
        <w:rPr>
          <w:rFonts w:ascii="Arial" w:hAnsi="Arial"/>
          <w:b/>
          <w:color w:val="104D54"/>
        </w:rPr>
        <w:t>tempestivamente</w:t>
      </w:r>
      <w:r>
        <w:rPr>
          <w:rFonts w:ascii="Arial" w:hAnsi="Arial"/>
          <w:color w:val="104D54"/>
        </w:rPr>
        <w:t xml:space="preserve"> sui costi delle polizze assicurative nuove o adattate. In alcuni casi i premi possono essere così elevati da rendere il business case del progetto FV non redditizio. Diversi progetti FV sono stati penalizzati da tale aspetto.</w:t>
      </w:r>
    </w:p>
    <w:p w14:paraId="56BCB9F5" w14:textId="7E66369F" w:rsidR="00FB7DCE" w:rsidRPr="004C0EBD" w:rsidRDefault="006D0CA6" w:rsidP="00384F97">
      <w:pPr>
        <w:ind w:left="851" w:hanging="709"/>
        <w:jc w:val="both"/>
      </w:pPr>
      <w:r>
        <w:rPr>
          <w:color w:val="104D54"/>
        </w:rPr>
        <w:t xml:space="preserve">  </w:t>
      </w:r>
    </w:p>
    <w:p w14:paraId="75707ABF" w14:textId="77777777" w:rsidR="00474598" w:rsidRPr="007A5646" w:rsidRDefault="00474598" w:rsidP="00474598">
      <w:pPr>
        <w:rPr>
          <w:rFonts w:ascii="Arial" w:hAnsi="Arial" w:cs="Arial"/>
          <w:b/>
          <w:bCs/>
          <w:color w:val="3DC3C6"/>
        </w:rPr>
      </w:pPr>
      <w:r>
        <w:rPr>
          <w:rFonts w:ascii="Arial" w:hAnsi="Arial"/>
          <w:b/>
          <w:color w:val="3DC3C6"/>
        </w:rPr>
        <w:t>Assicurazione Operational All Risk (OAR)</w:t>
      </w:r>
    </w:p>
    <w:p w14:paraId="7721E1ED" w14:textId="0B869916" w:rsidR="00474598" w:rsidRPr="007A5646" w:rsidRDefault="00293FAD" w:rsidP="00474598">
      <w:pPr>
        <w:rPr>
          <w:rFonts w:ascii="Arial" w:hAnsi="Arial" w:cs="Arial"/>
        </w:rPr>
      </w:pPr>
      <w:r>
        <w:rPr>
          <w:rFonts w:ascii="Arial" w:hAnsi="Arial"/>
        </w:rPr>
        <w:t>Questa assicurazione viene stipulata dal cliente stesso. Protegge contro:</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Danni all'impianto di pannelli solari</w:t>
      </w:r>
      <w:r>
        <w:rPr>
          <w:rFonts w:ascii="Arial" w:hAnsi="Arial"/>
          <w:color w:val="3DC3C6"/>
        </w:rPr>
        <w:t xml:space="preserve"> </w:t>
      </w:r>
      <w:r>
        <w:rPr>
          <w:rFonts w:ascii="Arial" w:hAnsi="Arial"/>
        </w:rPr>
        <w:br/>
        <w:t>L'assicurazione OAR copre i danni all'impianto fotovoltaico in seguito a imprevisti esterni quali: incendi, tempeste, fulmini, furti o atti vandalici.</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Perdita di produzione</w:t>
      </w:r>
      <w:r>
        <w:rPr>
          <w:rFonts w:ascii="Arial" w:hAnsi="Arial"/>
          <w:color w:val="3DC3C6"/>
        </w:rPr>
        <w:t xml:space="preserve"> </w:t>
      </w:r>
      <w:r>
        <w:rPr>
          <w:rFonts w:ascii="Arial" w:hAnsi="Arial"/>
        </w:rPr>
        <w:br/>
        <w:t>In caso di danni all'impianto fotovoltaico, potrebbe passare del tempo prima di poterlo riparare o sostituire, con conseguente perdita di entrate. L'assicurazione OAR copre anche la perdita di entrate a seguito di un danno.</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Assicurazione di responsabilità civile per imprese (AVB)</w:t>
      </w:r>
    </w:p>
    <w:p w14:paraId="5D96A310" w14:textId="220B64A7" w:rsidR="00B06E62" w:rsidRPr="007A5646" w:rsidRDefault="00B06E62" w:rsidP="00321C0F">
      <w:pPr>
        <w:jc w:val="both"/>
        <w:rPr>
          <w:rFonts w:ascii="Arial" w:hAnsi="Arial" w:cs="Arial"/>
        </w:rPr>
      </w:pPr>
      <w:r>
        <w:rPr>
          <w:rFonts w:ascii="Arial" w:hAnsi="Arial"/>
        </w:rPr>
        <w:t xml:space="preserve">I requisiti del progetto FV prevedono in genere che la parte contraente disponga obbligatoriamente di un'adeguata assicurazione di responsabilità civile per imprese che garantisca una liquidazione finanziaria nel caso in cui venga ritenuta responsabile di eventuali danni subiti durante i lavori.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Alcuni esempi di copertura:</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Danni alla proprietà:</w:t>
      </w:r>
      <w:r>
        <w:rPr>
          <w:rFonts w:ascii="Arial" w:hAnsi="Arial"/>
          <w:i/>
          <w:color w:val="3DC3C6"/>
        </w:rPr>
        <w:t xml:space="preserve"> </w:t>
      </w:r>
      <w:r>
        <w:rPr>
          <w:rFonts w:ascii="Arial" w:hAnsi="Arial"/>
        </w:rPr>
        <w:t xml:space="preserve">danni alla proprietà del cliente (auto, edificio, ecc.) causati da un incidente durante i lavori.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Lesioni alla persona:</w:t>
      </w:r>
      <w:r>
        <w:rPr>
          <w:rFonts w:ascii="Arial" w:hAnsi="Arial"/>
          <w:i/>
          <w:color w:val="3DC3C6"/>
        </w:rPr>
        <w:t xml:space="preserve"> </w:t>
      </w:r>
      <w:r>
        <w:rPr>
          <w:rFonts w:ascii="Arial" w:hAnsi="Arial"/>
        </w:rPr>
        <w:t>nel caso in cui qualcuno subisca una lesione fisica a causa delle azioni dell'appaltatore. In tal caso, sono coperte le spese mediche e l'eventuale risarcimento dei danni.</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Spese legali: </w:t>
      </w:r>
      <w:r>
        <w:rPr>
          <w:rFonts w:ascii="Arial" w:hAnsi="Arial"/>
        </w:rPr>
        <w:t xml:space="preserve">copre, inter alia, gli onorari degli avvocati e le spese legali in caso di coinvolgimento della società in un procedimento giudiziario. </w:t>
      </w:r>
    </w:p>
    <w:p w14:paraId="43930762" w14:textId="1E0C0EF2" w:rsidR="00B06E62" w:rsidRPr="007A5646" w:rsidRDefault="00B06E62" w:rsidP="00B06E62">
      <w:pPr>
        <w:rPr>
          <w:rStyle w:val="SubtleEmphasis"/>
          <w:rFonts w:ascii="Arial" w:hAnsi="Arial" w:cs="Arial"/>
        </w:rPr>
      </w:pPr>
      <w:r>
        <w:rPr>
          <w:rFonts w:ascii="Arial" w:hAnsi="Arial"/>
        </w:rPr>
        <w:t>La copertura e le condizioni di una AVB variano da una compagnia assicurativa all'altra e a seconda del tipo di società.</w:t>
      </w:r>
    </w:p>
    <w:p w14:paraId="1D308F2F" w14:textId="77777777" w:rsidR="003869FC" w:rsidRPr="007A5646" w:rsidRDefault="003869FC" w:rsidP="001E10CD">
      <w:pPr>
        <w:rPr>
          <w:rFonts w:ascii="Arial" w:hAnsi="Arial" w:cs="Arial"/>
          <w:b/>
          <w:bCs/>
          <w:color w:val="000000"/>
        </w:rPr>
      </w:pPr>
    </w:p>
    <w:p w14:paraId="14A9377D" w14:textId="11EF1CCD" w:rsidR="001E10CD" w:rsidRPr="0064099B" w:rsidRDefault="001E10CD" w:rsidP="003B429E">
      <w:pPr>
        <w:keepNext/>
        <w:rPr>
          <w:rFonts w:ascii="Arial" w:hAnsi="Arial" w:cs="Arial"/>
          <w:b/>
          <w:bCs/>
          <w:color w:val="3DC3C6"/>
          <w:lang w:val="en-US"/>
        </w:rPr>
      </w:pPr>
      <w:r w:rsidRPr="0064099B">
        <w:rPr>
          <w:rFonts w:ascii="Arial" w:hAnsi="Arial"/>
          <w:b/>
          <w:color w:val="3DC3C6"/>
          <w:lang w:val="en-US"/>
        </w:rPr>
        <w:lastRenderedPageBreak/>
        <w:t xml:space="preserve">Assicurazione CAR (Construction All Risk)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Gli installatori/EPC devono aver stipulato e pagato un'assicurazione CAR con una copertura sufficiente (ad esempio: 1 milione di EUR/almeno di pari valore rispetto al valore del contratto). In qualità di cliente, è possibile inoltre scegliere di stipulare autonomamente un'assicurazione CAR. La copertura è la stessa, ma il "controllo" avviene in prima persona. L'assicurazione copre rischi diversi da quelli coperti dalla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L'</w:t>
      </w:r>
      <w:r>
        <w:rPr>
          <w:rFonts w:ascii="Arial" w:hAnsi="Arial"/>
          <w:b/>
          <w:color w:val="3DC3C6"/>
          <w:u w:val="single"/>
        </w:rPr>
        <w:t>allegato 9</w:t>
      </w:r>
      <w:r>
        <w:rPr>
          <w:rFonts w:ascii="Arial" w:hAnsi="Arial"/>
        </w:rPr>
        <w:t xml:space="preserve"> fornisce una breve sintesi delle coperture assicurative della CAR.</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F426F5">
      <w:pPr>
        <w:pStyle w:val="MH2"/>
      </w:pPr>
      <w:bookmarkStart w:id="79" w:name="_Toc180569773"/>
      <w:r>
        <w:t>Fase 6 Aspetti relativi alla sostenibilità</w:t>
      </w:r>
      <w:bookmarkEnd w:id="79"/>
      <w:r>
        <w:t xml:space="preserve"> </w:t>
      </w:r>
    </w:p>
    <w:p w14:paraId="678D5D76" w14:textId="77777777" w:rsidR="00E44898" w:rsidRPr="004C0EBD" w:rsidRDefault="00E44898" w:rsidP="00A3595E"/>
    <w:p w14:paraId="48883B02" w14:textId="77777777" w:rsidR="003B429E" w:rsidRPr="00C02710" w:rsidRDefault="00082A07" w:rsidP="00162562">
      <w:pPr>
        <w:jc w:val="both"/>
        <w:rPr>
          <w:rFonts w:ascii="Arial" w:hAnsi="Arial"/>
        </w:rPr>
      </w:pPr>
      <w:r>
        <w:rPr>
          <w:rFonts w:ascii="Arial" w:hAnsi="Arial"/>
        </w:rPr>
        <w:t>Il punto 6.1 esaminerà brevemente gli aspetti di sostenibilità dei pannelli solari, mentre il punto 6.2 analizzerà in modo sintetico gli aspetti ambientali dei parchi solari e degli impianti fotovoltaici galleggianti.</w:t>
      </w:r>
    </w:p>
    <w:p w14:paraId="1F9A7E9C" w14:textId="221408AB" w:rsidR="002C7DD6" w:rsidRPr="00162562" w:rsidRDefault="002C7DD6" w:rsidP="00162562">
      <w:pPr>
        <w:jc w:val="both"/>
        <w:rPr>
          <w:rFonts w:ascii="Arial" w:hAnsi="Arial" w:cs="Arial"/>
        </w:rPr>
      </w:pPr>
    </w:p>
    <w:p w14:paraId="438BCBE6" w14:textId="4D518DFB" w:rsidR="002C7DD6" w:rsidRPr="00162562" w:rsidRDefault="003869FC" w:rsidP="00162562">
      <w:pPr>
        <w:jc w:val="both"/>
        <w:rPr>
          <w:rFonts w:ascii="Arial" w:hAnsi="Arial" w:cs="Arial"/>
        </w:rPr>
      </w:pPr>
      <w:r>
        <w:rPr>
          <w:rFonts w:ascii="Arial" w:hAnsi="Arial"/>
        </w:rPr>
        <w:t>Il presente documento non tratta dei materiali di installazione e degli inverter. I materiali di installazione sono per lo più in alluminio o acciaio, entrambi facilmente riciclabili. L'alluminio è spesso già prodotto a partire da alluminio riciclato. Ad oggi, non sono molte le informazioni disponibili sulle differenze in termini di durata e robustezza. Gli aspetti relativi alla sostenibilità degli inverter e delle strutture di supporto saranno esaminati in una versione futura del presente documento.</w:t>
      </w:r>
    </w:p>
    <w:p w14:paraId="2B88D409" w14:textId="77777777" w:rsidR="00FA5774" w:rsidRPr="004C0EBD" w:rsidRDefault="00FA5774" w:rsidP="00A3595E"/>
    <w:p w14:paraId="2085671D" w14:textId="7A892BCC" w:rsidR="003430AD" w:rsidRPr="004C0EBD" w:rsidRDefault="00FA5774" w:rsidP="00F426F5">
      <w:pPr>
        <w:pStyle w:val="MH3"/>
      </w:pPr>
      <w:bookmarkStart w:id="80" w:name="_Toc180569774"/>
      <w:r>
        <w:t>6.1 Aspetti relativi alla sostenibilità dei pannelli solari</w:t>
      </w:r>
      <w:bookmarkEnd w:id="80"/>
    </w:p>
    <w:p w14:paraId="1C1BEA61" w14:textId="313EB780" w:rsidR="009F3241" w:rsidRPr="004C0EBD" w:rsidRDefault="009F3241" w:rsidP="00162562">
      <w:pPr>
        <w:pStyle w:val="BodyText1"/>
      </w:pPr>
      <w:r>
        <w:t>Di seguito, una sintesi dei principali aspetti relativi alla sostenibilità. Tali argomenti sono ampiamente trattati nel documento "Aspetti relativi alla sostenibilità e studio del mercato dei pannelli solari più sostenibili",</w:t>
      </w:r>
      <w:r>
        <w:rPr>
          <w:i/>
        </w:rPr>
        <w:t xml:space="preserve"> </w:t>
      </w:r>
      <w:r>
        <w:t>che esamina altresì le opzioni più sostenibili in vendita, indicando i costi aggiuntivi.</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Consiglio</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Nella fase preliminare sarebbe opportuno valutare quali siano gli aspetti più importanti per la propria organizzazione in materia di sostenibilità. Il documento di cui sopra consentirà di stimare i costi aggiuntivi di alcuni requisiti, nonché l'impatto sul numero di fornitori e sul business case.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643"/>
        <w:gridCol w:w="4021"/>
        <w:gridCol w:w="239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Argomento</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Spiegazione</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Nel Modello con i requisiti?</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Impronta di carbonio dei pannelli fotovoltaici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Differisce di un fattore 4 tra i primi 20 produttori di fotovoltaico a livello globale: circa 300 - 1 200 kg CO</w:t>
            </w:r>
            <w:r>
              <w:rPr>
                <w:rFonts w:ascii="Arial" w:hAnsi="Arial"/>
                <w:sz w:val="20"/>
                <w:vertAlign w:val="subscript"/>
              </w:rPr>
              <w:t>2</w:t>
            </w:r>
            <w:r>
              <w:rPr>
                <w:rFonts w:ascii="Arial" w:hAnsi="Arial"/>
                <w:sz w:val="20"/>
              </w:rPr>
              <w:t>/kW</w:t>
            </w:r>
            <w:r>
              <w:rPr>
                <w:rFonts w:ascii="Arial" w:hAnsi="Arial"/>
                <w:sz w:val="20"/>
                <w:vertAlign w:val="subscript"/>
              </w:rPr>
              <w:t>p</w:t>
            </w:r>
            <w:r>
              <w:rPr>
                <w:rFonts w:ascii="Arial" w:hAnsi="Arial"/>
                <w:sz w:val="20"/>
              </w:rPr>
              <w:t xml:space="preserve">. </w:t>
            </w:r>
            <w:r>
              <w:rPr>
                <w:rFonts w:ascii="Arial" w:hAnsi="Arial"/>
              </w:rPr>
              <w:t xml:space="preserve"> </w:t>
            </w:r>
            <w:r>
              <w:rPr>
                <w:rFonts w:ascii="Arial" w:hAnsi="Arial"/>
              </w:rPr>
              <w:br/>
            </w:r>
            <w:r>
              <w:rPr>
                <w:rFonts w:ascii="Arial" w:hAnsi="Arial"/>
                <w:sz w:val="20"/>
              </w:rPr>
              <w:t>Nei Paesi Bassi, per gli impianti realizzati nel 2024, il tempo di ammortamento delle emissioni di CO</w:t>
            </w:r>
            <w:r>
              <w:rPr>
                <w:rFonts w:ascii="Arial" w:hAnsi="Arial"/>
                <w:sz w:val="20"/>
                <w:vertAlign w:val="subscript"/>
              </w:rPr>
              <w:t>2</w:t>
            </w:r>
            <w:r>
              <w:rPr>
                <w:rFonts w:ascii="Arial" w:hAnsi="Arial"/>
                <w:sz w:val="20"/>
              </w:rPr>
              <w:t xml:space="preserve"> per i pannelli solari </w:t>
            </w:r>
            <w:r>
              <w:rPr>
                <w:rFonts w:ascii="Arial" w:hAnsi="Arial"/>
                <w:sz w:val="20"/>
              </w:rPr>
              <w:lastRenderedPageBreak/>
              <w:t xml:space="preserve">tradizionali va dagli 8 ai 20 anni (a seconda delle ipotesi). </w:t>
            </w:r>
            <w:r>
              <w:rPr>
                <w:rFonts w:ascii="Arial" w:hAnsi="Arial"/>
              </w:rPr>
              <w:t xml:space="preserve"> </w:t>
            </w:r>
            <w:r>
              <w:rPr>
                <w:rFonts w:ascii="Arial" w:hAnsi="Arial"/>
              </w:rPr>
              <w:br/>
            </w:r>
            <w:r>
              <w:rPr>
                <w:rFonts w:ascii="Arial" w:hAnsi="Arial"/>
                <w:sz w:val="20"/>
              </w:rPr>
              <w:t xml:space="preserve">Per i pannelli a basse emissioni di carbonio si parla di 2-4 anni.  </w:t>
            </w:r>
            <w:r>
              <w:rPr>
                <w:rFonts w:ascii="Arial" w:hAnsi="Arial"/>
              </w:rPr>
              <w:t xml:space="preserve"> </w:t>
            </w:r>
            <w:r>
              <w:rPr>
                <w:rFonts w:ascii="Arial" w:hAnsi="Arial"/>
              </w:rPr>
              <w:br/>
            </w:r>
            <w:r>
              <w:rPr>
                <w:rFonts w:ascii="Arial" w:hAnsi="Arial"/>
                <w:sz w:val="20"/>
              </w:rPr>
              <w:t>I pannelli a bassa impronta di carbonio sono più costosi del 5-20 %.</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lastRenderedPageBreak/>
              <w:t>Requisito standard:</w:t>
            </w:r>
            <w:r>
              <w:rPr>
                <w:rFonts w:ascii="Arial" w:hAnsi="Arial"/>
                <w:sz w:val="20"/>
              </w:rPr>
              <w:t xml:space="preserve"> 550 kg CO</w:t>
            </w:r>
            <w:r>
              <w:rPr>
                <w:rFonts w:ascii="Arial" w:hAnsi="Arial"/>
                <w:sz w:val="20"/>
                <w:vertAlign w:val="subscript"/>
              </w:rPr>
              <w:t xml:space="preserve">2 </w:t>
            </w:r>
            <w:r>
              <w:rPr>
                <w:rFonts w:ascii="Arial" w:hAnsi="Arial"/>
                <w:sz w:val="20"/>
              </w:rPr>
              <w:t>per</w:t>
            </w:r>
            <w:r>
              <w:rPr>
                <w:rFonts w:ascii="Arial" w:hAnsi="Arial"/>
                <w:sz w:val="20"/>
                <w:vertAlign w:val="subscript"/>
              </w:rPr>
              <w:t xml:space="preserve"> </w:t>
            </w:r>
            <w:r>
              <w:rPr>
                <w:rFonts w:ascii="Arial" w:hAnsi="Arial"/>
                <w:sz w:val="20"/>
              </w:rPr>
              <w:t>kW</w:t>
            </w:r>
            <w:r>
              <w:rPr>
                <w:rFonts w:ascii="Arial" w:hAnsi="Arial"/>
                <w:sz w:val="20"/>
                <w:vertAlign w:val="subscript"/>
              </w:rPr>
              <w:t>p</w:t>
            </w:r>
            <w:r>
              <w:rPr>
                <w:rFonts w:ascii="Arial" w:hAnsi="Arial"/>
                <w:sz w:val="20"/>
              </w:rPr>
              <w:t xml:space="preserve"> conformemente alla "Valutazione semplificata delle emissioni di carbonio". </w:t>
            </w:r>
            <w:r>
              <w:rPr>
                <w:rFonts w:ascii="Arial" w:hAnsi="Arial"/>
              </w:rPr>
              <w:t xml:space="preserve"> </w:t>
            </w:r>
            <w:r>
              <w:rPr>
                <w:rFonts w:ascii="Arial" w:hAnsi="Arial"/>
              </w:rPr>
              <w:br/>
            </w:r>
            <w:r>
              <w:rPr>
                <w:rFonts w:ascii="Arial" w:hAnsi="Arial"/>
              </w:rPr>
              <w:lastRenderedPageBreak/>
              <w:t xml:space="preserve"> </w:t>
            </w:r>
            <w:r>
              <w:rPr>
                <w:rFonts w:ascii="Arial" w:hAnsi="Arial"/>
              </w:rPr>
              <w:br/>
            </w:r>
            <w:r>
              <w:rPr>
                <w:rFonts w:ascii="Arial" w:hAnsi="Arial"/>
                <w:i/>
                <w:sz w:val="20"/>
              </w:rPr>
              <w:t xml:space="preserve">Punti bonus: </w:t>
            </w:r>
            <w:r>
              <w:rPr>
                <w:rFonts w:ascii="Arial" w:hAnsi="Arial"/>
                <w:sz w:val="20"/>
              </w:rPr>
              <w:t>per una minore impronta di carbonio.</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lastRenderedPageBreak/>
              <w:t>Materiali nocivi evitabili</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La parte posteriore di molti pannelli solari tradizionali è interamente ricoperta da uno strato di PFAS, che pone un rischio di inquinamento del suolo. </w:t>
            </w:r>
            <w:proofErr w:type="gramStart"/>
            <w:r>
              <w:rPr>
                <w:rFonts w:ascii="Arial" w:hAnsi="Arial"/>
                <w:sz w:val="20"/>
              </w:rPr>
              <w:t>Inoltre</w:t>
            </w:r>
            <w:proofErr w:type="gramEnd"/>
            <w:r>
              <w:rPr>
                <w:rFonts w:ascii="Arial" w:hAnsi="Arial"/>
                <w:sz w:val="20"/>
              </w:rPr>
              <w:t xml:space="preserve"> la saldatura contiene spesso piombo e nel vetro è presente l'antimonio.  </w:t>
            </w:r>
            <w:r>
              <w:rPr>
                <w:rFonts w:ascii="Arial" w:hAnsi="Arial"/>
              </w:rPr>
              <w:t xml:space="preserve"> </w:t>
            </w:r>
            <w:r>
              <w:rPr>
                <w:rFonts w:ascii="Arial" w:hAnsi="Arial"/>
              </w:rPr>
              <w:br/>
            </w:r>
            <w:r>
              <w:rPr>
                <w:rFonts w:ascii="Arial" w:hAnsi="Arial"/>
                <w:sz w:val="20"/>
              </w:rPr>
              <w:t xml:space="preserve">I pannelli solari senza PFAS sono facilmente reperibili. Esiste anche un numero ridotto di pannelli solari che non contengono né piombo né antimonio.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Requisito standard: </w:t>
            </w:r>
            <w:r>
              <w:rPr>
                <w:rFonts w:ascii="Arial" w:hAnsi="Arial"/>
                <w:sz w:val="20"/>
              </w:rPr>
              <w:t>senza PFAS.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Punti bonus: </w:t>
            </w:r>
            <w:r>
              <w:rPr>
                <w:rFonts w:ascii="Arial" w:hAnsi="Arial"/>
              </w:rPr>
              <w:t xml:space="preserve"> </w:t>
            </w:r>
            <w:r>
              <w:rPr>
                <w:rFonts w:ascii="Arial" w:hAnsi="Arial"/>
              </w:rPr>
              <w:br/>
              <w:t>saldatura senza piombo, vetro senza antimonio.</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Durata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La vita tecnica di molti pannelli solari, compresi quelli dei produttori di "primo livello", si aggira tra i 10 e i 15 anni. </w:t>
            </w:r>
            <w:r>
              <w:rPr>
                <w:rFonts w:ascii="Arial" w:hAnsi="Arial"/>
              </w:rPr>
              <w:t xml:space="preserve"> </w:t>
            </w:r>
            <w:r>
              <w:rPr>
                <w:rFonts w:ascii="Arial" w:hAnsi="Arial"/>
              </w:rPr>
              <w:br/>
            </w:r>
            <w:proofErr w:type="gramStart"/>
            <w:r>
              <w:rPr>
                <w:rFonts w:ascii="Arial" w:hAnsi="Arial"/>
                <w:sz w:val="20"/>
              </w:rPr>
              <w:t>Tuttavia</w:t>
            </w:r>
            <w:proofErr w:type="gramEnd"/>
            <w:r>
              <w:rPr>
                <w:rFonts w:ascii="Arial" w:hAnsi="Arial"/>
                <w:sz w:val="20"/>
              </w:rPr>
              <w:t xml:space="preserve"> una durata di almeno 30 anni è una buona possibilità quando si utilizzano materiali di alta qualità e un design robusto. </w:t>
            </w:r>
            <w:r>
              <w:rPr>
                <w:rFonts w:ascii="Arial" w:hAnsi="Arial"/>
              </w:rPr>
              <w:t xml:space="preserve"> </w:t>
            </w:r>
            <w:r>
              <w:rPr>
                <w:rFonts w:ascii="Arial" w:hAnsi="Arial"/>
              </w:rPr>
              <w:br/>
            </w:r>
            <w:r>
              <w:rPr>
                <w:rFonts w:ascii="Arial" w:hAnsi="Arial"/>
                <w:sz w:val="20"/>
              </w:rPr>
              <w:t xml:space="preserve">Questi pannelli solari sono più costosi del 10-15 %.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Punti bonus: </w:t>
            </w:r>
            <w:r>
              <w:rPr>
                <w:rFonts w:ascii="Arial" w:hAnsi="Arial"/>
              </w:rPr>
              <w:t>30 anni di garanzia sul prodotto, comprovata da appositi test.</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Condizioni di lavoro nella catena di approvvigionamento.</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Nello Xinjiang sono stati documentati casi di lavoro forzato nella produzione di celle solari. Esistono diverse iniziative volte a identificare se un produttore o i relativi fornitori ricorrono al lavoro forzato (accordo </w:t>
            </w:r>
            <w:r>
              <w:rPr>
                <w:rFonts w:ascii="Arial" w:hAnsi="Arial"/>
                <w:i/>
                <w:sz w:val="20"/>
              </w:rPr>
              <w:t>SER [</w:t>
            </w:r>
            <w:r>
              <w:rPr>
                <w:rFonts w:ascii="Arial" w:hAnsi="Arial"/>
                <w:sz w:val="20"/>
              </w:rPr>
              <w:t>Consiglio sociale ed economico dei Paesi Bassi</w:t>
            </w:r>
            <w:r>
              <w:rPr>
                <w:rFonts w:ascii="Arial" w:hAnsi="Arial"/>
                <w:i/>
                <w:sz w:val="20"/>
              </w:rPr>
              <w:t xml:space="preserve">] </w:t>
            </w:r>
            <w:r>
              <w:rPr>
                <w:rFonts w:ascii="Arial" w:hAnsi="Arial"/>
                <w:sz w:val="20"/>
              </w:rPr>
              <w:t>sulla condotta responsabile delle imprese a livello internazionale in materia di diritti umani</w:t>
            </w:r>
            <w:r>
              <w:rPr>
                <w:rFonts w:ascii="Arial" w:hAnsi="Arial"/>
                <w:i/>
                <w:sz w:val="20"/>
              </w:rPr>
              <w:t>;</w:t>
            </w:r>
            <w:r>
              <w:rPr>
                <w:rFonts w:ascii="Arial" w:hAnsi="Arial"/>
                <w:sz w:val="20"/>
              </w:rPr>
              <w:t xml:space="preserve"> "Solar Stewardship Initiative" di SolarPower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I requisiti e i criteri oggettivi sono ancora in fase di sviluppo.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Durante l'installazione dei pannelli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L'installazione di pannelli solari nei Paesi Bassi comporta talvolta lo sfruttamento di lavoratori migranti.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Requisito</w:t>
            </w:r>
            <w:r>
              <w:rPr>
                <w:rFonts w:ascii="Arial" w:hAnsi="Arial"/>
                <w:sz w:val="20"/>
              </w:rPr>
              <w:t>: codice di condotta del fornitore.</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Circolarità</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C02710"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Diverse idee e concetti sono sviluppati nell'ambito della "Progettazione in funzione del riciclaggio", incluso l'impegno </w:t>
            </w:r>
            <w:r>
              <w:rPr>
                <w:rFonts w:ascii="Arial" w:hAnsi="Arial"/>
                <w:sz w:val="20"/>
              </w:rPr>
              <w:lastRenderedPageBreak/>
              <w:t xml:space="preserve">a utilizzare una determinata percentuale di materiali riciclati.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lastRenderedPageBreak/>
              <w:t>I requisiti e i criteri oggettivi sono ancora in fase di sviluppo.</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Fine vita</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Sostituzione con altri pannelli solo in caso di difetto. Il contributo (obbligatorio) di smaltimento deve essere versato alla Fondazione OPEN [Organisation for Producer Responsibility for E-waste Netherlands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Requisito: </w:t>
            </w:r>
            <w:r>
              <w:rPr>
                <w:rFonts w:ascii="Arial" w:hAnsi="Arial"/>
                <w:sz w:val="20"/>
              </w:rPr>
              <w:t>il contributo di smaltimento è stato versato.</w:t>
            </w:r>
          </w:p>
        </w:tc>
      </w:tr>
    </w:tbl>
    <w:p w14:paraId="3D4E6FCF" w14:textId="77777777" w:rsidR="00FA5774" w:rsidRPr="004C0EBD" w:rsidRDefault="00FA5774" w:rsidP="00A3595E"/>
    <w:p w14:paraId="1DD59982" w14:textId="77777777" w:rsidR="006A5081" w:rsidRDefault="006A5081" w:rsidP="00F426F5">
      <w:pPr>
        <w:pStyle w:val="MH3"/>
      </w:pPr>
    </w:p>
    <w:p w14:paraId="16BF8B85" w14:textId="324A6899" w:rsidR="00F541A6" w:rsidRPr="004C0EBD" w:rsidRDefault="00FA5774" w:rsidP="00F426F5">
      <w:pPr>
        <w:pStyle w:val="MH3"/>
      </w:pPr>
      <w:bookmarkStart w:id="81" w:name="_Toc180569775"/>
      <w:r>
        <w:t>6.2 Aspetti ambientali coinvolti in Sun-on-Land e Sun-on-Water</w:t>
      </w:r>
      <w:bookmarkEnd w:id="81"/>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Sun-on-Land</w:t>
      </w:r>
    </w:p>
    <w:p w14:paraId="19275623" w14:textId="77777777" w:rsidR="001F15A3" w:rsidRDefault="004E647C" w:rsidP="003869FC">
      <w:pPr>
        <w:jc w:val="both"/>
        <w:rPr>
          <w:rFonts w:ascii="Arial" w:hAnsi="Arial" w:cs="Arial"/>
        </w:rPr>
      </w:pPr>
      <w:r>
        <w:rPr>
          <w:rFonts w:ascii="Arial" w:hAnsi="Arial"/>
        </w:rPr>
        <w:t>I pannelli solari negli impianti fotovoltaici su terreni con orientamento Est-Ovest a volte sono posizionati così vicini tra loro che la luce o l'acqua riescono a malapena a raggiungere il suolo; ciò comporta la scomparsa della vita presente nel suolo sotto i pannelli. Un po' più di spazio per la luce e la pioggia fa un'enorme differenza. Per ulteriori dettagli, cfr.:</w:t>
      </w:r>
    </w:p>
    <w:p w14:paraId="048EB9A9" w14:textId="0A6CE6E4" w:rsidR="00B04952" w:rsidRPr="001F15A3" w:rsidRDefault="0009535D"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Il TNO ha elaborato un'analisi del suolo, che valuta se la vita in esso è sufficiente o meno, a seconda della posizione, dell'orientamento e della distanza tra le file. Anche i pannelli vetro-vetro costituiscono una valida alternativa se la luce del sole riesce a penetrare attraverso i bordi del pannello fino al suolo. Attualmente, il Modello specifica altresì che il rapporto di copertura del suolo per i progetti di dimensioni più ridotte deve essere inferiore al 70 % e che vi devono essere spazi vuoti di almeno 2 cm tra i pannelli (per l'acqua piovana). I progetti più estesi devono essere conformi all'analisi del suolo del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La biodiversità può essere promossa attraverso determinate erbe, piante o prati, attraverso una politica di falciatura o mediante l'installazione di un hotel per insetti.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Avvertenza: il consorzio Sun-on-Land sta lavorando a un marchio di qualità ecologica per i parchi solari (EcoCertified); ciò determinerà a breve la definizione di una serie di linee guida.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Agrivoltaico (o Agrifotovoltaico)</w:t>
      </w:r>
    </w:p>
    <w:p w14:paraId="2A5586AB" w14:textId="18B85BD4" w:rsidR="00B04952" w:rsidRPr="001F15A3" w:rsidRDefault="00B04952" w:rsidP="00B04952">
      <w:pPr>
        <w:jc w:val="both"/>
        <w:rPr>
          <w:rFonts w:ascii="Arial" w:hAnsi="Arial" w:cs="Arial"/>
        </w:rPr>
      </w:pPr>
      <w:r>
        <w:rPr>
          <w:rFonts w:ascii="Arial" w:hAnsi="Arial"/>
        </w:rPr>
        <w:t>Attualmente è in corso di sviluppo anche l'esperienza di combinare l'agricoltura e la produzione fotovoltaica ("agrivoltaico"). Sono diverse le soluzioni utilizzate: dalle file di pannelli solari orientati verticalmente alle tettoie di pannelli solari sopra gli alberi da frutto. L'agrivoltaico è ancora in una fase relativamente embrionale.</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3B429E">
      <w:pPr>
        <w:keepNext/>
        <w:jc w:val="both"/>
        <w:rPr>
          <w:rFonts w:ascii="Arial" w:hAnsi="Arial" w:cs="Arial"/>
          <w:b/>
          <w:bCs/>
          <w:color w:val="3DC3C6"/>
          <w:sz w:val="24"/>
          <w:szCs w:val="24"/>
        </w:rPr>
      </w:pPr>
      <w:r>
        <w:rPr>
          <w:rFonts w:ascii="Arial" w:hAnsi="Arial"/>
          <w:b/>
          <w:color w:val="3DC3C6"/>
          <w:sz w:val="24"/>
        </w:rPr>
        <w:t>Sun-on-Water</w:t>
      </w:r>
    </w:p>
    <w:p w14:paraId="5C81225C" w14:textId="6168F99E" w:rsidR="009722F8" w:rsidRPr="001F15A3" w:rsidRDefault="00B04952" w:rsidP="00CD5D92">
      <w:pPr>
        <w:jc w:val="both"/>
        <w:rPr>
          <w:rFonts w:ascii="Arial" w:hAnsi="Arial" w:cs="Arial"/>
        </w:rPr>
      </w:pPr>
      <w:r>
        <w:rPr>
          <w:rFonts w:ascii="Arial" w:hAnsi="Arial"/>
        </w:rPr>
        <w:t>Nell'ambito del consorzio "Sun-on-Water", anche organizzazioni come Deltares e l'Associazione degli enti regionali per le acque [</w:t>
      </w:r>
      <w:r>
        <w:rPr>
          <w:rFonts w:ascii="Arial" w:hAnsi="Arial"/>
          <w:i/>
        </w:rPr>
        <w:t>Unie van Waterschappen</w:t>
      </w:r>
      <w:r>
        <w:rPr>
          <w:rFonts w:ascii="Arial" w:hAnsi="Arial"/>
        </w:rPr>
        <w:t xml:space="preserve">] stanno esaminando </w:t>
      </w:r>
      <w:r>
        <w:rPr>
          <w:rFonts w:ascii="Arial" w:hAnsi="Arial"/>
        </w:rPr>
        <w:lastRenderedPageBreak/>
        <w:t xml:space="preserve">gli aspetti ambientali delle installazioni fotovoltaiche galleggianti. Tali studi sono ancora in fase embrionale e non è ancora chiaro se debbano essere stabiliti o meno dei requisiti in termini ambientali. Per ulteriori dettagli, cfr.:  </w:t>
      </w:r>
      <w:hyperlink r:id="rId20"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F426F5">
      <w:pPr>
        <w:pStyle w:val="MH2"/>
      </w:pPr>
      <w:bookmarkStart w:id="82" w:name="_Toc180569776"/>
      <w:r>
        <w:t>Fase 7 Esecuzione e consegna</w:t>
      </w:r>
      <w:bookmarkEnd w:id="82"/>
      <w:r>
        <w:t xml:space="preserve"> </w:t>
      </w:r>
    </w:p>
    <w:p w14:paraId="387172F1" w14:textId="77777777" w:rsidR="00F541A6" w:rsidRPr="004C0EBD" w:rsidRDefault="00F541A6" w:rsidP="00A3595E"/>
    <w:p w14:paraId="63EF63FE" w14:textId="5DEB918C" w:rsidR="00F7042B" w:rsidRPr="004C0EBD" w:rsidRDefault="00F7042B" w:rsidP="00F426F5">
      <w:pPr>
        <w:pStyle w:val="MH3"/>
        <w:rPr>
          <w:rFonts w:asciiTheme="minorHAnsi" w:hAnsiTheme="minorHAnsi"/>
        </w:rPr>
      </w:pPr>
      <w:bookmarkStart w:id="83" w:name="_Toc180569777"/>
      <w:r>
        <w:t>7.1 Calendari</w:t>
      </w:r>
      <w:bookmarkEnd w:id="83"/>
      <w:r>
        <w:t xml:space="preserve"> </w:t>
      </w:r>
    </w:p>
    <w:p w14:paraId="0FEAFB5E" w14:textId="0E30AF90" w:rsidR="00E63743" w:rsidRPr="001F15A3" w:rsidRDefault="002C7DD6" w:rsidP="00B7557D">
      <w:pPr>
        <w:jc w:val="both"/>
        <w:rPr>
          <w:rFonts w:ascii="Arial" w:hAnsi="Arial" w:cs="Arial"/>
        </w:rPr>
      </w:pPr>
      <w:r>
        <w:rPr>
          <w:rFonts w:ascii="Arial" w:hAnsi="Arial"/>
        </w:rPr>
        <w:t xml:space="preserve">Con la propria organizzazione, decidere quando potrebbero essere avviati i lavori per il progetto FV; è necessario prendere in considerazione altri lavori?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Consultare inoltre un consulente per definire una data di consegna verosimile. Quest'ultima deve tenere conto del tempo necessario per la gara d'appalto e l'aggiudicazione del contratto, nonché della costruzione dell'impianto.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F426F5">
      <w:pPr>
        <w:pStyle w:val="MH3"/>
      </w:pPr>
      <w:bookmarkStart w:id="84" w:name="_Toc180569778"/>
      <w:r>
        <w:t>7.2 Ispezioni e controllo finale</w:t>
      </w:r>
      <w:bookmarkEnd w:id="84"/>
      <w:r>
        <w:t xml:space="preserve"> </w:t>
      </w:r>
    </w:p>
    <w:p w14:paraId="19C5700F" w14:textId="77777777" w:rsidR="00260AB9" w:rsidRPr="001F15A3" w:rsidRDefault="00260AB9" w:rsidP="00F426F5">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Ispezione Scope 12</w:t>
      </w:r>
    </w:p>
    <w:p w14:paraId="4B361ACB" w14:textId="470085FD" w:rsidR="007518EB" w:rsidRPr="001F15A3" w:rsidRDefault="007518EB" w:rsidP="00C42EE6">
      <w:pPr>
        <w:jc w:val="both"/>
        <w:rPr>
          <w:rFonts w:ascii="Arial" w:hAnsi="Arial" w:cs="Arial"/>
        </w:rPr>
      </w:pPr>
      <w:r>
        <w:rPr>
          <w:rFonts w:ascii="Arial" w:hAnsi="Arial"/>
        </w:rPr>
        <w:t>Al momento della consegna di tutti i progetti, siano essi di grandi o di piccole dimensioni, su tetti, terreni o acque, è importante che un soggetto indipendente effettui un'ispezione di sicurezza conformemente al protocollo SCIOS Scope 12 (norma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Tale ispezione "Scope 12" verifica la sicurezza dell'impianto e segnala eventuali carenze relative, inter alia, alla sicurezza elettrica, alla sicurezza meccanica contro vento e neve, e alla protezione antifulmine. Nel Modello è indicato come requisito che la parte contraente provveda a rettificare successivamente le carenze individuate ("non conformità").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Si consiglia di richiedere le offerte di ispezione Scope 12 per tempo. Potrebbe essere difficile reperire un ispettore poco prima della consegna e le tariffe potrebbero essere più elevate.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Consiglio</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In qualità di cliente, si dovrebbe sempre organizzare in modo autonomo l'ispezione Scope 12. L'</w:t>
      </w:r>
      <w:r>
        <w:rPr>
          <w:rFonts w:ascii="Arial" w:hAnsi="Arial"/>
          <w:b/>
          <w:color w:val="104D54"/>
          <w:u w:val="single"/>
        </w:rPr>
        <w:t>allegato 6</w:t>
      </w:r>
      <w:r>
        <w:rPr>
          <w:rFonts w:ascii="Arial" w:hAnsi="Arial"/>
          <w:color w:val="104D54"/>
        </w:rPr>
        <w:t xml:space="preserve"> fornisce un elenco di organizzazioni che possono effettuare un'ispezione Scope 12.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Progetti su larga scala:</w:t>
      </w:r>
      <w:r>
        <w:rPr>
          <w:rStyle w:val="SubtleEmphasis"/>
          <w:rFonts w:ascii="Arial" w:hAnsi="Arial"/>
          <w:i/>
          <w:color w:val="3DC3C6"/>
          <w:sz w:val="24"/>
        </w:rPr>
        <w:t xml:space="preserve"> </w:t>
      </w:r>
      <w:r>
        <w:rPr>
          <w:rStyle w:val="SubtleEmphasis"/>
          <w:rFonts w:ascii="Arial" w:hAnsi="Arial"/>
          <w:color w:val="3DC3C6"/>
          <w:sz w:val="24"/>
        </w:rPr>
        <w:t>test a campione sui pannelli solari e audit in fabbrica</w:t>
      </w:r>
    </w:p>
    <w:p w14:paraId="7F0CC378" w14:textId="2F41FA56" w:rsidR="00E63743" w:rsidRPr="001F15A3" w:rsidRDefault="00E63743" w:rsidP="00C42EE6">
      <w:pPr>
        <w:jc w:val="both"/>
        <w:rPr>
          <w:rFonts w:ascii="Arial" w:hAnsi="Arial" w:cs="Arial"/>
        </w:rPr>
      </w:pPr>
      <w:r>
        <w:rPr>
          <w:rFonts w:ascii="Arial" w:hAnsi="Arial"/>
        </w:rPr>
        <w:t xml:space="preserve">Anche i progetti su larga scala (superiori a 1 MW) sono talvolta soggetti a test a campione e </w:t>
      </w:r>
      <w:r>
        <w:rPr>
          <w:rFonts w:ascii="Arial" w:hAnsi="Arial"/>
        </w:rPr>
        <w:br/>
        <w:t xml:space="preserve">audit di fabbrica. </w:t>
      </w:r>
    </w:p>
    <w:p w14:paraId="718FF494" w14:textId="4F812901" w:rsidR="00CD76B5" w:rsidRPr="001F15A3" w:rsidRDefault="00CD76B5" w:rsidP="00C42EE6">
      <w:pPr>
        <w:jc w:val="both"/>
        <w:rPr>
          <w:rFonts w:ascii="Arial" w:hAnsi="Arial" w:cs="Arial"/>
        </w:rPr>
      </w:pPr>
      <w:r>
        <w:rPr>
          <w:rFonts w:ascii="Arial" w:hAnsi="Arial"/>
        </w:rPr>
        <w:t xml:space="preserve">Sarebbe opportuno valutare se includere questo aspetto nel bando di gara, in modo che la parte contraente sia responsabile dell'organizzazione, oppure se escluderlo dal bando di gara e organizzarlo autonomamente.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Test a campione </w:t>
      </w:r>
      <w:r>
        <w:rPr>
          <w:rFonts w:ascii="Arial" w:hAnsi="Arial"/>
        </w:rPr>
        <w:t xml:space="preserve">I pannelli solari sono talvolta forniti con una potenza inferiore a quella indicata nella documentazione di accompagnamento. A volte si sono verificati danni visibili o invisibili in fabbrica o durante il trasporto. Questo può tradursi in un costo elevato per i progetti di grandi dimensioni.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Nei grandi progetti, un numero (estremamente ridotto) di pannelli solari è sottoposto a test dopo l'arrivo nei Paesi Bassi e prima del rilascio per l'installazione. Questi test a campione verificano la qualità dei pannelli solari consegnati.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I test esaminano aspetti quali:</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la corrispondenza dei Watt di potenza di picco dichiarati, mediante flash test;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la presenza di troppe microfratture, che aumentano la probabilità di un rapido degrado, mediante test EL;</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l'esecuzione di un'ispezione visiva del modulo, per controllare l'assemblaggio e la finitura;</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l'esecuzione di un'ispezione dei materiali del modulo utilizzati, per controllare le specifiche. </w:t>
      </w:r>
    </w:p>
    <w:p w14:paraId="2886CBF0" w14:textId="328B15DC" w:rsidR="007518EB" w:rsidRPr="001F15A3" w:rsidRDefault="007518EB" w:rsidP="00B7557D">
      <w:pPr>
        <w:jc w:val="both"/>
        <w:rPr>
          <w:rFonts w:ascii="Arial" w:hAnsi="Arial" w:cs="Arial"/>
        </w:rPr>
      </w:pPr>
      <w:r>
        <w:rPr>
          <w:rFonts w:ascii="Arial" w:hAnsi="Arial"/>
        </w:rPr>
        <w:t xml:space="preserve">Spesso si esegue anche un audit di fabbrica per progetti molto ampi (superiori a 20 MWp). Ciò comporta un controllo indipendente della qualità del lotto di pannelli solari ordinati </w:t>
      </w:r>
      <w:r>
        <w:rPr>
          <w:rFonts w:ascii="Arial" w:hAnsi="Arial"/>
          <w:i/>
        </w:rPr>
        <w:t>durante il processo di produzione in fabbrica</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I test a campione e gli audit di fabbrica (spesso in Cina) sono costosi. Per un progetto da 10 MW, questo può voler dire da 4 000 a 6 000 EUR per i test a campione e da 5 000 a 8 000 EUR per l'audit di fabbrica. </w:t>
      </w:r>
    </w:p>
    <w:p w14:paraId="3B64231D" w14:textId="77777777" w:rsidR="00CD76B5" w:rsidRPr="001F15A3" w:rsidRDefault="00CD76B5" w:rsidP="00A3595E">
      <w:pPr>
        <w:rPr>
          <w:rFonts w:ascii="Arial" w:hAnsi="Arial" w:cs="Arial"/>
        </w:rPr>
      </w:pPr>
    </w:p>
    <w:p w14:paraId="042D138A" w14:textId="77777777" w:rsidR="003B429E" w:rsidRPr="00C02710" w:rsidRDefault="006F2353" w:rsidP="00B7557D">
      <w:pPr>
        <w:jc w:val="both"/>
        <w:rPr>
          <w:rFonts w:ascii="Arial" w:hAnsi="Arial"/>
        </w:rPr>
      </w:pPr>
      <w:r>
        <w:rPr>
          <w:rFonts w:ascii="Arial" w:hAnsi="Arial"/>
        </w:rPr>
        <w:t>L'</w:t>
      </w:r>
      <w:r>
        <w:rPr>
          <w:rFonts w:ascii="Arial" w:hAnsi="Arial"/>
          <w:b/>
          <w:color w:val="3DC3C6"/>
          <w:u w:val="single"/>
        </w:rPr>
        <w:t>allegato 7</w:t>
      </w:r>
      <w:r>
        <w:rPr>
          <w:rFonts w:ascii="Arial" w:hAnsi="Arial"/>
          <w:b/>
          <w:color w:val="92D050"/>
        </w:rPr>
        <w:t xml:space="preserve"> </w:t>
      </w:r>
      <w:r>
        <w:rPr>
          <w:rFonts w:ascii="Arial" w:hAnsi="Arial"/>
        </w:rPr>
        <w:t>fornisce un elenco di organizzazioni che possono effettuare test a campione o audit di fabbrica</w:t>
      </w:r>
      <w:r>
        <w:rPr>
          <w:rStyle w:val="FootnoteReference"/>
          <w:rFonts w:ascii="Arial" w:hAnsi="Arial"/>
        </w:rPr>
        <w:t>2</w:t>
      </w:r>
      <w:r>
        <w:rPr>
          <w:rFonts w:ascii="Arial" w:hAnsi="Arial"/>
        </w:rPr>
        <w:t>.</w:t>
      </w:r>
    </w:p>
    <w:p w14:paraId="29AC4703" w14:textId="77777777" w:rsidR="003B429E" w:rsidRPr="00C02710" w:rsidRDefault="003B429E" w:rsidP="00C42EE6">
      <w:pPr>
        <w:jc w:val="both"/>
        <w:rPr>
          <w:rFonts w:ascii="Arial" w:hAnsi="Arial"/>
        </w:rPr>
      </w:pPr>
    </w:p>
    <w:p w14:paraId="00F0378A" w14:textId="1C8EB46C" w:rsidR="007518EB" w:rsidRPr="001F15A3" w:rsidRDefault="007518EB" w:rsidP="00C42EE6">
      <w:pPr>
        <w:jc w:val="both"/>
        <w:rPr>
          <w:rFonts w:ascii="Arial" w:hAnsi="Arial" w:cs="Arial"/>
        </w:rPr>
      </w:pPr>
      <w:r>
        <w:rPr>
          <w:rFonts w:ascii="Arial" w:hAnsi="Arial"/>
        </w:rPr>
        <w:t xml:space="preserve">Per i progetti di dimensioni ridotte, i costi aggiuntivi non valgono in genere la pena, dato il rischio.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È inoltre possibile e consueto includere nel contratto o nel bando di gara una garanzia di rendimento fisso per i primi 2 o 4 anni. </w:t>
      </w:r>
    </w:p>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F426F5">
      <w:pPr>
        <w:pStyle w:val="MH2"/>
        <w:rPr>
          <w:rFonts w:eastAsiaTheme="majorEastAsia"/>
          <w:color w:val="92D050"/>
        </w:rPr>
      </w:pPr>
      <w:bookmarkStart w:id="85" w:name="_Toc180569779"/>
      <w:r>
        <w:t>Fase 8 Manutenzione, controllo e fine vita</w:t>
      </w:r>
      <w:bookmarkEnd w:id="85"/>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La fase operativa inizia al momento della consegna del progetto FV e della produzione di elettricità. Le scelte inerenti a questa fase vengono operate nella fase preliminare, in modo che i requisiti interessati siano inclusi o meno nel rispettivo elenco.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Spesso accade che all'installatore/EPC che ha completato la posa dell'impianto fotovoltaico si richieda di garantire da 2 a 4 anni di manutenzione e controllo. In questo modo si incentiva l'appaltatore a fornire un impianto di buona qualità con un elevato indice di efficienza. </w:t>
      </w:r>
    </w:p>
    <w:p w14:paraId="7D3418EB" w14:textId="77777777" w:rsidR="00961DD0" w:rsidRPr="001F15A3" w:rsidRDefault="00961DD0" w:rsidP="00C42EE6">
      <w:pPr>
        <w:jc w:val="both"/>
        <w:rPr>
          <w:rFonts w:ascii="Arial" w:hAnsi="Arial" w:cs="Arial"/>
        </w:rPr>
      </w:pPr>
      <w:r>
        <w:rPr>
          <w:rFonts w:ascii="Arial" w:hAnsi="Arial"/>
        </w:rPr>
        <w:t xml:space="preserve">La manutenzione e il controllo possono anche essere commissionati separatamente. A volte è l'ufficio tecnico interno ad occuparsene. </w:t>
      </w:r>
    </w:p>
    <w:p w14:paraId="2C9CF9CA" w14:textId="6FEE291B" w:rsidR="00961DD0" w:rsidRPr="001F15A3" w:rsidRDefault="001E4615" w:rsidP="00C42EE6">
      <w:pPr>
        <w:jc w:val="both"/>
        <w:rPr>
          <w:rFonts w:ascii="Arial" w:hAnsi="Arial" w:cs="Arial"/>
        </w:rPr>
      </w:pPr>
      <w:r>
        <w:rPr>
          <w:rFonts w:ascii="Arial" w:hAnsi="Arial"/>
        </w:rPr>
        <w:t>L'</w:t>
      </w:r>
      <w:r>
        <w:rPr>
          <w:rFonts w:ascii="Arial" w:hAnsi="Arial"/>
          <w:b/>
          <w:color w:val="3DC3C6"/>
          <w:u w:val="single"/>
        </w:rPr>
        <w:t>allegato 8</w:t>
      </w:r>
      <w:r>
        <w:rPr>
          <w:rFonts w:ascii="Arial" w:hAnsi="Arial"/>
          <w:b/>
          <w:color w:val="92D050"/>
        </w:rPr>
        <w:t xml:space="preserve"> </w:t>
      </w:r>
      <w:r>
        <w:rPr>
          <w:rFonts w:ascii="Arial" w:hAnsi="Arial"/>
        </w:rPr>
        <w:t>fornisce un elenco</w:t>
      </w:r>
      <w:r>
        <w:rPr>
          <w:rFonts w:ascii="Arial" w:hAnsi="Arial"/>
          <w:vertAlign w:val="superscript"/>
        </w:rPr>
        <w:t>2</w:t>
      </w:r>
      <w:r>
        <w:rPr>
          <w:rFonts w:ascii="Arial" w:hAnsi="Arial"/>
        </w:rPr>
        <w:t xml:space="preserve"> delle organizzazioni che si occupano di manutenzione e controllo.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lastRenderedPageBreak/>
        <w:t>Manutenzione e riparazioni</w:t>
      </w:r>
    </w:p>
    <w:p w14:paraId="7DFCBCD1" w14:textId="77777777" w:rsidR="00C4096C" w:rsidRPr="001F15A3" w:rsidRDefault="00C4096C" w:rsidP="00C4096C">
      <w:pPr>
        <w:rPr>
          <w:rFonts w:ascii="Arial" w:hAnsi="Arial" w:cs="Arial"/>
        </w:rPr>
      </w:pPr>
      <w:r>
        <w:rPr>
          <w:rFonts w:ascii="Arial" w:hAnsi="Arial"/>
        </w:rPr>
        <w:t xml:space="preserve">Tra queste: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controllo dell'inverter e relativa pulizia, se necessario;</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controllo dei cavi e delle canaline;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controllo della costruzione;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sostituzione dei pannelli solari difettosi, se necessario.</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Pulizia</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Nei Paesi Bassi raramente si provvede alla pulizia dei pannelli solari: la pioggia li lava. Salvo casi eccezionali (ad esempio, la presenza di numerosi uccelli nei dintorni), il costo della pulizia non è giustificato dal rendimento supplementare.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Controllo</w:t>
      </w:r>
    </w:p>
    <w:p w14:paraId="2BCA5E34" w14:textId="4B4CC2C5" w:rsidR="00972B11" w:rsidRPr="001F15A3" w:rsidRDefault="00B160CC" w:rsidP="00C42EE6">
      <w:pPr>
        <w:jc w:val="both"/>
        <w:rPr>
          <w:rFonts w:ascii="Arial" w:hAnsi="Arial" w:cs="Arial"/>
        </w:rPr>
      </w:pPr>
      <w:r>
        <w:rPr>
          <w:rFonts w:ascii="Arial" w:hAnsi="Arial"/>
        </w:rPr>
        <w:t xml:space="preserve">La fase operativa prevede l'individuazione e la risoluzione rapida di qualsiasi problema. I proprietari delle abitazioni utilizzano spesso l'app dello smartphone per verificare che l'inverter o l'impianto fotovoltaico funzionino correttamente. Per i progetti di dimensioni minori, se ne occuperà l'ufficio tecnico o la società di installazione abituale. Per i progetti di grandi dimensioni, può risultare conveniente assumere una società specializzata.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Il controllo include la lettura a distanza, inter alia,</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dell'inverter e dei contatori di elettricità,</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nonché il confronto del rendimento dei sistemi vicini, più volte all'anno,</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per i progetti più ampi, mediante l'utilizzo di un drone con una telecamera a infrarossi che ispeziona i pannelli solari.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Contributo di smaltimento e sostituzione dei pannelli solari</w:t>
      </w:r>
    </w:p>
    <w:p w14:paraId="1649F90E" w14:textId="2C3D32BE" w:rsidR="00961DD0" w:rsidRPr="001F15A3" w:rsidRDefault="0007474D" w:rsidP="00961DD0">
      <w:pPr>
        <w:jc w:val="both"/>
        <w:rPr>
          <w:rFonts w:ascii="Arial" w:hAnsi="Arial" w:cs="Arial"/>
        </w:rPr>
      </w:pPr>
      <w:r>
        <w:rPr>
          <w:rFonts w:ascii="Arial" w:hAnsi="Arial"/>
        </w:rPr>
        <w:t xml:space="preserve">Il Modello con i requisiti prevede che il cliente versi il contributo di smaltimento obbligatorio per i pannelli solari alla Fondazione OPEN. </w:t>
      </w:r>
      <w:proofErr w:type="gramStart"/>
      <w:r>
        <w:rPr>
          <w:rFonts w:ascii="Arial" w:hAnsi="Arial"/>
        </w:rPr>
        <w:t>Inoltre</w:t>
      </w:r>
      <w:proofErr w:type="gramEnd"/>
      <w:r>
        <w:rPr>
          <w:rFonts w:ascii="Arial" w:hAnsi="Arial"/>
        </w:rPr>
        <w:t xml:space="preserve"> i pannelli solari dovrebbero rimanere al loro posto il più a lungo possibile per rallentare il cambiamento climatico. Dopo tutto, la produzione di pannelli emette una quantità elevata di CO</w:t>
      </w:r>
      <w:r>
        <w:rPr>
          <w:rFonts w:ascii="Arial" w:hAnsi="Arial"/>
          <w:vertAlign w:val="subscript"/>
        </w:rPr>
        <w:t>2</w:t>
      </w:r>
      <w:r>
        <w:rPr>
          <w:rFonts w:ascii="Arial" w:hAnsi="Arial"/>
        </w:rPr>
        <w:t xml:space="preserve"> e questo può tradursi in un tempo di ammortamento della CO</w:t>
      </w:r>
      <w:r>
        <w:rPr>
          <w:rFonts w:ascii="Arial" w:hAnsi="Arial"/>
          <w:vertAlign w:val="subscript"/>
        </w:rPr>
        <w:t>2</w:t>
      </w:r>
      <w:r>
        <w:rPr>
          <w:rFonts w:ascii="Arial" w:hAnsi="Arial"/>
        </w:rPr>
        <w:t xml:space="preserve"> dei pannelli solari che può richiedere anni.</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È per questo che si raccomanda di rimuovere i pannelli solari solo quando il loro rendimento è inferiore a circa l'80 % del rendimento iniziale. I pannelli solari di alta qualità genereranno più dell'80 % del loro rendimento iniziale per almeno 25-30 anni. </w:t>
      </w:r>
    </w:p>
    <w:p w14:paraId="512834EB" w14:textId="77777777" w:rsidR="003B429E" w:rsidRDefault="003B429E">
      <w:pPr>
        <w:spacing w:line="240" w:lineRule="auto"/>
        <w:rPr>
          <w:rFonts w:ascii="Arial" w:eastAsiaTheme="minorEastAsia" w:hAnsi="Arial" w:cs="Arial"/>
          <w:b/>
          <w:color w:val="3CC4C7"/>
          <w:sz w:val="48"/>
          <w:szCs w:val="48"/>
          <w:lang w:eastAsia="en-GB"/>
        </w:rPr>
      </w:pPr>
      <w:r>
        <w:br w:type="page"/>
      </w:r>
    </w:p>
    <w:p w14:paraId="0AD18F62" w14:textId="0E82EA80" w:rsidR="008A2C89" w:rsidRPr="004C0EBD" w:rsidRDefault="003509F6" w:rsidP="00F426F5">
      <w:pPr>
        <w:pStyle w:val="MH1"/>
      </w:pPr>
      <w:bookmarkStart w:id="86" w:name="_Toc180569780"/>
      <w:r>
        <w:lastRenderedPageBreak/>
        <w:t>Abbreviazioni e acronimi</w:t>
      </w:r>
      <w:bookmarkEnd w:id="86"/>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Engineering, Procurement, Construction - ingegneria, approvvigionamento e costruzione</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Maximum Power Point - punto di massima potenza</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6F1F4BD8" w:rsidR="008A2C89" w:rsidRPr="001F15A3" w:rsidRDefault="008A2C89" w:rsidP="001F15A3">
            <w:pPr>
              <w:rPr>
                <w:rFonts w:ascii="Arial" w:eastAsiaTheme="majorEastAsia" w:hAnsi="Arial" w:cs="Arial"/>
              </w:rPr>
            </w:pPr>
            <w:r>
              <w:rPr>
                <w:rFonts w:ascii="Arial" w:hAnsi="Arial"/>
              </w:rPr>
              <w:t xml:space="preserve">Operations &amp; Maintenance - </w:t>
            </w:r>
            <w:r w:rsidR="00557433">
              <w:rPr>
                <w:rFonts w:ascii="Arial" w:hAnsi="Arial"/>
              </w:rPr>
              <w:t>operazioni</w:t>
            </w:r>
            <w:r>
              <w:rPr>
                <w:rFonts w:ascii="Arial" w:hAnsi="Arial"/>
              </w:rPr>
              <w:t xml:space="preserve"> e manutenzione</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Maximum Power Point Tracker - inseguitore del punto di massima potenza</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oc</w:t>
            </w:r>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Open circuit Voltage - tensione di circuito aperto</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Power Purchase Agreement - accordo di compravendita di energia elettrica</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Levelised Cost of Electricity - costi totali livellati della produzione di energia</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 - 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AT</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Alta tensione</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 hour - kilowattora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BT</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Bassa tensione</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FV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Fotovoltaico</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CA</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Corrente alternata</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Performance Ratio - indice di efficienza</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CC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Corrente continua</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European Norm - norma europea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r>
              <w:rPr>
                <w:rFonts w:ascii="Arial" w:hAnsi="Arial"/>
              </w:rPr>
              <w:t>I</w:t>
            </w:r>
            <w:r>
              <w:rPr>
                <w:rFonts w:ascii="Arial" w:hAnsi="Arial"/>
                <w:vertAlign w:val="subscript"/>
              </w:rPr>
              <w:t>sc</w:t>
            </w:r>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Short Circuit Current - corrente di corto circuito</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Crystalline Silicon - silicio cristallino</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Gradi centigradi</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Plane of Array - piano dell'array</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Conformità alle norme europee</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Ready To Build - pronto per la costruzione</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Global Horizontal Irradiance - irradianza globale sul piano orizzontale</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Special Purpose Vehicle - società veicolo - un'entità giuridica utilizzata per il finanziamento di costruzioni</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Construction All Risk - tutti i rischi del costruttore</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Electro-Luminescence test - test di elettroluminescenza - rivela le microfratture e le celle rotte</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Provisional Acceptance Criteria - criteri di collaudo provvisorio</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Final Acceptance Criteria - criteri di collaudo definitivo</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kiloVoltAmpere - kilovoltampere; Potenza; simile a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Potential Induced Degradation - degrado indotto dal potenziale</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Project Manager - responsabile di progetto</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Photovoltaic Geographical Information System - sistema di informazioni geografiche sul fotovoltaico</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Question &amp; Answer - domande e risposte</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lastRenderedPageBreak/>
              <w:t>RfP</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Request for Proposal - richiesta di proposta</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 Test Conditions - condizioni di prova standard </w:t>
            </w:r>
            <w:r>
              <w:rPr>
                <w:rFonts w:ascii="Arial" w:hAnsi="Arial"/>
              </w:rPr>
              <w:br/>
              <w:t>(25 C, irraggiamento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Ultravioletto</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Typical Meteorological Year - anno tipo climatico</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r>
              <w:rPr>
                <w:rFonts w:ascii="Arial" w:hAnsi="Arial"/>
              </w:rPr>
              <w:t>I</w:t>
            </w:r>
            <w:r>
              <w:rPr>
                <w:rFonts w:ascii="Arial" w:hAnsi="Arial"/>
                <w:vertAlign w:val="subscript"/>
              </w:rPr>
              <w:t>mpp</w:t>
            </w:r>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Current at Maximum Power Point - corrente al punto di massima potenza</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mpp</w:t>
            </w:r>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Voltage at Maximum Power Point - tensione al punto di massima potenza</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 Red - infrarosso - ad esempio, i droni utilizzano telecamere a infrarossi per le ispezioni di qualità</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Photoluminescence - fotoluminescenza</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Environmental Social Governance - ambientali, sociali e di governance</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Acceptable Quality Limit - limite di accettabilità della qualità</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r>
              <w:rPr>
                <w:rFonts w:ascii="Arial" w:hAnsi="Arial"/>
              </w:rPr>
              <w:t>RfG</w:t>
            </w:r>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Requirements for Generation - requisiti per la produzione</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Ready to Build - pronto per la costruzione</w:t>
            </w:r>
          </w:p>
        </w:tc>
      </w:tr>
      <w:tr w:rsidR="008A2C89" w:rsidRPr="00526428"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64099B" w:rsidRDefault="5FA5399C" w:rsidP="001F15A3">
            <w:pPr>
              <w:rPr>
                <w:rFonts w:ascii="Arial" w:eastAsiaTheme="majorEastAsia" w:hAnsi="Arial" w:cs="Arial"/>
                <w:lang w:val="en-US"/>
              </w:rPr>
            </w:pPr>
            <w:r w:rsidRPr="0064099B">
              <w:rPr>
                <w:rFonts w:ascii="Arial" w:hAnsi="Arial"/>
                <w:lang w:val="en-US"/>
              </w:rPr>
              <w:t>Best and Final Offer - offerta migliore e finale</w:t>
            </w:r>
          </w:p>
        </w:tc>
        <w:tc>
          <w:tcPr>
            <w:tcW w:w="1380" w:type="dxa"/>
            <w:tcMar>
              <w:top w:w="28" w:type="dxa"/>
              <w:bottom w:w="28" w:type="dxa"/>
            </w:tcMar>
            <w:vAlign w:val="center"/>
          </w:tcPr>
          <w:p w14:paraId="01CF9F01" w14:textId="1DE73223" w:rsidR="008A2C89" w:rsidRPr="0064099B" w:rsidRDefault="008A2C89" w:rsidP="001F15A3">
            <w:pPr>
              <w:rPr>
                <w:rFonts w:ascii="Arial" w:eastAsiaTheme="majorEastAsia" w:hAnsi="Arial" w:cs="Arial"/>
                <w:lang w:val="en-US"/>
              </w:rPr>
            </w:pPr>
          </w:p>
        </w:tc>
        <w:tc>
          <w:tcPr>
            <w:tcW w:w="3852" w:type="dxa"/>
            <w:tcMar>
              <w:top w:w="28" w:type="dxa"/>
              <w:bottom w:w="28" w:type="dxa"/>
            </w:tcMar>
            <w:vAlign w:val="center"/>
          </w:tcPr>
          <w:p w14:paraId="15139101" w14:textId="184DB664" w:rsidR="008A2C89" w:rsidRPr="0064099B" w:rsidRDefault="008A2C89" w:rsidP="001F15A3">
            <w:pPr>
              <w:rPr>
                <w:rFonts w:ascii="Arial" w:eastAsiaTheme="majorEastAsia" w:hAnsi="Arial" w:cs="Arial"/>
                <w:lang w:val="en-US"/>
              </w:rPr>
            </w:pPr>
          </w:p>
        </w:tc>
      </w:tr>
    </w:tbl>
    <w:p w14:paraId="04F928F7" w14:textId="77777777" w:rsidR="008A2C89" w:rsidRPr="0064099B" w:rsidRDefault="008A2C89" w:rsidP="00A3595E">
      <w:pPr>
        <w:pStyle w:val="Heading1"/>
        <w:rPr>
          <w:lang w:val="en-US"/>
        </w:rPr>
      </w:pPr>
    </w:p>
    <w:p w14:paraId="48560D1E" w14:textId="73E010A8" w:rsidR="0029348A" w:rsidRPr="001F15A3" w:rsidRDefault="008A2C89" w:rsidP="00F426F5">
      <w:pPr>
        <w:pStyle w:val="MH1"/>
        <w:rPr>
          <w:rFonts w:eastAsiaTheme="majorEastAsia"/>
          <w:color w:val="92D050"/>
          <w:sz w:val="40"/>
          <w:szCs w:val="40"/>
        </w:rPr>
      </w:pPr>
      <w:r w:rsidRPr="00526428">
        <w:br w:type="page"/>
      </w:r>
      <w:bookmarkStart w:id="87" w:name="_Toc180569781"/>
      <w:r>
        <w:lastRenderedPageBreak/>
        <w:t>Allegato 1 - Consulenti tecnici</w:t>
      </w:r>
      <w:r>
        <w:rPr>
          <w:rStyle w:val="FootnoteReference"/>
        </w:rPr>
        <w:t>2</w:t>
      </w:r>
      <w:bookmarkEnd w:id="87"/>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Avvertenza: </w:t>
      </w:r>
      <w:r>
        <w:t xml:space="preserve">l'elenco riportato di seguito non è esaustivo. Non abbiamo condotto alcuna ricerca sull'esperienza, la qualità o le tariffe dei consulenti sottoelencati.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Società</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Luogo di stabilimento</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Contatto</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r>
              <w:rPr>
                <w:rFonts w:ascii="Arial" w:hAnsi="Arial"/>
                <w:sz w:val="20"/>
              </w:rPr>
              <w:t>Encon</w:t>
            </w:r>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05D67276"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288B490D" w:rsidR="00CA7080" w:rsidRPr="00830EE2" w:rsidRDefault="0009535D" w:rsidP="00CB76C0">
            <w:pPr>
              <w:rPr>
                <w:rFonts w:ascii="Arial" w:hAnsi="Arial" w:cs="Arial"/>
                <w:sz w:val="20"/>
                <w:szCs w:val="20"/>
              </w:rPr>
            </w:pPr>
            <w:hyperlink r:id="rId21" w:history="1"/>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r>
              <w:rPr>
                <w:rFonts w:ascii="Arial" w:hAnsi="Arial"/>
                <w:sz w:val="20"/>
              </w:rPr>
              <w:t>Urmond, NL</w:t>
            </w:r>
          </w:p>
        </w:tc>
        <w:tc>
          <w:tcPr>
            <w:tcW w:w="2268" w:type="dxa"/>
            <w:tcMar>
              <w:top w:w="28" w:type="dxa"/>
              <w:bottom w:w="28" w:type="dxa"/>
            </w:tcMar>
          </w:tcPr>
          <w:p w14:paraId="658643B2" w14:textId="0EF1DB08"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4ECE75E9"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w:t>
            </w:r>
          </w:p>
        </w:tc>
        <w:tc>
          <w:tcPr>
            <w:tcW w:w="2268" w:type="dxa"/>
            <w:tcMar>
              <w:top w:w="28" w:type="dxa"/>
              <w:bottom w:w="28" w:type="dxa"/>
            </w:tcMar>
          </w:tcPr>
          <w:p w14:paraId="025CE506" w14:textId="6F6C844A"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3B080BF4"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Bruxelles, BE</w:t>
            </w:r>
          </w:p>
        </w:tc>
        <w:tc>
          <w:tcPr>
            <w:tcW w:w="2268" w:type="dxa"/>
            <w:tcMar>
              <w:top w:w="28" w:type="dxa"/>
              <w:bottom w:w="28" w:type="dxa"/>
            </w:tcMar>
          </w:tcPr>
          <w:p w14:paraId="71F1D7AA" w14:textId="311C088A"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55056BEC"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1B806123"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3EBF5FE4"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r>
              <w:rPr>
                <w:rFonts w:ascii="Arial" w:hAnsi="Arial"/>
                <w:sz w:val="20"/>
              </w:rPr>
              <w:t>Sunzest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271B4EBD"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1CA8A8FB"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Solar Chills</w:t>
            </w:r>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5DA86606"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7AA4BB0C"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r>
              <w:rPr>
                <w:rFonts w:ascii="Arial" w:hAnsi="Arial"/>
                <w:sz w:val="20"/>
              </w:rPr>
              <w:t>DevCon Ecosystems</w:t>
            </w:r>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205EEB51"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747654EB"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F426F5">
      <w:pPr>
        <w:pStyle w:val="MH1"/>
      </w:pPr>
      <w:bookmarkStart w:id="88" w:name="_Toc180569782"/>
      <w:r>
        <w:lastRenderedPageBreak/>
        <w:t>Allegato 2 - Consulenti di fisica edile, ingegneri strutturali specializzati nell'ambito del carico sul tetto</w:t>
      </w:r>
      <w:r>
        <w:rPr>
          <w:rStyle w:val="FootnoteReference"/>
        </w:rPr>
        <w:t>2</w:t>
      </w:r>
      <w:bookmarkEnd w:id="88"/>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Società</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Luogo di stabilimento</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Contatto</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r>
              <w:rPr>
                <w:rFonts w:ascii="Arial" w:hAnsi="Arial"/>
                <w:sz w:val="20"/>
              </w:rPr>
              <w:t>Dakbestek Adviesburo</w:t>
            </w:r>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r>
              <w:rPr>
                <w:rFonts w:ascii="Arial" w:hAnsi="Arial"/>
                <w:sz w:val="20"/>
              </w:rPr>
              <w:t>Vught, NL</w:t>
            </w:r>
          </w:p>
        </w:tc>
        <w:tc>
          <w:tcPr>
            <w:tcW w:w="1873" w:type="dxa"/>
            <w:tcMar>
              <w:top w:w="28" w:type="dxa"/>
              <w:bottom w:w="28" w:type="dxa"/>
            </w:tcMar>
          </w:tcPr>
          <w:p w14:paraId="56C4C3C4" w14:textId="3F7F7BDA"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37AFEB1E"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Van Doorn Dakspecialist</w:t>
            </w:r>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r>
              <w:rPr>
                <w:rFonts w:ascii="Arial" w:hAnsi="Arial"/>
                <w:sz w:val="20"/>
              </w:rPr>
              <w:t>Rilland, NL</w:t>
            </w:r>
          </w:p>
        </w:tc>
        <w:tc>
          <w:tcPr>
            <w:tcW w:w="1873" w:type="dxa"/>
            <w:tcMar>
              <w:top w:w="28" w:type="dxa"/>
              <w:bottom w:w="28" w:type="dxa"/>
            </w:tcMar>
          </w:tcPr>
          <w:p w14:paraId="773F72CB" w14:textId="027E39E3"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78E30125"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073D5FEB"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332ABC7E"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18BF317E"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098DF496"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Buro Bouwfysica</w:t>
            </w:r>
          </w:p>
        </w:tc>
        <w:tc>
          <w:tcPr>
            <w:tcW w:w="1813" w:type="dxa"/>
            <w:tcMar>
              <w:top w:w="28" w:type="dxa"/>
              <w:bottom w:w="28" w:type="dxa"/>
            </w:tcMar>
          </w:tcPr>
          <w:p w14:paraId="6D9EB62C" w14:textId="714E2A97" w:rsidR="006E596B" w:rsidRPr="0064099B" w:rsidRDefault="5FA5399C" w:rsidP="00A3595E">
            <w:pPr>
              <w:rPr>
                <w:rFonts w:ascii="Arial" w:hAnsi="Arial" w:cs="Arial"/>
                <w:sz w:val="20"/>
                <w:szCs w:val="20"/>
                <w:lang w:val="nl-NL"/>
              </w:rPr>
            </w:pPr>
            <w:r w:rsidRPr="0064099B">
              <w:rPr>
                <w:rFonts w:ascii="Arial" w:hAnsi="Arial"/>
                <w:sz w:val="20"/>
                <w:lang w:val="nl-NL"/>
              </w:rPr>
              <w:t>Cappelle aan de Ijssel, NL</w:t>
            </w:r>
          </w:p>
        </w:tc>
        <w:tc>
          <w:tcPr>
            <w:tcW w:w="1873" w:type="dxa"/>
            <w:tcMar>
              <w:top w:w="28" w:type="dxa"/>
              <w:bottom w:w="28" w:type="dxa"/>
            </w:tcMar>
          </w:tcPr>
          <w:p w14:paraId="7CBF9C09" w14:textId="79DA6A57"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25ECC48F"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4B2E74F4"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5895762A"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F426F5">
      <w:pPr>
        <w:pStyle w:val="MH1"/>
      </w:pPr>
      <w:bookmarkStart w:id="89" w:name="_Toc180569783"/>
      <w:r>
        <w:lastRenderedPageBreak/>
        <w:t xml:space="preserve">Allegato 3 - Società di installazione, </w:t>
      </w:r>
      <w:r>
        <w:br/>
        <w:t xml:space="preserve">EPC e sviluppatori di progetti </w:t>
      </w:r>
      <w:r>
        <w:br/>
        <w:t>per le società del settore FV</w:t>
      </w:r>
      <w:r>
        <w:rPr>
          <w:rStyle w:val="FootnoteReference"/>
        </w:rPr>
        <w:t>2</w:t>
      </w:r>
      <w:bookmarkEnd w:id="89"/>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Tipo di società</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Società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Sito web</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Grandi società di installazione di impianti elettrici e tecnici</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72DBAF58"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r>
              <w:rPr>
                <w:rFonts w:ascii="Arial" w:hAnsi="Arial"/>
                <w:sz w:val="20"/>
              </w:rPr>
              <w:t>Hoppenbrouwers</w:t>
            </w:r>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70E2ADD0"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r>
              <w:rPr>
                <w:rFonts w:ascii="Arial" w:hAnsi="Arial"/>
                <w:sz w:val="20"/>
              </w:rPr>
              <w:t>Batenburg</w:t>
            </w:r>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50F3D553"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176D2367"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Pr>
                <w:rFonts w:ascii="Arial" w:hAnsi="Arial"/>
                <w:sz w:val="20"/>
              </w:rPr>
              <w:t>Croon Elektrotechniek</w:t>
            </w:r>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4B52E42E"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4F6ADCC8" w:rsidR="00854620" w:rsidRPr="00830EE2" w:rsidRDefault="00854620" w:rsidP="5FA5399C">
            <w:pPr>
              <w:rPr>
                <w:rFonts w:ascii="Arial" w:hAnsi="Arial" w:cs="Arial"/>
                <w:b/>
                <w:bCs/>
                <w:color w:val="104D54"/>
                <w:sz w:val="24"/>
                <w:szCs w:val="24"/>
              </w:rPr>
            </w:pPr>
            <w:r>
              <w:rPr>
                <w:rFonts w:ascii="Arial" w:hAnsi="Arial"/>
                <w:b/>
                <w:color w:val="104D54"/>
                <w:sz w:val="24"/>
              </w:rPr>
              <w:t>Grandi società di installazione di impianti solari/EPC</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r>
              <w:rPr>
                <w:rFonts w:ascii="Arial" w:hAnsi="Arial"/>
                <w:sz w:val="20"/>
              </w:rPr>
              <w:t>Zonnegilde</w:t>
            </w:r>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354B9FC1"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r>
              <w:rPr>
                <w:rFonts w:ascii="Arial" w:hAnsi="Arial"/>
                <w:sz w:val="20"/>
              </w:rPr>
              <w:t>SolarNRG</w:t>
            </w:r>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r>
              <w:rPr>
                <w:rFonts w:ascii="Arial" w:hAnsi="Arial"/>
                <w:sz w:val="20"/>
              </w:rPr>
              <w:t>Zonnestroom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313C7758"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77BB48B3"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66E10425"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6168E8DD"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10BA55EE"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577F57A9"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r>
              <w:rPr>
                <w:rFonts w:ascii="Arial" w:hAnsi="Arial"/>
                <w:sz w:val="20"/>
              </w:rPr>
              <w:t>UniSun</w:t>
            </w:r>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4608A73B"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55045933"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r>
              <w:rPr>
                <w:rFonts w:ascii="Arial" w:hAnsi="Arial"/>
                <w:sz w:val="20"/>
              </w:rPr>
              <w:t>KiesZon</w:t>
            </w:r>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22DEE068"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r>
              <w:rPr>
                <w:rFonts w:ascii="Arial" w:hAnsi="Arial"/>
                <w:sz w:val="20"/>
              </w:rPr>
              <w:t>OranjeDak</w:t>
            </w:r>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5B53B851"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35D2E0A8"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r>
              <w:rPr>
                <w:rFonts w:ascii="Arial" w:hAnsi="Arial"/>
                <w:sz w:val="20"/>
              </w:rPr>
              <w:t>Izen</w:t>
            </w:r>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76014FB7"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r>
              <w:rPr>
                <w:rFonts w:ascii="Arial" w:hAnsi="Arial"/>
                <w:sz w:val="20"/>
              </w:rPr>
              <w:t>Pfalz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www.pfalzsolar.com</w:t>
            </w:r>
          </w:p>
        </w:tc>
        <w:tc>
          <w:tcPr>
            <w:tcW w:w="3258" w:type="dxa"/>
            <w:tcMar>
              <w:top w:w="28" w:type="dxa"/>
              <w:bottom w:w="28" w:type="dxa"/>
            </w:tcMar>
          </w:tcPr>
          <w:p w14:paraId="5661445A" w14:textId="2B5C12A6"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064424D4"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r>
              <w:rPr>
                <w:rFonts w:ascii="Arial" w:hAnsi="Arial"/>
                <w:sz w:val="20"/>
              </w:rPr>
              <w:t>Belectric</w:t>
            </w:r>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7F45872B"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r>
              <w:rPr>
                <w:rFonts w:ascii="Arial" w:hAnsi="Arial"/>
                <w:sz w:val="20"/>
              </w:rPr>
              <w:t>ProfiNRG</w:t>
            </w:r>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295F78A1"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Sviluppatori di progetti</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4EA383A4"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r>
              <w:rPr>
                <w:rFonts w:ascii="Arial" w:hAnsi="Arial"/>
                <w:sz w:val="20"/>
              </w:rPr>
              <w:t>Klimaatfonds</w:t>
            </w:r>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71FE0B88"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r>
              <w:rPr>
                <w:rFonts w:ascii="Arial" w:hAnsi="Arial"/>
                <w:sz w:val="20"/>
              </w:rPr>
              <w:t>TPSolar</w:t>
            </w:r>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3A0D6242"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r>
              <w:rPr>
                <w:rFonts w:ascii="Arial" w:hAnsi="Arial"/>
                <w:sz w:val="20"/>
              </w:rPr>
              <w:t>GreenIpp</w:t>
            </w:r>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2E7F4F93"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r>
              <w:rPr>
                <w:rFonts w:ascii="Arial" w:hAnsi="Arial"/>
                <w:sz w:val="20"/>
              </w:rPr>
              <w:t>Encavis</w:t>
            </w:r>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651C8CD2"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r>
              <w:rPr>
                <w:rFonts w:ascii="Arial" w:hAnsi="Arial"/>
                <w:sz w:val="20"/>
              </w:rPr>
              <w:t>Tomorrow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13534D00"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HVC Groep</w:t>
            </w:r>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7DBDC460"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74238CBC"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r>
              <w:rPr>
                <w:rFonts w:ascii="Arial" w:hAnsi="Arial"/>
                <w:sz w:val="20"/>
              </w:rPr>
              <w:t>Statkraft</w:t>
            </w:r>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12DAFDDD"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5B97F2F6"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r>
              <w:rPr>
                <w:rFonts w:ascii="Arial" w:hAnsi="Arial"/>
                <w:sz w:val="20"/>
              </w:rPr>
              <w:t>Enovos</w:t>
            </w:r>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7649BA9C"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r>
              <w:rPr>
                <w:rFonts w:ascii="Arial" w:hAnsi="Arial"/>
                <w:sz w:val="20"/>
              </w:rPr>
              <w:t>Lightsource BP</w:t>
            </w:r>
          </w:p>
        </w:tc>
        <w:tc>
          <w:tcPr>
            <w:tcW w:w="2554" w:type="dxa"/>
            <w:tcMar>
              <w:top w:w="28" w:type="dxa"/>
              <w:bottom w:w="28" w:type="dxa"/>
            </w:tcMar>
          </w:tcPr>
          <w:p w14:paraId="4465F344" w14:textId="77777777" w:rsidR="00854620" w:rsidRPr="003B429E" w:rsidRDefault="00854620" w:rsidP="00CA7080">
            <w:pPr>
              <w:rPr>
                <w:rFonts w:ascii="Arial" w:hAnsi="Arial" w:cs="Arial"/>
                <w:spacing w:val="-2"/>
                <w:sz w:val="20"/>
                <w:szCs w:val="20"/>
              </w:rPr>
            </w:pPr>
            <w:r w:rsidRPr="003B429E">
              <w:rPr>
                <w:rFonts w:ascii="Arial" w:hAnsi="Arial"/>
                <w:spacing w:val="-2"/>
                <w:sz w:val="20"/>
              </w:rPr>
              <w:t>www.lightsourcebp.com/nl/</w:t>
            </w:r>
          </w:p>
        </w:tc>
        <w:tc>
          <w:tcPr>
            <w:tcW w:w="3258" w:type="dxa"/>
            <w:tcMar>
              <w:top w:w="28" w:type="dxa"/>
              <w:bottom w:w="28" w:type="dxa"/>
            </w:tcMar>
          </w:tcPr>
          <w:p w14:paraId="16325C1C" w14:textId="0588DCC6"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r>
              <w:rPr>
                <w:rFonts w:ascii="Arial" w:hAnsi="Arial"/>
                <w:sz w:val="20"/>
              </w:rPr>
              <w:t>Chint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6E8A5332"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r>
              <w:rPr>
                <w:rFonts w:ascii="Arial" w:hAnsi="Arial"/>
                <w:sz w:val="20"/>
              </w:rPr>
              <w:t>SunVest</w:t>
            </w:r>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4BA69901"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51488E4F"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67884975"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727708C2"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r>
              <w:rPr>
                <w:rFonts w:ascii="Arial" w:hAnsi="Arial"/>
                <w:sz w:val="20"/>
              </w:rPr>
              <w:t>Eneco</w:t>
            </w:r>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10D2B883"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r>
              <w:rPr>
                <w:rFonts w:ascii="Arial" w:hAnsi="Arial"/>
                <w:sz w:val="20"/>
              </w:rPr>
              <w:t>Powerfield</w:t>
            </w:r>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6F50A433"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Pr>
                <w:rFonts w:ascii="Arial" w:hAnsi="Arial"/>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03B83AC2"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r>
              <w:rPr>
                <w:rFonts w:ascii="Arial" w:hAnsi="Arial"/>
                <w:sz w:val="20"/>
              </w:rPr>
              <w:t>Groendus</w:t>
            </w:r>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4DB2CC43"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5F53117C"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F426F5">
      <w:pPr>
        <w:pStyle w:val="MH1"/>
      </w:pPr>
      <w:bookmarkStart w:id="90" w:name="_Toc180569784"/>
      <w:r>
        <w:lastRenderedPageBreak/>
        <w:t>Allegato 4 - Consulenti e fornitori specializzati in sistemi di gestione dell'energia, batterie e gestione della domanda</w:t>
      </w:r>
      <w:r>
        <w:rPr>
          <w:rStyle w:val="FootnoteReference"/>
        </w:rPr>
        <w:t>2</w:t>
      </w:r>
      <w:bookmarkEnd w:id="90"/>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09535D">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Società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Luogo di stabilimento</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Contatto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52536B" w:rsidRPr="004C0EBD" w14:paraId="564EA913" w14:textId="77777777" w:rsidTr="0009535D">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7EFD33BB"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7CB51CEB" w:rsidR="0052536B" w:rsidRPr="00830EE2" w:rsidRDefault="0052536B" w:rsidP="5FA5399C">
            <w:pPr>
              <w:rPr>
                <w:rFonts w:ascii="Arial" w:eastAsiaTheme="minorEastAsia" w:hAnsi="Arial" w:cs="Arial"/>
                <w:sz w:val="20"/>
                <w:szCs w:val="20"/>
              </w:rPr>
            </w:pPr>
          </w:p>
        </w:tc>
      </w:tr>
      <w:tr w:rsidR="00527969" w:rsidRPr="004C0EBD" w14:paraId="55CCA169" w14:textId="77777777" w:rsidTr="0009535D">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r>
              <w:rPr>
                <w:rFonts w:ascii="Arial" w:hAnsi="Arial"/>
                <w:sz w:val="20"/>
              </w:rPr>
              <w:t>Lyv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r>
              <w:rPr>
                <w:rFonts w:ascii="Arial" w:hAnsi="Arial"/>
                <w:sz w:val="20"/>
              </w:rPr>
              <w:t>Blaricum</w:t>
            </w:r>
          </w:p>
        </w:tc>
        <w:tc>
          <w:tcPr>
            <w:tcW w:w="2194" w:type="dxa"/>
            <w:tcMar>
              <w:top w:w="28" w:type="dxa"/>
              <w:bottom w:w="28" w:type="dxa"/>
            </w:tcMar>
            <w:vAlign w:val="center"/>
          </w:tcPr>
          <w:p w14:paraId="0A8A826F" w14:textId="52B68B56"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72A345AE" w:rsidR="00527969" w:rsidRPr="00830EE2" w:rsidRDefault="00527969" w:rsidP="5FA5399C">
            <w:pPr>
              <w:rPr>
                <w:rFonts w:ascii="Arial" w:eastAsiaTheme="minorEastAsia" w:hAnsi="Arial" w:cs="Arial"/>
                <w:sz w:val="20"/>
                <w:szCs w:val="20"/>
              </w:rPr>
            </w:pPr>
          </w:p>
        </w:tc>
      </w:tr>
      <w:tr w:rsidR="0052536B" w:rsidRPr="004C0EBD" w14:paraId="4F173FF9" w14:textId="77777777" w:rsidTr="0009535D">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400C4C91"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60EFB2E3" w:rsidR="0052536B" w:rsidRPr="00830EE2" w:rsidRDefault="0052536B" w:rsidP="5FA5399C">
            <w:pPr>
              <w:rPr>
                <w:rFonts w:ascii="Arial" w:eastAsiaTheme="minorEastAsia" w:hAnsi="Arial" w:cs="Arial"/>
                <w:sz w:val="20"/>
                <w:szCs w:val="20"/>
              </w:rPr>
            </w:pPr>
          </w:p>
        </w:tc>
      </w:tr>
      <w:tr w:rsidR="5FA5399C" w:rsidRPr="004C0EBD" w14:paraId="469AD225" w14:textId="77777777" w:rsidTr="0009535D">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r>
              <w:rPr>
                <w:rFonts w:ascii="Arial" w:hAnsi="Arial"/>
                <w:sz w:val="20"/>
              </w:rPr>
              <w:t>Scholt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38BA9B1A"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69DD115B" w:rsidR="5FA5399C" w:rsidRPr="00830EE2" w:rsidRDefault="5FA5399C" w:rsidP="5FA5399C">
            <w:pPr>
              <w:rPr>
                <w:rFonts w:ascii="Arial" w:eastAsiaTheme="minorEastAsia" w:hAnsi="Arial" w:cs="Arial"/>
                <w:sz w:val="20"/>
                <w:szCs w:val="20"/>
              </w:rPr>
            </w:pPr>
          </w:p>
        </w:tc>
      </w:tr>
      <w:tr w:rsidR="5FA5399C" w:rsidRPr="004C0EBD" w14:paraId="4989B929" w14:textId="77777777" w:rsidTr="0009535D">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r>
              <w:rPr>
                <w:rFonts w:ascii="Arial" w:hAnsi="Arial"/>
                <w:sz w:val="20"/>
              </w:rPr>
              <w:t>Odura</w:t>
            </w:r>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1696F827"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66AE9EB5" w:rsidR="5FA5399C" w:rsidRPr="00830EE2" w:rsidRDefault="5FA5399C" w:rsidP="5FA5399C">
            <w:pPr>
              <w:rPr>
                <w:rFonts w:ascii="Arial" w:eastAsiaTheme="minorEastAsia" w:hAnsi="Arial" w:cs="Arial"/>
                <w:sz w:val="20"/>
                <w:szCs w:val="20"/>
              </w:rPr>
            </w:pPr>
          </w:p>
        </w:tc>
      </w:tr>
      <w:tr w:rsidR="0052536B" w:rsidRPr="004C0EBD" w14:paraId="2F25F258" w14:textId="77777777" w:rsidTr="0009535D">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r>
              <w:rPr>
                <w:rFonts w:ascii="Arial" w:hAnsi="Arial"/>
                <w:sz w:val="20"/>
              </w:rPr>
              <w:t>StoredEnergy</w:t>
            </w:r>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w:t>
            </w:r>
          </w:p>
        </w:tc>
        <w:tc>
          <w:tcPr>
            <w:tcW w:w="2194" w:type="dxa"/>
            <w:tcMar>
              <w:top w:w="28" w:type="dxa"/>
              <w:bottom w:w="28" w:type="dxa"/>
            </w:tcMar>
            <w:vAlign w:val="center"/>
          </w:tcPr>
          <w:p w14:paraId="69DE1BE3" w14:textId="32E226DA"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3B60261F" w:rsidR="0052536B" w:rsidRPr="00830EE2" w:rsidRDefault="0052536B" w:rsidP="5FA5399C">
            <w:pPr>
              <w:rPr>
                <w:rFonts w:ascii="Arial" w:eastAsiaTheme="minorEastAsia" w:hAnsi="Arial" w:cs="Arial"/>
                <w:sz w:val="20"/>
                <w:szCs w:val="20"/>
              </w:rPr>
            </w:pPr>
          </w:p>
        </w:tc>
      </w:tr>
      <w:tr w:rsidR="0052536B" w:rsidRPr="004C0EBD" w14:paraId="7E879F35" w14:textId="77777777" w:rsidTr="0009535D">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r>
              <w:rPr>
                <w:rFonts w:ascii="Arial" w:hAnsi="Arial"/>
                <w:sz w:val="20"/>
              </w:rPr>
              <w:t>MorePV</w:t>
            </w:r>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r>
              <w:rPr>
                <w:rFonts w:ascii="Arial" w:hAnsi="Arial"/>
                <w:sz w:val="20"/>
              </w:rPr>
              <w:t>Schoorl</w:t>
            </w:r>
          </w:p>
        </w:tc>
        <w:tc>
          <w:tcPr>
            <w:tcW w:w="2194" w:type="dxa"/>
            <w:tcMar>
              <w:top w:w="28" w:type="dxa"/>
              <w:bottom w:w="28" w:type="dxa"/>
            </w:tcMar>
            <w:vAlign w:val="center"/>
          </w:tcPr>
          <w:p w14:paraId="22548B1A" w14:textId="28F93A4F"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1B7D923E" w:rsidR="0052536B" w:rsidRPr="00830EE2" w:rsidRDefault="0052536B" w:rsidP="00A3595E">
            <w:pPr>
              <w:rPr>
                <w:rFonts w:ascii="Arial" w:hAnsi="Arial" w:cs="Arial"/>
                <w:sz w:val="20"/>
                <w:szCs w:val="20"/>
              </w:rPr>
            </w:pPr>
          </w:p>
        </w:tc>
      </w:tr>
      <w:tr w:rsidR="5FA5399C" w:rsidRPr="004C0EBD" w14:paraId="6B67DA41" w14:textId="77777777" w:rsidTr="0009535D">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7C3EBC9E"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540B6357" w:rsidR="5FA5399C" w:rsidRPr="00830EE2" w:rsidRDefault="5FA5399C" w:rsidP="5FA5399C">
            <w:pPr>
              <w:rPr>
                <w:rFonts w:ascii="Arial" w:hAnsi="Arial" w:cs="Arial"/>
                <w:sz w:val="20"/>
                <w:szCs w:val="20"/>
              </w:rPr>
            </w:pPr>
          </w:p>
        </w:tc>
      </w:tr>
      <w:tr w:rsidR="5FA5399C" w:rsidRPr="004C0EBD" w14:paraId="00D67DD7" w14:textId="77777777" w:rsidTr="0009535D">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r>
              <w:rPr>
                <w:rFonts w:ascii="Arial" w:hAnsi="Arial"/>
                <w:sz w:val="20"/>
              </w:rPr>
              <w:t>Fudura</w:t>
            </w:r>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0DD6E406"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0C7E81C1" w:rsidR="5FA5399C" w:rsidRPr="00830EE2" w:rsidRDefault="5FA5399C" w:rsidP="5FA5399C">
            <w:pPr>
              <w:rPr>
                <w:rFonts w:ascii="Arial" w:hAnsi="Arial" w:cs="Arial"/>
                <w:sz w:val="20"/>
                <w:szCs w:val="20"/>
              </w:rPr>
            </w:pPr>
          </w:p>
        </w:tc>
      </w:tr>
      <w:tr w:rsidR="00C81F79" w:rsidRPr="004C0EBD" w14:paraId="0656996A" w14:textId="77777777" w:rsidTr="0009535D">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r>
              <w:rPr>
                <w:rFonts w:ascii="Arial" w:hAnsi="Arial"/>
                <w:sz w:val="20"/>
              </w:rPr>
              <w:t>Encon</w:t>
            </w:r>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07F67FF1"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6C4483B4"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0F9716BC" w14:textId="684AC2F5" w:rsidR="00077532" w:rsidRPr="004C0EBD" w:rsidRDefault="5FA5399C" w:rsidP="00F426F5">
      <w:pPr>
        <w:pStyle w:val="MH1"/>
      </w:pPr>
      <w:bookmarkStart w:id="91" w:name="_Toc180569785"/>
      <w:r>
        <w:lastRenderedPageBreak/>
        <w:t xml:space="preserve">Allegato 5 - Capitale di prestito </w:t>
      </w:r>
      <w:r w:rsidR="00D47552">
        <w:br/>
      </w:r>
      <w:r>
        <w:t>e finanziatori di capitale proprio</w:t>
      </w:r>
      <w:r>
        <w:rPr>
          <w:rStyle w:val="FootnoteReference"/>
        </w:rPr>
        <w:t>2</w:t>
      </w:r>
      <w:bookmarkEnd w:id="91"/>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843"/>
        <w:gridCol w:w="1980"/>
        <w:gridCol w:w="2331"/>
        <w:gridCol w:w="2908"/>
      </w:tblGrid>
      <w:tr w:rsidR="006A5081" w:rsidRPr="006A5081" w14:paraId="2CE91BF7" w14:textId="77777777" w:rsidTr="0066010D">
        <w:trPr>
          <w:trHeight w:val="1005"/>
        </w:trPr>
        <w:tc>
          <w:tcPr>
            <w:tcW w:w="1843"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Tipo di finanziamento</w:t>
            </w:r>
          </w:p>
        </w:tc>
        <w:tc>
          <w:tcPr>
            <w:tcW w:w="1980"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Società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Sito web</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6A5081" w14:paraId="012CDBB5" w14:textId="77777777" w:rsidTr="0066010D">
        <w:tc>
          <w:tcPr>
            <w:tcW w:w="1843"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Capitale di prestito</w:t>
            </w:r>
          </w:p>
        </w:tc>
        <w:tc>
          <w:tcPr>
            <w:tcW w:w="1980"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2C9EF421" w:rsidR="00854620" w:rsidRPr="006A5081" w:rsidRDefault="00854620" w:rsidP="00CB76C0">
            <w:pPr>
              <w:rPr>
                <w:rFonts w:ascii="Arial" w:hAnsi="Arial" w:cs="Arial"/>
                <w:sz w:val="20"/>
                <w:szCs w:val="20"/>
              </w:rPr>
            </w:pPr>
          </w:p>
        </w:tc>
      </w:tr>
      <w:tr w:rsidR="00854620" w:rsidRPr="006A5081" w14:paraId="18B9E576" w14:textId="77777777" w:rsidTr="0066010D">
        <w:tc>
          <w:tcPr>
            <w:tcW w:w="1843"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6908706D" w:rsidR="00854620" w:rsidRPr="006A5081" w:rsidRDefault="00854620" w:rsidP="00CB76C0">
            <w:pPr>
              <w:rPr>
                <w:rFonts w:ascii="Arial" w:hAnsi="Arial" w:cs="Arial"/>
                <w:sz w:val="20"/>
                <w:szCs w:val="20"/>
              </w:rPr>
            </w:pPr>
          </w:p>
        </w:tc>
      </w:tr>
      <w:tr w:rsidR="00854620" w:rsidRPr="006A5081" w14:paraId="78297140" w14:textId="77777777" w:rsidTr="0066010D">
        <w:tc>
          <w:tcPr>
            <w:tcW w:w="1843"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03CDE8A8" w:rsidR="00854620" w:rsidRPr="006A5081" w:rsidRDefault="00854620" w:rsidP="00CB76C0">
            <w:pPr>
              <w:rPr>
                <w:rFonts w:ascii="Arial" w:hAnsi="Arial" w:cs="Arial"/>
                <w:sz w:val="20"/>
                <w:szCs w:val="20"/>
              </w:rPr>
            </w:pPr>
          </w:p>
        </w:tc>
      </w:tr>
      <w:tr w:rsidR="00854620" w:rsidRPr="006A5081" w14:paraId="08A2389A" w14:textId="77777777" w:rsidTr="0066010D">
        <w:tc>
          <w:tcPr>
            <w:tcW w:w="1843"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0D632D75" w:rsidR="00854620" w:rsidRPr="006A5081" w:rsidRDefault="00854620" w:rsidP="00CB76C0">
            <w:pPr>
              <w:rPr>
                <w:rFonts w:ascii="Arial" w:hAnsi="Arial" w:cs="Arial"/>
                <w:sz w:val="20"/>
                <w:szCs w:val="20"/>
              </w:rPr>
            </w:pPr>
          </w:p>
        </w:tc>
      </w:tr>
      <w:tr w:rsidR="00854620" w:rsidRPr="006A5081" w14:paraId="52CD7F0C" w14:textId="77777777" w:rsidTr="0066010D">
        <w:tc>
          <w:tcPr>
            <w:tcW w:w="1843"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799D32FE" w:rsidR="00854620" w:rsidRPr="006A5081" w:rsidRDefault="00854620" w:rsidP="00CB76C0">
            <w:pPr>
              <w:rPr>
                <w:rFonts w:ascii="Arial" w:hAnsi="Arial" w:cs="Arial"/>
                <w:sz w:val="20"/>
                <w:szCs w:val="20"/>
              </w:rPr>
            </w:pPr>
          </w:p>
        </w:tc>
      </w:tr>
      <w:tr w:rsidR="00854620" w:rsidRPr="006A5081" w14:paraId="723784FF" w14:textId="77777777" w:rsidTr="0066010D">
        <w:trPr>
          <w:trHeight w:val="71"/>
        </w:trPr>
        <w:tc>
          <w:tcPr>
            <w:tcW w:w="1843"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6A4F2722" w:rsidR="00854620" w:rsidRPr="006A5081" w:rsidRDefault="00854620" w:rsidP="00CB76C0">
            <w:pPr>
              <w:rPr>
                <w:rFonts w:ascii="Arial" w:hAnsi="Arial" w:cs="Arial"/>
                <w:sz w:val="20"/>
                <w:szCs w:val="20"/>
              </w:rPr>
            </w:pPr>
          </w:p>
        </w:tc>
      </w:tr>
      <w:tr w:rsidR="00854620" w:rsidRPr="006A5081" w14:paraId="446BF10B" w14:textId="77777777" w:rsidTr="0066010D">
        <w:tc>
          <w:tcPr>
            <w:tcW w:w="1843"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980"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3EBCA1BA" w:rsidR="00854620" w:rsidRPr="006A5081" w:rsidRDefault="00854620" w:rsidP="00CB76C0">
            <w:pPr>
              <w:rPr>
                <w:rFonts w:ascii="Arial" w:hAnsi="Arial" w:cs="Arial"/>
                <w:sz w:val="20"/>
                <w:szCs w:val="20"/>
              </w:rPr>
            </w:pPr>
          </w:p>
        </w:tc>
      </w:tr>
      <w:tr w:rsidR="00854620" w:rsidRPr="006A5081" w14:paraId="111ABFAA" w14:textId="77777777" w:rsidTr="0066010D">
        <w:tc>
          <w:tcPr>
            <w:tcW w:w="1843"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Crowdfunding</w:t>
            </w:r>
          </w:p>
        </w:tc>
        <w:tc>
          <w:tcPr>
            <w:tcW w:w="1980"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r>
              <w:rPr>
                <w:rFonts w:ascii="Arial" w:hAnsi="Arial"/>
                <w:sz w:val="20"/>
              </w:rPr>
              <w:t>Zonnepanelen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65954385" w:rsidR="00854620" w:rsidRPr="006A5081" w:rsidRDefault="00854620" w:rsidP="00CB76C0">
            <w:pPr>
              <w:rPr>
                <w:rFonts w:ascii="Arial" w:hAnsi="Arial" w:cs="Arial"/>
                <w:sz w:val="20"/>
                <w:szCs w:val="20"/>
              </w:rPr>
            </w:pPr>
          </w:p>
        </w:tc>
      </w:tr>
      <w:tr w:rsidR="00854620" w:rsidRPr="006A5081" w14:paraId="0C824CEE" w14:textId="77777777" w:rsidTr="0066010D">
        <w:tc>
          <w:tcPr>
            <w:tcW w:w="1843"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980"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r>
              <w:rPr>
                <w:rFonts w:ascii="Arial" w:hAnsi="Arial"/>
                <w:sz w:val="20"/>
              </w:rPr>
              <w:t>Duurzaaminvesteren</w:t>
            </w:r>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48A12D2E"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F426F5">
      <w:pPr>
        <w:pStyle w:val="MH1"/>
      </w:pPr>
      <w:bookmarkStart w:id="92" w:name="_Toc180569786"/>
      <w:r>
        <w:lastRenderedPageBreak/>
        <w:t>Allegato 6 - Ispezioni Scope 12</w:t>
      </w:r>
      <w:r>
        <w:rPr>
          <w:rStyle w:val="FootnoteReference"/>
        </w:rPr>
        <w:t>2</w:t>
      </w:r>
      <w:bookmarkEnd w:id="92"/>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Società</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Luogo di stabilimento</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Sito web</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Omega Energie Techniek</w:t>
            </w:r>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Vianen,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1EBA2CD7"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RJ Inspecties</w:t>
            </w:r>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6757039A"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Entheq Inspecties</w:t>
            </w:r>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10322070"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Inspecties</w:t>
            </w:r>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6E1314F8"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GreenHero Inspecties en Opledingen</w:t>
            </w:r>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6D185558"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Stroomwijs</w:t>
            </w:r>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598EF67F"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Install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Woerden,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5C9344C5"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18C22338"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Beverwijk,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6ACDD32A"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F426F5">
      <w:pPr>
        <w:pStyle w:val="MH1"/>
      </w:pPr>
      <w:bookmarkStart w:id="93" w:name="_Toc180569787"/>
      <w:r>
        <w:lastRenderedPageBreak/>
        <w:t xml:space="preserve">Allegato 7 - Audit di fabbrica </w:t>
      </w:r>
      <w:r>
        <w:br/>
        <w:t>e test a campione</w:t>
      </w:r>
      <w:r>
        <w:rPr>
          <w:rStyle w:val="FootnoteReference"/>
        </w:rPr>
        <w:t>2</w:t>
      </w:r>
      <w:bookmarkEnd w:id="93"/>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Società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Luogo di stabilimento</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Sito web</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r>
              <w:rPr>
                <w:rFonts w:ascii="Arial" w:hAnsi="Arial"/>
                <w:sz w:val="20"/>
              </w:rPr>
              <w:t>Sinovoltaics</w:t>
            </w:r>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752AD875"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Odin Spire/Sunchine</w:t>
            </w:r>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07BEF76B"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32D2F78B"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0310B3EB"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1444516B"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Berlino,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1BF437E3"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F426F5">
      <w:pPr>
        <w:pStyle w:val="MH1"/>
      </w:pPr>
      <w:bookmarkStart w:id="94" w:name="_Toc180569788"/>
      <w:r>
        <w:lastRenderedPageBreak/>
        <w:t xml:space="preserve">Allegato 8 - Controllo, manutenzione </w:t>
      </w:r>
      <w:r>
        <w:br/>
        <w:t>e riparazioni</w:t>
      </w:r>
      <w:r>
        <w:rPr>
          <w:rStyle w:val="FootnoteReference"/>
        </w:rPr>
        <w:t>2</w:t>
      </w:r>
      <w:bookmarkEnd w:id="94"/>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Avvertenza: </w:t>
      </w:r>
      <w:r>
        <w:t xml:space="preserve">l'elenco riportato di seguito non è esaustivo. Non abbiamo condotto alcuna ricerca sull'esperienza, la qualità o le tariffe dei consulenti sottoelencati.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Società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Luogo di stabilimento</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Sito web</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r>
              <w:rPr>
                <w:rFonts w:ascii="Arial" w:hAnsi="Arial"/>
                <w:sz w:val="20"/>
              </w:rPr>
              <w:t>Zonnepark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626F59AD"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r>
              <w:rPr>
                <w:rFonts w:ascii="Arial" w:hAnsi="Arial"/>
                <w:sz w:val="20"/>
              </w:rPr>
              <w:t>Solora</w:t>
            </w:r>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64D02BF2"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r>
              <w:rPr>
                <w:rFonts w:ascii="Arial" w:hAnsi="Arial"/>
                <w:sz w:val="20"/>
              </w:rPr>
              <w:t>Everday</w:t>
            </w:r>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r>
              <w:rPr>
                <w:rFonts w:ascii="Arial" w:hAnsi="Arial"/>
                <w:sz w:val="20"/>
              </w:rPr>
              <w:t>Rosmalen,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2132C48C"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r>
              <w:rPr>
                <w:rFonts w:ascii="Arial" w:hAnsi="Arial"/>
                <w:sz w:val="20"/>
              </w:rPr>
              <w:t>Schoorl.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n.a.</w:t>
            </w:r>
          </w:p>
        </w:tc>
        <w:tc>
          <w:tcPr>
            <w:tcW w:w="2266" w:type="dxa"/>
            <w:tcMar>
              <w:top w:w="28" w:type="dxa"/>
              <w:bottom w:w="28" w:type="dxa"/>
            </w:tcMar>
            <w:vAlign w:val="center"/>
          </w:tcPr>
          <w:p w14:paraId="0808A1C5" w14:textId="33AAFC56"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F426F5">
      <w:pPr>
        <w:pStyle w:val="MH1"/>
      </w:pPr>
      <w:bookmarkStart w:id="95" w:name="_Toc180569789"/>
      <w:r>
        <w:lastRenderedPageBreak/>
        <w:t>Allegato 9 - Panoramica della copertura assicurativa CAR</w:t>
      </w:r>
      <w:bookmarkEnd w:id="95"/>
    </w:p>
    <w:p w14:paraId="6661C4AB" w14:textId="77777777" w:rsidR="00027167" w:rsidRPr="004C0EBD" w:rsidRDefault="00027167" w:rsidP="00027167"/>
    <w:p w14:paraId="163D15A6" w14:textId="1FF9D596" w:rsidR="00DE7E3C" w:rsidRPr="00536BD4" w:rsidRDefault="00DE7E3C" w:rsidP="00F426F5">
      <w:pPr>
        <w:pStyle w:val="MH3"/>
        <w:rPr>
          <w:szCs w:val="24"/>
        </w:rPr>
      </w:pPr>
      <w:bookmarkStart w:id="96" w:name="_Toc180569790"/>
      <w:r>
        <w:t>Sezione I: le opere</w:t>
      </w:r>
      <w:bookmarkEnd w:id="96"/>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Le opere sono quelle concordate nel contratto di costruzione. L'importo assicurato per le opere edili è il costo delle riparazioni per il ripristino dello stato precedente al danno.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Rischi coperti da una polizza CAR: inondazioni, vento, terremoti, danni da acqua e muffa, difetti di costruzione e negligenza.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La normale usura e la negligenza intenzionale non sono coperte.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Interruzione avanzata delle operazioni (facoltativo)</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La copertura include qualsiasi perdita finanziaria della parte assicurata derivante dall'interruzione dei lavori oggetto del contratto, con conseguente ritardo nell'avvio programmato delle operazioni commerciali.</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S</w:t>
      </w:r>
      <w:r>
        <w:rPr>
          <w:rFonts w:ascii="Arial" w:hAnsi="Arial"/>
          <w:b/>
          <w:color w:val="104D54"/>
          <w:sz w:val="24"/>
        </w:rPr>
        <w:t>ezione II: responsabilità</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La clausola di responsabilità copre la responsabilità della parte assicurata </w:t>
      </w:r>
      <w:r>
        <w:rPr>
          <w:rFonts w:ascii="Arial" w:hAnsi="Arial"/>
          <w:b/>
          <w:color w:val="104D54"/>
        </w:rPr>
        <w:t xml:space="preserve">e di altre </w:t>
      </w:r>
      <w:proofErr w:type="gramStart"/>
      <w:r>
        <w:rPr>
          <w:rFonts w:ascii="Arial" w:hAnsi="Arial"/>
          <w:b/>
          <w:color w:val="104D54"/>
        </w:rPr>
        <w:t>parti</w:t>
      </w:r>
      <w:r>
        <w:rPr>
          <w:rFonts w:ascii="Arial" w:hAnsi="Arial"/>
          <w:color w:val="104D54"/>
        </w:rPr>
        <w:t xml:space="preserve"> </w:t>
      </w:r>
      <w:r>
        <w:rPr>
          <w:rFonts w:ascii="Arial" w:hAnsi="Arial"/>
          <w:color w:val="000000" w:themeColor="text1"/>
        </w:rPr>
        <w:t>,</w:t>
      </w:r>
      <w:proofErr w:type="gramEnd"/>
      <w:r>
        <w:rPr>
          <w:rFonts w:ascii="Arial" w:hAnsi="Arial"/>
          <w:color w:val="000000" w:themeColor="text1"/>
        </w:rPr>
        <w:t xml:space="preserve"> ad esempio gli appaltatori, nei confronti di terzi per eventi correlati all'esecuzione dei lavori, quali:</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lesioni alle persone;</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perdita, danneggiamento o distruzione di beni materiali.</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A ciò si aggiunge la responsabilità delle parti assicurate nei confronti l'una dell'altra. Se la parte contraente causa un danno al cliente (entrambi assicurati dalla polizza), la parte contraente può presentare una richiesta di risarcimento in base alla polizza perché la propria responsabilità nei confronti del cliente è coperta.</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Sezione III: beni esistenti del cliente</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Danni ai beni esistenti del cliente derivanti dai lavori assicurati. Il danno deve quindi essere una conseguenza diretta dei lavori eseguiti.</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Sezione IV: materiali dell'appaltatore</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Danni alle attrezzature dell'appaltatore causati da eventi esterni, quali tempeste, incendi e furti. Tali attrezzature includono ponteggi, strutture, cabine, capannoni, strumenti, ecc. che devono essere presenti in loco come parte dei lavori.</w:t>
      </w:r>
      <w:r>
        <w:rPr>
          <w:rFonts w:ascii="Arial" w:hAnsi="Arial"/>
          <w:color w:val="000000" w:themeColor="text1"/>
          <w:sz w:val="27"/>
        </w:rPr>
        <w:t xml:space="preserve"> </w:t>
      </w:r>
      <w:r>
        <w:rPr>
          <w:rFonts w:ascii="Arial" w:hAnsi="Arial"/>
          <w:color w:val="000000" w:themeColor="text1"/>
        </w:rPr>
        <w:t xml:space="preserve">È escluso quanto segue: attrezzature a vela e galleggianti, draghe, bulldozer, gru e altri mezzi di trasporto a propulsione meccanica.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Voce V: beni della direzione e del personale</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Danni ai beni personali appartenenti alla direzione e al personale della parte assicurata, verificatisi in loco e causati da eventi esterni, quali tempeste e furti.</w:t>
      </w:r>
      <w:r>
        <w:rPr>
          <w:rFonts w:ascii="Arial" w:hAnsi="Arial"/>
          <w:color w:val="000000" w:themeColor="text1"/>
          <w:sz w:val="27"/>
        </w:rPr>
        <w:t xml:space="preserve"> </w:t>
      </w:r>
      <w:r>
        <w:rPr>
          <w:rFonts w:ascii="Arial" w:hAnsi="Arial"/>
          <w:color w:val="000000" w:themeColor="text1"/>
        </w:rPr>
        <w:t>È escluso quanto segue:</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denaro contante e documenti di valore, ecc.,</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veicoli a propulsione meccanica.</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Sezione VI: trasporto</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Il presente paragrafo copre i danni o il furto dei materiali edili durante il trasporto.</w:t>
      </w:r>
      <w:r>
        <w:rPr>
          <w:rFonts w:ascii="Arial" w:hAnsi="Arial"/>
        </w:rPr>
        <w:br/>
      </w:r>
      <w:r>
        <w:rPr>
          <w:rFonts w:ascii="Arial" w:hAnsi="Arial"/>
          <w:color w:val="000000" w:themeColor="text1"/>
        </w:rPr>
        <w:t>In questa sezione, il fattore rilevante per la copertura è che:</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il trasporto deve essere a carico e a rischio della parte assicurata;</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default" r:id="rId22"/>
          <w:footerReference w:type="default" r:id="rId23"/>
          <w:headerReference w:type="first" r:id="rId24"/>
          <w:pgSz w:w="11906" w:h="16838" w:code="9"/>
          <w:pgMar w:top="1417" w:right="1417" w:bottom="1417" w:left="1417" w:header="709" w:footer="709" w:gutter="0"/>
          <w:pgNumType w:start="0"/>
          <w:cols w:space="708"/>
          <w:titlePg/>
          <w:docGrid w:linePitch="360"/>
        </w:sectPr>
      </w:pPr>
      <w:r>
        <w:rPr>
          <w:rFonts w:ascii="Arial" w:hAnsi="Arial"/>
          <w:color w:val="000000" w:themeColor="text1"/>
        </w:rPr>
        <w:t>la copertura deve estendersi dal carico allo scarico in loco.</w:t>
      </w:r>
      <w:bookmarkEnd w:id="0"/>
    </w:p>
    <w:p w14:paraId="3B1999A5" w14:textId="419F420A" w:rsidR="00026952" w:rsidRPr="007061E0" w:rsidRDefault="00026952" w:rsidP="0009535D">
      <w:pPr>
        <w:pStyle w:val="MH1"/>
        <w:rPr>
          <w:rFonts w:eastAsia="Aptos"/>
          <w:kern w:val="2"/>
          <w:sz w:val="16"/>
          <w:szCs w:val="16"/>
          <w14:ligatures w14:val="standardContextual"/>
        </w:rPr>
      </w:pPr>
    </w:p>
    <w:sectPr w:rsidR="00026952" w:rsidRPr="007061E0" w:rsidSect="005E0F9F">
      <w:headerReference w:type="even" r:id="rId25"/>
      <w:headerReference w:type="default" r:id="rId26"/>
      <w:headerReference w:type="first" r:id="rId27"/>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4E43C" w14:textId="77777777" w:rsidR="00580B5A" w:rsidRDefault="00580B5A" w:rsidP="00A3595E">
      <w:r>
        <w:separator/>
      </w:r>
    </w:p>
  </w:endnote>
  <w:endnote w:type="continuationSeparator" w:id="0">
    <w:p w14:paraId="08C574B5" w14:textId="77777777" w:rsidR="00580B5A" w:rsidRDefault="00580B5A"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B7FEF" w14:textId="77777777" w:rsidR="00580B5A" w:rsidRDefault="00580B5A" w:rsidP="00A3595E">
      <w:r>
        <w:separator/>
      </w:r>
    </w:p>
  </w:footnote>
  <w:footnote w:type="continuationSeparator" w:id="0">
    <w:p w14:paraId="6C430BEE" w14:textId="77777777" w:rsidR="00580B5A" w:rsidRDefault="00580B5A" w:rsidP="00A3595E">
      <w:r>
        <w:continuationSeparator/>
      </w:r>
    </w:p>
  </w:footnote>
  <w:footnote w:id="1">
    <w:p w14:paraId="0E982CD4" w14:textId="4541AF13" w:rsidR="004A78D5" w:rsidRPr="00384F97" w:rsidRDefault="004A78D5">
      <w:pPr>
        <w:pStyle w:val="FootnoteText"/>
        <w:rPr>
          <w:rFonts w:ascii="Arial" w:hAnsi="Arial" w:cs="Arial"/>
        </w:rPr>
      </w:pPr>
      <w:r w:rsidRPr="00384F97">
        <w:rPr>
          <w:rStyle w:val="FootnoteReference"/>
          <w:rFonts w:ascii="Arial" w:hAnsi="Arial" w:cs="Arial"/>
        </w:rPr>
        <w:footnoteRef/>
      </w:r>
      <w:r w:rsidRPr="00384F97">
        <w:rPr>
          <w:rFonts w:ascii="Arial" w:hAnsi="Arial" w:cs="Arial"/>
        </w:rPr>
        <w:t xml:space="preserve"> https://wetten.overheid.nl/BWBR0032203/2022-03-02/0</w:t>
      </w:r>
    </w:p>
  </w:footnote>
  <w:footnote w:id="2">
    <w:p w14:paraId="0B2EA604" w14:textId="08D49676" w:rsidR="00E357C6" w:rsidRPr="00384F97" w:rsidRDefault="00E357C6">
      <w:pPr>
        <w:pStyle w:val="FootnoteText"/>
        <w:rPr>
          <w:rFonts w:ascii="Arial" w:hAnsi="Arial" w:cs="Arial"/>
        </w:rPr>
      </w:pPr>
      <w:r w:rsidRPr="00384F97">
        <w:rPr>
          <w:rStyle w:val="FootnoteReference"/>
          <w:rFonts w:ascii="Arial" w:hAnsi="Arial" w:cs="Arial"/>
        </w:rPr>
        <w:footnoteRef/>
      </w:r>
      <w:r w:rsidRPr="00384F97">
        <w:rPr>
          <w:rFonts w:ascii="Arial" w:hAnsi="Arial" w:cs="Arial"/>
        </w:rPr>
        <w:t xml:space="preserve"> Questa relazione è la versione 1.0 e altri nomi potrebbero essere aggiunti in una fase successiva. </w:t>
      </w:r>
    </w:p>
  </w:footnote>
  <w:footnote w:id="3">
    <w:p w14:paraId="1B1BAC7A" w14:textId="77777777" w:rsidR="00E611E7" w:rsidRPr="00384F97" w:rsidRDefault="00E611E7" w:rsidP="00E611E7">
      <w:pPr>
        <w:pStyle w:val="FootnoteText"/>
        <w:rPr>
          <w:rFonts w:ascii="Arial" w:hAnsi="Arial" w:cs="Arial"/>
        </w:rPr>
      </w:pPr>
      <w:r w:rsidRPr="00384F97">
        <w:rPr>
          <w:rStyle w:val="FootnoteReference"/>
          <w:rFonts w:ascii="Arial" w:hAnsi="Arial" w:cs="Arial"/>
        </w:rPr>
        <w:footnoteRef/>
      </w:r>
      <w:r w:rsidRPr="00384F97">
        <w:rPr>
          <w:rFonts w:ascii="Arial" w:hAnsi="Arial" w:cs="Arial"/>
        </w:rPr>
        <w:t xml:space="preserve"> Cfr. anche: </w:t>
      </w:r>
      <w:hyperlink r:id="rId1" w:history="1">
        <w:r w:rsidRPr="00384F97">
          <w:rPr>
            <w:rFonts w:ascii="Arial" w:hAnsi="Arial" w:cs="Arial"/>
            <w:color w:val="3DC3C6"/>
            <w:u w:val="single"/>
          </w:rPr>
          <w:t>UvW 2021-XX Praktische handreiking ZOW sjabloon UvW versie jan 2022.pdf (stowa.nl)</w:t>
        </w:r>
      </w:hyperlink>
      <w:r w:rsidRPr="00384F97">
        <w:rPr>
          <w:rFonts w:ascii="Arial" w:hAnsi="Arial" w:cs="Arial"/>
        </w:rPr>
        <w:t>.</w:t>
      </w:r>
      <w:r w:rsidRPr="00384F97">
        <w:rPr>
          <w:rFonts w:ascii="Arial" w:hAnsi="Arial" w:cs="Arial"/>
          <w:color w:val="3DC3C6"/>
        </w:rPr>
        <w:t xml:space="preserve">  </w:t>
      </w:r>
      <w:r w:rsidRPr="00384F97">
        <w:rPr>
          <w:rFonts w:ascii="Arial" w:hAnsi="Arial" w:cs="Arial"/>
        </w:rPr>
        <w:br/>
      </w:r>
    </w:p>
  </w:footnote>
  <w:footnote w:id="4">
    <w:p w14:paraId="60A86AF3" w14:textId="4D616DEC" w:rsidR="005465FD" w:rsidRPr="00384F97" w:rsidRDefault="005465FD">
      <w:pPr>
        <w:pStyle w:val="FootnoteText"/>
        <w:rPr>
          <w:rFonts w:ascii="Arial" w:hAnsi="Arial" w:cs="Arial"/>
        </w:rPr>
      </w:pPr>
      <w:r w:rsidRPr="00384F97">
        <w:rPr>
          <w:rStyle w:val="FootnoteReference"/>
          <w:rFonts w:ascii="Arial" w:hAnsi="Arial" w:cs="Arial"/>
        </w:rPr>
        <w:footnoteRef/>
      </w:r>
      <w:r w:rsidRPr="00384F97">
        <w:rPr>
          <w:rFonts w:ascii="Arial" w:hAnsi="Arial" w:cs="Arial"/>
        </w:rPr>
        <w:t xml:space="preserve"> Ad esempio: Tibber, ANWB Energy, NextEnergy, Eneco, EnergyZero, Zonneplan, Frank Energie, Innova.</w:t>
      </w:r>
    </w:p>
  </w:footnote>
  <w:footnote w:id="5">
    <w:p w14:paraId="26802840" w14:textId="6C0164F0" w:rsidR="00A76E5A" w:rsidRPr="00526428" w:rsidRDefault="00A76E5A">
      <w:pPr>
        <w:pStyle w:val="FootnoteText"/>
        <w:rPr>
          <w:rFonts w:ascii="Arial" w:hAnsi="Arial" w:cs="Arial"/>
        </w:rPr>
      </w:pPr>
      <w:r w:rsidRPr="00384F97">
        <w:rPr>
          <w:rStyle w:val="FootnoteReference"/>
          <w:rFonts w:ascii="Arial" w:hAnsi="Arial" w:cs="Arial"/>
        </w:rPr>
        <w:footnoteRef/>
      </w:r>
      <w:r w:rsidRPr="00526428">
        <w:rPr>
          <w:rFonts w:ascii="Arial" w:hAnsi="Arial" w:cs="Arial"/>
        </w:rPr>
        <w:t xml:space="preserve"> Ad esempio: Edmij, Energypool, Scholt, Sympower.</w:t>
      </w:r>
    </w:p>
  </w:footnote>
  <w:footnote w:id="6">
    <w:p w14:paraId="4BFDA0F0" w14:textId="09D4E04B" w:rsidR="005E16E5" w:rsidRPr="00384F97" w:rsidRDefault="005E16E5">
      <w:pPr>
        <w:pStyle w:val="FootnoteText"/>
        <w:rPr>
          <w:rFonts w:ascii="Arial" w:hAnsi="Arial" w:cs="Arial"/>
        </w:rPr>
      </w:pPr>
      <w:r w:rsidRPr="00384F97">
        <w:rPr>
          <w:rStyle w:val="FootnoteReference"/>
          <w:rFonts w:ascii="Arial" w:hAnsi="Arial" w:cs="Arial"/>
        </w:rPr>
        <w:footnoteRef/>
      </w:r>
      <w:r w:rsidRPr="00384F97">
        <w:rPr>
          <w:rFonts w:ascii="Arial" w:hAnsi="Arial" w:cs="Arial"/>
        </w:rPr>
        <w:t xml:space="preserve"> Se si affitta un tetto o un terreno a uno sviluppatore di progetti FV, sarà quest'ultimo a occuparsi del finanziamento.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364E31A8"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Un rettangolo blu con bordo bianc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t xml:space="preserve">                </w:t>
    </w:r>
    <w:r w:rsidR="0064099B">
      <w:rPr>
        <w:rFonts w:ascii="Arial" w:hAnsi="Arial"/>
        <w:color w:val="104D55"/>
      </w:rPr>
      <w:t xml:space="preserve">   </w:t>
    </w:r>
    <w:r>
      <w:rPr>
        <w:rFonts w:ascii="Arial" w:hAnsi="Arial"/>
        <w:color w:val="104D55"/>
      </w:rPr>
      <w:t xml:space="preserve">           </w:t>
    </w:r>
    <w:r>
      <w:rPr>
        <w:rFonts w:ascii="Arial" w:hAnsi="Arial"/>
        <w:b/>
        <w:color w:val="DDE3E2"/>
      </w:rPr>
      <w:t>FASI PRELIMINARI DI UN PROGETTO FV</w:t>
    </w:r>
  </w:p>
  <w:p w14:paraId="74DCA24C" w14:textId="77777777" w:rsidR="00DE36D8" w:rsidRPr="00526428" w:rsidRDefault="00DE36D8" w:rsidP="00DE36D8">
    <w:pPr>
      <w:pStyle w:val="Header"/>
      <w:rPr>
        <w:b/>
        <w:bCs/>
        <w:sz w:val="20"/>
        <w:szCs w:val="20"/>
        <w:lang w:val="en-IE"/>
      </w:rPr>
    </w:pPr>
    <w:r w:rsidRPr="00526428">
      <w:rPr>
        <w:rFonts w:ascii="Arial" w:hAnsi="Arial"/>
        <w:b/>
        <w:color w:val="104D55"/>
        <w:sz w:val="20"/>
        <w:lang w:val="en-IE"/>
      </w:rPr>
      <w:t xml:space="preserve">public-buyers-community.ec.europa.eu </w:t>
    </w:r>
  </w:p>
  <w:p w14:paraId="2D22713A" w14:textId="611DEBD1" w:rsidR="00DE36D8" w:rsidRPr="00526428" w:rsidRDefault="00DE36D8">
    <w:pPr>
      <w:pStyle w:val="Header"/>
      <w:rPr>
        <w:lang w:val="en-IE"/>
      </w:rPr>
    </w:pPr>
  </w:p>
  <w:p w14:paraId="6D9C654A" w14:textId="77777777" w:rsidR="00DE36D8" w:rsidRPr="00526428" w:rsidRDefault="00DE36D8">
    <w:pPr>
      <w:pStyle w:val="Header"/>
      <w:rPr>
        <w:lang w:val="en-I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FASI PRELIMINARI DI UN PROGETTO FV</w:t>
    </w:r>
  </w:p>
  <w:p w14:paraId="587459A2" w14:textId="77777777" w:rsidR="00030397" w:rsidRPr="00526428" w:rsidRDefault="00030397" w:rsidP="00DE36D8">
    <w:pPr>
      <w:pStyle w:val="Header"/>
      <w:rPr>
        <w:b/>
        <w:bCs/>
        <w:sz w:val="20"/>
        <w:szCs w:val="20"/>
        <w:lang w:val="en-IE"/>
      </w:rPr>
    </w:pPr>
    <w:r w:rsidRPr="00526428">
      <w:rPr>
        <w:rFonts w:ascii="Arial" w:hAnsi="Arial"/>
        <w:b/>
        <w:color w:val="104D55"/>
        <w:sz w:val="20"/>
        <w:lang w:val="en-IE"/>
      </w:rPr>
      <w:t xml:space="preserve">public-buyers-community.ec.europa.eu </w:t>
    </w:r>
  </w:p>
  <w:p w14:paraId="029F867B" w14:textId="77777777" w:rsidR="00030397" w:rsidRPr="00526428" w:rsidRDefault="00030397">
    <w:pPr>
      <w:pStyle w:val="Header"/>
      <w:rPr>
        <w:lang w:val="en-IE"/>
      </w:rPr>
    </w:pPr>
  </w:p>
  <w:p w14:paraId="3CF6BC01" w14:textId="77777777" w:rsidR="00030397" w:rsidRPr="00526428" w:rsidRDefault="00030397">
    <w:pPr>
      <w:pStyle w:val="Header"/>
      <w:rPr>
        <w:lang w:val="en-IE"/>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es-ES" w:vendorID="64" w:dllVersion="0" w:nlCheck="1" w:checkStyle="0"/>
  <w:activeWritingStyle w:appName="MSWord" w:lang="it-IT" w:vendorID="64" w:dllVersion="0" w:nlCheck="1" w:checkStyle="0"/>
  <w:proofState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1CB1"/>
    <w:rsid w:val="0009535D"/>
    <w:rsid w:val="00096404"/>
    <w:rsid w:val="000A54DB"/>
    <w:rsid w:val="000A782D"/>
    <w:rsid w:val="000C4770"/>
    <w:rsid w:val="000D35A1"/>
    <w:rsid w:val="000D5D07"/>
    <w:rsid w:val="000E3421"/>
    <w:rsid w:val="000F1F6F"/>
    <w:rsid w:val="00104B1C"/>
    <w:rsid w:val="001079C7"/>
    <w:rsid w:val="00110821"/>
    <w:rsid w:val="0011345C"/>
    <w:rsid w:val="001148AE"/>
    <w:rsid w:val="00114C41"/>
    <w:rsid w:val="00121B3D"/>
    <w:rsid w:val="00122B51"/>
    <w:rsid w:val="00122EF3"/>
    <w:rsid w:val="00131697"/>
    <w:rsid w:val="00131AF2"/>
    <w:rsid w:val="00134840"/>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4F97"/>
    <w:rsid w:val="003869FC"/>
    <w:rsid w:val="00390CE6"/>
    <w:rsid w:val="0039686D"/>
    <w:rsid w:val="003A0327"/>
    <w:rsid w:val="003A78DB"/>
    <w:rsid w:val="003B429E"/>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25E4A"/>
    <w:rsid w:val="004300BD"/>
    <w:rsid w:val="004343AC"/>
    <w:rsid w:val="00437D1C"/>
    <w:rsid w:val="00444DFF"/>
    <w:rsid w:val="0044746A"/>
    <w:rsid w:val="00450A65"/>
    <w:rsid w:val="004517D5"/>
    <w:rsid w:val="004526EA"/>
    <w:rsid w:val="00452D51"/>
    <w:rsid w:val="004713A1"/>
    <w:rsid w:val="00474554"/>
    <w:rsid w:val="00474598"/>
    <w:rsid w:val="004745F8"/>
    <w:rsid w:val="004825DC"/>
    <w:rsid w:val="0049076B"/>
    <w:rsid w:val="00496113"/>
    <w:rsid w:val="00496B5F"/>
    <w:rsid w:val="004A2658"/>
    <w:rsid w:val="004A4BD5"/>
    <w:rsid w:val="004A699C"/>
    <w:rsid w:val="004A78D5"/>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6428"/>
    <w:rsid w:val="00527969"/>
    <w:rsid w:val="00531F5A"/>
    <w:rsid w:val="00534D6F"/>
    <w:rsid w:val="00536BD4"/>
    <w:rsid w:val="00541DDB"/>
    <w:rsid w:val="00541F2F"/>
    <w:rsid w:val="005465FD"/>
    <w:rsid w:val="00557433"/>
    <w:rsid w:val="005576F2"/>
    <w:rsid w:val="00560408"/>
    <w:rsid w:val="00565A93"/>
    <w:rsid w:val="00580B5A"/>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1A07"/>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099B"/>
    <w:rsid w:val="00643D1E"/>
    <w:rsid w:val="00647B2F"/>
    <w:rsid w:val="0066010D"/>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41AB"/>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40B1"/>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3AC9"/>
    <w:rsid w:val="00B04543"/>
    <w:rsid w:val="00B04952"/>
    <w:rsid w:val="00B06E62"/>
    <w:rsid w:val="00B10834"/>
    <w:rsid w:val="00B13A99"/>
    <w:rsid w:val="00B160CC"/>
    <w:rsid w:val="00B2496C"/>
    <w:rsid w:val="00B24ED3"/>
    <w:rsid w:val="00B25774"/>
    <w:rsid w:val="00B275AA"/>
    <w:rsid w:val="00B32DA3"/>
    <w:rsid w:val="00B33249"/>
    <w:rsid w:val="00B46EE4"/>
    <w:rsid w:val="00B54067"/>
    <w:rsid w:val="00B54C59"/>
    <w:rsid w:val="00B57FFA"/>
    <w:rsid w:val="00B63BBC"/>
    <w:rsid w:val="00B63D71"/>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710"/>
    <w:rsid w:val="00C02856"/>
    <w:rsid w:val="00C20B3F"/>
    <w:rsid w:val="00C243EB"/>
    <w:rsid w:val="00C26CE0"/>
    <w:rsid w:val="00C30B6E"/>
    <w:rsid w:val="00C4096C"/>
    <w:rsid w:val="00C42EE6"/>
    <w:rsid w:val="00C44822"/>
    <w:rsid w:val="00C508AC"/>
    <w:rsid w:val="00C54B06"/>
    <w:rsid w:val="00C55F75"/>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47552"/>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426F5"/>
    <w:rsid w:val="00F51F9A"/>
    <w:rsid w:val="00F541A6"/>
    <w:rsid w:val="00F54B0E"/>
    <w:rsid w:val="00F5620B"/>
    <w:rsid w:val="00F65697"/>
    <w:rsid w:val="00F7042B"/>
    <w:rsid w:val="00F72ABE"/>
    <w:rsid w:val="00F77AB8"/>
    <w:rsid w:val="00F90732"/>
    <w:rsid w:val="00F91B70"/>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F426F5"/>
  </w:style>
  <w:style w:type="character" w:customStyle="1" w:styleId="Style2Char">
    <w:name w:val="Style2 Char"/>
    <w:basedOn w:val="Heading1Char"/>
    <w:link w:val="Style2"/>
    <w:rsid w:val="00F426F5"/>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F426F5"/>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F426F5"/>
    <w:pPr>
      <w:ind w:left="-851"/>
    </w:pPr>
  </w:style>
  <w:style w:type="character" w:customStyle="1" w:styleId="SUB1Char">
    <w:name w:val="SUB1 Char"/>
    <w:basedOn w:val="DefaultParagraphFont"/>
    <w:link w:val="SUB1"/>
    <w:rsid w:val="00F426F5"/>
    <w:rPr>
      <w:rFonts w:ascii="Arial" w:eastAsia="Times New Roman" w:hAnsi="Arial" w:cs="Arial"/>
      <w:b/>
      <w:color w:val="104D54"/>
      <w:sz w:val="36"/>
      <w:szCs w:val="36"/>
      <w:lang w:eastAsia="nl-NL"/>
    </w:rPr>
  </w:style>
  <w:style w:type="character" w:customStyle="1" w:styleId="MH2Char">
    <w:name w:val="MH2 Char"/>
    <w:basedOn w:val="SUB1Char"/>
    <w:link w:val="MH2"/>
    <w:rsid w:val="00F426F5"/>
    <w:rPr>
      <w:rFonts w:ascii="Arial" w:eastAsia="Times New Roman" w:hAnsi="Arial" w:cs="Arial"/>
      <w:b/>
      <w:color w:val="104D54"/>
      <w:sz w:val="36"/>
      <w:szCs w:val="36"/>
      <w:lang w:eastAsia="nl-NL"/>
    </w:rPr>
  </w:style>
  <w:style w:type="paragraph" w:customStyle="1" w:styleId="MH3">
    <w:name w:val="MH3"/>
    <w:basedOn w:val="SUB2"/>
    <w:link w:val="MH3Char"/>
    <w:qFormat/>
    <w:rsid w:val="00F426F5"/>
  </w:style>
  <w:style w:type="character" w:customStyle="1" w:styleId="SUB2Char">
    <w:name w:val="SUB2 Char"/>
    <w:basedOn w:val="DefaultParagraphFont"/>
    <w:link w:val="SUB2"/>
    <w:rsid w:val="00F426F5"/>
    <w:rPr>
      <w:rFonts w:ascii="Arial" w:eastAsia="Times New Roman" w:hAnsi="Arial" w:cs="Arial"/>
      <w:b/>
      <w:color w:val="104D54"/>
      <w:sz w:val="28"/>
      <w:szCs w:val="28"/>
      <w:lang w:eastAsia="nl-NL"/>
    </w:rPr>
  </w:style>
  <w:style w:type="character" w:customStyle="1" w:styleId="MH3Char">
    <w:name w:val="MH3 Char"/>
    <w:basedOn w:val="SUB2Char"/>
    <w:link w:val="MH3"/>
    <w:rsid w:val="00F426F5"/>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F426F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www.pianoo.nl/nl/regelgeving/drempelbedragen-europees-aanbesteden"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yperlink" Target="mailto:info.nl@encon.eu"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https://wetten.overheid.nl/BWBR0032203/2022-03-02/0"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diagramData" Target="diagrams/data1.xml"/><Relationship Id="rId19" Type="http://schemas.openxmlformats.org/officeDocument/2006/relationships/hyperlink" Target="https://zoninlandschap.nl/u/files/ZonneparkenBeterOntwerpTNOV2.pdf"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1.xml"/><Relationship Id="rId27" Type="http://schemas.openxmlformats.org/officeDocument/2006/relationships/header" Target="header5.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it-IT" sz="750"/>
            <a:t>I. </a:t>
          </a:r>
          <a:br>
            <a:rPr lang="it-IT" sz="750"/>
          </a:br>
          <a:r>
            <a:rPr lang="it-IT" sz="750"/>
            <a:t>Studio preliminare</a:t>
          </a:r>
        </a:p>
      </dgm:t>
    </dgm:pt>
    <dgm:pt modelId="{95F075A0-FBFA-764D-946B-10CC0CACFF20}" type="parTrans" cxnId="{61F8CEAC-736E-BD43-B7AC-902BD6906DAC}">
      <dgm:prSet/>
      <dgm:spPr/>
      <dgm:t>
        <a:bodyPr/>
        <a:lstStyle/>
        <a:p>
          <a:endParaRPr lang="nl-NL" sz="750"/>
        </a:p>
      </dgm:t>
    </dgm:pt>
    <dgm:pt modelId="{509E4903-C315-8E4A-A844-574EEF3E51D6}" type="sibTrans" cxnId="{61F8CEAC-736E-BD43-B7AC-902BD6906DAC}">
      <dgm:prSet/>
      <dgm:spPr/>
      <dgm:t>
        <a:bodyPr/>
        <a:lstStyle/>
        <a:p>
          <a:endParaRPr lang="nl-NL" sz="750"/>
        </a:p>
      </dgm:t>
    </dgm:pt>
    <dgm:pt modelId="{B7BC4FF3-89E7-2649-8EF2-026BA107ACC2}">
      <dgm:prSet phldrT="[Tekst]" custT="1"/>
      <dgm:spPr>
        <a:solidFill>
          <a:srgbClr val="54CCCD"/>
        </a:solidFill>
      </dgm:spPr>
      <dgm:t>
        <a:bodyPr/>
        <a:lstStyle/>
        <a:p>
          <a:r>
            <a:rPr lang="it-IT" sz="750"/>
            <a:t>II.  </a:t>
          </a:r>
          <a:br>
            <a:rPr lang="it-IT" sz="750"/>
          </a:br>
          <a:r>
            <a:rPr lang="it-IT" sz="750"/>
            <a:t>Bando di gara   </a:t>
          </a:r>
        </a:p>
      </dgm:t>
    </dgm:pt>
    <dgm:pt modelId="{D80F28C3-309E-CA4F-8E2F-621CF2671589}" type="parTrans" cxnId="{F7068F1F-EBB0-8848-A605-2424E12C8A01}">
      <dgm:prSet/>
      <dgm:spPr/>
      <dgm:t>
        <a:bodyPr/>
        <a:lstStyle/>
        <a:p>
          <a:endParaRPr lang="nl-NL" sz="750"/>
        </a:p>
      </dgm:t>
    </dgm:pt>
    <dgm:pt modelId="{6CC666A6-AB02-B041-A6DA-7B7F75372037}" type="sibTrans" cxnId="{F7068F1F-EBB0-8848-A605-2424E12C8A01}">
      <dgm:prSet/>
      <dgm:spPr/>
      <dgm:t>
        <a:bodyPr/>
        <a:lstStyle/>
        <a:p>
          <a:endParaRPr lang="nl-NL" sz="750"/>
        </a:p>
      </dgm:t>
    </dgm:pt>
    <dgm:pt modelId="{3C39F146-7511-E14B-8D6D-1238A54AF9A5}">
      <dgm:prSet phldrT="[Tekst]" custT="1"/>
      <dgm:spPr/>
      <dgm:t>
        <a:bodyPr/>
        <a:lstStyle/>
        <a:p>
          <a:r>
            <a:rPr lang="it-IT" sz="750"/>
            <a:t>III.</a:t>
          </a:r>
          <a:br>
            <a:rPr lang="el-GR" sz="750"/>
          </a:br>
          <a:r>
            <a:rPr lang="it-IT" sz="750"/>
            <a:t> Attuazione del progetto FV</a:t>
          </a:r>
        </a:p>
      </dgm:t>
    </dgm:pt>
    <dgm:pt modelId="{0D5EFFF2-C08F-F246-8377-6380EB8896C4}" type="parTrans" cxnId="{B0F1C9D0-9FBA-C746-B5D1-2FC6C8FC543F}">
      <dgm:prSet/>
      <dgm:spPr/>
      <dgm:t>
        <a:bodyPr/>
        <a:lstStyle/>
        <a:p>
          <a:endParaRPr lang="nl-NL" sz="750"/>
        </a:p>
      </dgm:t>
    </dgm:pt>
    <dgm:pt modelId="{BBB4EB85-9896-B04F-9258-D8EB89744D24}" type="sibTrans" cxnId="{B0F1C9D0-9FBA-C746-B5D1-2FC6C8FC543F}">
      <dgm:prSet/>
      <dgm:spPr/>
      <dgm:t>
        <a:bodyPr/>
        <a:lstStyle/>
        <a:p>
          <a:endParaRPr lang="nl-NL" sz="750"/>
        </a:p>
      </dgm:t>
    </dgm:pt>
    <dgm:pt modelId="{A5B420BB-FA73-A643-9E1E-6789056499C1}">
      <dgm:prSet phldrT="[Tekst]" custT="1"/>
      <dgm:spPr>
        <a:solidFill>
          <a:srgbClr val="168190"/>
        </a:solidFill>
      </dgm:spPr>
      <dgm:t>
        <a:bodyPr/>
        <a:lstStyle/>
        <a:p>
          <a:r>
            <a:rPr lang="it-IT" sz="750"/>
            <a:t>IV. </a:t>
          </a:r>
          <a:br>
            <a:rPr lang="it-IT" sz="750"/>
          </a:br>
          <a:r>
            <a:rPr lang="it-IT" sz="750"/>
            <a:t>Fase operativa</a:t>
          </a:r>
        </a:p>
      </dgm:t>
    </dgm:pt>
    <dgm:pt modelId="{A87F6A89-C185-DB41-A592-A9027F982B38}" type="parTrans" cxnId="{3BC2A997-4311-ED40-9153-9FBB6D965401}">
      <dgm:prSet/>
      <dgm:spPr/>
      <dgm:t>
        <a:bodyPr/>
        <a:lstStyle/>
        <a:p>
          <a:endParaRPr lang="nl-NL" sz="750"/>
        </a:p>
      </dgm:t>
    </dgm:pt>
    <dgm:pt modelId="{0B314F94-2738-D04D-A8E0-ADC7AB78DFD1}" type="sibTrans" cxnId="{3BC2A997-4311-ED40-9153-9FBB6D965401}">
      <dgm:prSet/>
      <dgm:spPr/>
      <dgm:t>
        <a:bodyPr/>
        <a:lstStyle/>
        <a:p>
          <a:endParaRPr lang="nl-NL" sz="750"/>
        </a:p>
      </dgm:t>
    </dgm:pt>
    <dgm:pt modelId="{EA1234BB-CF18-7847-936F-D8A3FA4A3E56}">
      <dgm:prSet phldrT="[Tekst]" custT="1"/>
      <dgm:spPr>
        <a:solidFill>
          <a:srgbClr val="104D54"/>
        </a:solidFill>
      </dgm:spPr>
      <dgm:t>
        <a:bodyPr/>
        <a:lstStyle/>
        <a:p>
          <a:r>
            <a:rPr lang="it-IT" sz="750"/>
            <a:t>V.                </a:t>
          </a:r>
          <a:br>
            <a:rPr lang="it-IT" sz="750"/>
          </a:br>
          <a:r>
            <a:rPr lang="it-IT" sz="750"/>
            <a:t>Fine vita/</a:t>
          </a:r>
          <a:br>
            <a:rPr lang="el-GR" sz="750"/>
          </a:br>
          <a:r>
            <a:rPr lang="it-IT" sz="750"/>
            <a:t>smantellamento </a:t>
          </a:r>
        </a:p>
      </dgm:t>
    </dgm:pt>
    <dgm:pt modelId="{AECA6ACD-E7DE-FC41-878D-1D61F1AF5152}" type="parTrans" cxnId="{5DD52310-02F5-EE47-9082-E104287CD68E}">
      <dgm:prSet/>
      <dgm:spPr/>
      <dgm:t>
        <a:bodyPr/>
        <a:lstStyle/>
        <a:p>
          <a:endParaRPr lang="nl-NL" sz="750"/>
        </a:p>
      </dgm:t>
    </dgm:pt>
    <dgm:pt modelId="{AB441E5D-643A-9F4A-A402-866FAD7C5C10}" type="sibTrans" cxnId="{5DD52310-02F5-EE47-9082-E104287CD68E}">
      <dgm:prSet/>
      <dgm:spPr/>
      <dgm:t>
        <a:bodyPr/>
        <a:lstStyle/>
        <a:p>
          <a:endParaRPr lang="nl-NL" sz="75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33375">
            <a:lnSpc>
              <a:spcPct val="90000"/>
            </a:lnSpc>
            <a:spcBef>
              <a:spcPct val="0"/>
            </a:spcBef>
            <a:spcAft>
              <a:spcPct val="35000"/>
            </a:spcAft>
            <a:buNone/>
          </a:pPr>
          <a:r>
            <a:rPr lang="it-IT" sz="750" kern="1200"/>
            <a:t>I. </a:t>
          </a:r>
          <a:br>
            <a:rPr lang="it-IT" sz="750" kern="1200"/>
          </a:br>
          <a:r>
            <a:rPr lang="it-IT" sz="750" kern="1200"/>
            <a:t>Studio preliminare</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33375">
            <a:lnSpc>
              <a:spcPct val="90000"/>
            </a:lnSpc>
            <a:spcBef>
              <a:spcPct val="0"/>
            </a:spcBef>
            <a:spcAft>
              <a:spcPct val="35000"/>
            </a:spcAft>
            <a:buNone/>
          </a:pPr>
          <a:r>
            <a:rPr lang="it-IT" sz="750" kern="1200"/>
            <a:t>II.  </a:t>
          </a:r>
          <a:br>
            <a:rPr lang="it-IT" sz="750" kern="1200"/>
          </a:br>
          <a:r>
            <a:rPr lang="it-IT" sz="750" kern="1200"/>
            <a:t>Bando di gara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33375">
            <a:lnSpc>
              <a:spcPct val="90000"/>
            </a:lnSpc>
            <a:spcBef>
              <a:spcPct val="0"/>
            </a:spcBef>
            <a:spcAft>
              <a:spcPct val="35000"/>
            </a:spcAft>
            <a:buNone/>
          </a:pPr>
          <a:r>
            <a:rPr lang="it-IT" sz="750" kern="1200"/>
            <a:t>III.</a:t>
          </a:r>
          <a:br>
            <a:rPr lang="el-GR" sz="750" kern="1200"/>
          </a:br>
          <a:r>
            <a:rPr lang="it-IT" sz="750" kern="1200"/>
            <a:t> Attuazione del progetto FV</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33375">
            <a:lnSpc>
              <a:spcPct val="90000"/>
            </a:lnSpc>
            <a:spcBef>
              <a:spcPct val="0"/>
            </a:spcBef>
            <a:spcAft>
              <a:spcPct val="35000"/>
            </a:spcAft>
            <a:buNone/>
          </a:pPr>
          <a:r>
            <a:rPr lang="it-IT" sz="750" kern="1200"/>
            <a:t>IV. </a:t>
          </a:r>
          <a:br>
            <a:rPr lang="it-IT" sz="750" kern="1200"/>
          </a:br>
          <a:r>
            <a:rPr lang="it-IT" sz="750" kern="1200"/>
            <a:t>Fase operativa</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33375">
            <a:lnSpc>
              <a:spcPct val="90000"/>
            </a:lnSpc>
            <a:spcBef>
              <a:spcPct val="0"/>
            </a:spcBef>
            <a:spcAft>
              <a:spcPct val="35000"/>
            </a:spcAft>
            <a:buNone/>
          </a:pPr>
          <a:r>
            <a:rPr lang="it-IT" sz="750" kern="1200"/>
            <a:t>V.                </a:t>
          </a:r>
          <a:br>
            <a:rPr lang="it-IT" sz="750" kern="1200"/>
          </a:br>
          <a:r>
            <a:rPr lang="it-IT" sz="750" kern="1200"/>
            <a:t>Fine vita/</a:t>
          </a:r>
          <a:br>
            <a:rPr lang="el-GR" sz="750" kern="1200"/>
          </a:br>
          <a:r>
            <a:rPr lang="it-IT" sz="750" kern="1200"/>
            <a:t>smantellamento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38</Pages>
  <Words>9114</Words>
  <Characters>53684</Characters>
  <Application>Microsoft Office Word</Application>
  <DocSecurity>0</DocSecurity>
  <Lines>2982</Lines>
  <Paragraphs>1029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61769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cp:lastPrinted>2024-08-30T12:19:00Z</cp:lastPrinted>
  <dcterms:created xsi:type="dcterms:W3CDTF">2024-09-17T13:19:00Z</dcterms:created>
  <dcterms:modified xsi:type="dcterms:W3CDTF">2024-10-23T07:56:00Z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