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249395F1">
                <wp:simplePos x="0" y="0"/>
                <wp:positionH relativeFrom="margin">
                  <wp:posOffset>-671195</wp:posOffset>
                </wp:positionH>
                <wp:positionV relativeFrom="margin">
                  <wp:posOffset>2205355</wp:posOffset>
                </wp:positionV>
                <wp:extent cx="6286500" cy="4048125"/>
                <wp:effectExtent l="0" t="0" r="1905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86500" cy="4048125"/>
                        </a:xfrm>
                        <a:prstGeom prst="rect">
                          <a:avLst/>
                        </a:prstGeom>
                        <a:noFill/>
                        <a:ln w="6350">
                          <a:solidFill>
                            <a:schemeClr val="accent1"/>
                          </a:solidFill>
                        </a:ln>
                      </wps:spPr>
                      <wps:txbx>
                        <w:txbxContent>
                          <w:p w14:paraId="433801F0" w14:textId="7E64E79B" w:rsidR="006E1674" w:rsidRPr="008843D6" w:rsidRDefault="006E1674" w:rsidP="00317D9E">
                            <w:pPr>
                              <w:pStyle w:val="Style2"/>
                              <w:ind w:left="-21"/>
                              <w:rPr>
                                <w:sz w:val="32"/>
                                <w:szCs w:val="32"/>
                              </w:rPr>
                            </w:pPr>
                            <w:bookmarkStart w:id="1" w:name="_Toc176878227"/>
                            <w:bookmarkStart w:id="2" w:name="_Toc176879251"/>
                            <w:r>
                              <w:rPr>
                                <w:color w:val="FFFFFF" w:themeColor="background1"/>
                                <w:sz w:val="56"/>
                              </w:rPr>
                              <w:t xml:space="preserve">Fases preliminares de um </w:t>
                            </w:r>
                            <w:r w:rsidR="00317D9E">
                              <w:rPr>
                                <w:color w:val="FFFFFF" w:themeColor="background1"/>
                                <w:sz w:val="56"/>
                              </w:rPr>
                              <w:br/>
                            </w:r>
                            <w:r>
                              <w:rPr>
                                <w:color w:val="FFFFFF" w:themeColor="background1"/>
                                <w:sz w:val="56"/>
                              </w:rPr>
                              <w:t>projeto fotovoltaico</w:t>
                            </w:r>
                            <w:r>
                              <w:rPr>
                                <w:color w:val="FFFFFF" w:themeColor="background1"/>
                                <w:sz w:val="44"/>
                              </w:rPr>
                              <w:br/>
                            </w:r>
                            <w:r>
                              <w:rPr>
                                <w:sz w:val="44"/>
                              </w:rPr>
                              <w:br/>
                            </w:r>
                            <w:r>
                              <w:rPr>
                                <w:b w:val="0"/>
                                <w:color w:val="104D54"/>
                                <w:sz w:val="44"/>
                              </w:rPr>
                              <w:t xml:space="preserve">   </w:t>
                            </w:r>
                            <w:r>
                              <w:rPr>
                                <w:b w:val="0"/>
                                <w:color w:val="104D54"/>
                                <w:sz w:val="32"/>
                              </w:rPr>
                              <w:t>Guia conciso para:</w:t>
                            </w:r>
                            <w:bookmarkEnd w:id="1"/>
                            <w:bookmarkEnd w:id="2"/>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3" w:name="_Toc176878228"/>
                            <w:bookmarkStart w:id="4" w:name="_Toc176879252"/>
                            <w:r>
                              <w:rPr>
                                <w:b w:val="0"/>
                                <w:color w:val="FFFFFF" w:themeColor="background1"/>
                                <w:sz w:val="32"/>
                              </w:rPr>
                              <w:t>projetos com mais de 100 painéis solares</w:t>
                            </w:r>
                            <w:bookmarkEnd w:id="3"/>
                            <w:bookmarkEnd w:id="4"/>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5" w:name="_Toc176878229"/>
                            <w:bookmarkStart w:id="6" w:name="_Toc176879253"/>
                            <w:r>
                              <w:rPr>
                                <w:b w:val="0"/>
                                <w:color w:val="FFFFFF" w:themeColor="background1"/>
                                <w:sz w:val="32"/>
                              </w:rPr>
                              <w:t>organizações do setor público e organizações privadas</w:t>
                            </w:r>
                            <w:bookmarkEnd w:id="5"/>
                            <w:bookmarkEnd w:id="6"/>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7" w:name="_Toc176878230"/>
                            <w:bookmarkStart w:id="8" w:name="_Toc176879254"/>
                            <w:r>
                              <w:rPr>
                                <w:color w:val="104D54"/>
                                <w:sz w:val="28"/>
                              </w:rPr>
                              <w:t>Como garantir bons preços e boa qualidade</w:t>
                            </w:r>
                            <w:bookmarkEnd w:id="7"/>
                            <w:bookmarkEnd w:id="8"/>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9" w:name="_Toc176878231"/>
                            <w:bookmarkStart w:id="10" w:name="_Toc176879255"/>
                            <w:r>
                              <w:rPr>
                                <w:color w:val="104D54"/>
                                <w:sz w:val="28"/>
                              </w:rPr>
                              <w:t>Segurança e proteção contra incêndios</w:t>
                            </w:r>
                            <w:bookmarkEnd w:id="9"/>
                            <w:bookmarkEnd w:id="10"/>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1" w:name="_Toc176878232"/>
                            <w:bookmarkStart w:id="12" w:name="_Toc176879256"/>
                            <w:r>
                              <w:rPr>
                                <w:color w:val="104D54"/>
                                <w:sz w:val="28"/>
                              </w:rPr>
                              <w:t>Opções de sustentabilidade</w:t>
                            </w:r>
                            <w:bookmarkEnd w:id="11"/>
                            <w:bookmarkEnd w:id="12"/>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3" w:name="_Toc176878233"/>
                            <w:bookmarkStart w:id="14" w:name="_Toc176879257"/>
                            <w:r>
                              <w:rPr>
                                <w:color w:val="104D54"/>
                                <w:sz w:val="28"/>
                              </w:rPr>
                              <w:t>Dicas práticas com os nomes</w:t>
                            </w:r>
                            <w:bookmarkEnd w:id="13"/>
                            <w:bookmarkEnd w:id="14"/>
                          </w:p>
                          <w:p w14:paraId="5EAD48E1" w14:textId="7E551FD0" w:rsidR="006E1674" w:rsidRPr="00282220" w:rsidRDefault="006E1674" w:rsidP="00282220">
                            <w:pPr>
                              <w:pStyle w:val="Style2"/>
                              <w:ind w:left="360" w:firstLine="348"/>
                              <w:rPr>
                                <w:bCs/>
                                <w:color w:val="104D54"/>
                                <w:sz w:val="28"/>
                                <w:szCs w:val="28"/>
                              </w:rPr>
                            </w:pPr>
                            <w:bookmarkStart w:id="15" w:name="_Toc176878234"/>
                            <w:bookmarkStart w:id="16" w:name="_Toc176879258"/>
                            <w:r>
                              <w:rPr>
                                <w:color w:val="104D54"/>
                                <w:sz w:val="28"/>
                              </w:rPr>
                              <w:t>de empresas de consultoria técnica</w:t>
                            </w:r>
                            <w:bookmarkEnd w:id="15"/>
                            <w:bookmarkEnd w:id="16"/>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52.85pt;margin-top:173.65pt;width:495pt;height:318.7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" filled="f" strokecolor="#4472c4 [3204]" strokeweight=".5pt">
                <v:path arrowok="t"/>
                <v:textbox>
                  <w:txbxContent>
                    <w:p w14:paraId="433801F0" w14:textId="7E64E79B" w:rsidR="006E1674" w:rsidRPr="008843D6" w:rsidRDefault="006E1674" w:rsidP="00317D9E">
                      <w:pPr>
                        <w:pStyle w:val="Style2"/>
                        <w:ind w:left="-21"/>
                        <w:rPr>
                          <w:sz w:val="32"/>
                          <w:szCs w:val="32"/>
                        </w:rPr>
                      </w:pPr>
                      <w:bookmarkStart w:id="17" w:name="_Toc176878227"/>
                      <w:bookmarkStart w:id="18" w:name="_Toc176879251"/>
                      <w:r>
                        <w:rPr>
                          <w:color w:val="FFFFFF" w:themeColor="background1"/>
                          <w:sz w:val="56"/>
                        </w:rPr>
                        <w:t xml:space="preserve">Fases preliminares de um </w:t>
                      </w:r>
                      <w:r w:rsidR="00317D9E">
                        <w:rPr>
                          <w:color w:val="FFFFFF" w:themeColor="background1"/>
                          <w:sz w:val="56"/>
                        </w:rPr>
                        <w:br/>
                      </w:r>
                      <w:r>
                        <w:rPr>
                          <w:color w:val="FFFFFF" w:themeColor="background1"/>
                          <w:sz w:val="56"/>
                        </w:rPr>
                        <w:t>projeto fotovoltaico</w:t>
                      </w:r>
                      <w:r>
                        <w:rPr>
                          <w:color w:val="FFFFFF" w:themeColor="background1"/>
                          <w:sz w:val="44"/>
                        </w:rPr>
                        <w:br/>
                      </w:r>
                      <w:r>
                        <w:rPr>
                          <w:sz w:val="44"/>
                        </w:rPr>
                        <w:br/>
                      </w:r>
                      <w:r>
                        <w:rPr>
                          <w:b w:val="0"/>
                          <w:color w:val="104D54"/>
                          <w:sz w:val="44"/>
                        </w:rPr>
                        <w:t xml:space="preserve">   </w:t>
                      </w:r>
                      <w:r>
                        <w:rPr>
                          <w:b w:val="0"/>
                          <w:color w:val="104D54"/>
                          <w:sz w:val="32"/>
                        </w:rPr>
                        <w:t>Guia conciso para:</w:t>
                      </w:r>
                      <w:bookmarkEnd w:id="17"/>
                      <w:bookmarkEnd w:id="18"/>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19" w:name="_Toc176878228"/>
                      <w:bookmarkStart w:id="20" w:name="_Toc176879252"/>
                      <w:r>
                        <w:rPr>
                          <w:b w:val="0"/>
                          <w:color w:val="FFFFFF" w:themeColor="background1"/>
                          <w:sz w:val="32"/>
                        </w:rPr>
                        <w:t>projetos com mais de 100 painéis solares</w:t>
                      </w:r>
                      <w:bookmarkEnd w:id="19"/>
                      <w:bookmarkEnd w:id="2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21" w:name="_Toc176878229"/>
                      <w:bookmarkStart w:id="22" w:name="_Toc176879253"/>
                      <w:r>
                        <w:rPr>
                          <w:b w:val="0"/>
                          <w:color w:val="FFFFFF" w:themeColor="background1"/>
                          <w:sz w:val="32"/>
                        </w:rPr>
                        <w:t>organizações do setor público e organizações privadas</w:t>
                      </w:r>
                      <w:bookmarkEnd w:id="21"/>
                      <w:bookmarkEnd w:id="22"/>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3" w:name="_Toc176878230"/>
                      <w:bookmarkStart w:id="24" w:name="_Toc176879254"/>
                      <w:r>
                        <w:rPr>
                          <w:color w:val="104D54"/>
                          <w:sz w:val="28"/>
                        </w:rPr>
                        <w:t>Como garantir bons preços e boa qualidade</w:t>
                      </w:r>
                      <w:bookmarkEnd w:id="23"/>
                      <w:bookmarkEnd w:id="24"/>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5" w:name="_Toc176878231"/>
                      <w:bookmarkStart w:id="26" w:name="_Toc176879255"/>
                      <w:r>
                        <w:rPr>
                          <w:color w:val="104D54"/>
                          <w:sz w:val="28"/>
                        </w:rPr>
                        <w:t>Segurança e proteção contra incêndios</w:t>
                      </w:r>
                      <w:bookmarkEnd w:id="25"/>
                      <w:bookmarkEnd w:id="26"/>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7" w:name="_Toc176878232"/>
                      <w:bookmarkStart w:id="28" w:name="_Toc176879256"/>
                      <w:r>
                        <w:rPr>
                          <w:color w:val="104D54"/>
                          <w:sz w:val="28"/>
                        </w:rPr>
                        <w:t>Opções de sustentabilidade</w:t>
                      </w:r>
                      <w:bookmarkEnd w:id="27"/>
                      <w:bookmarkEnd w:id="28"/>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29" w:name="_Toc176878233"/>
                      <w:bookmarkStart w:id="30" w:name="_Toc176879257"/>
                      <w:r>
                        <w:rPr>
                          <w:color w:val="104D54"/>
                          <w:sz w:val="28"/>
                        </w:rPr>
                        <w:t>Dicas práticas com os nomes</w:t>
                      </w:r>
                      <w:bookmarkEnd w:id="29"/>
                      <w:bookmarkEnd w:id="30"/>
                    </w:p>
                    <w:p w14:paraId="5EAD48E1" w14:textId="7E551FD0" w:rsidR="006E1674" w:rsidRPr="00282220" w:rsidRDefault="006E1674" w:rsidP="00282220">
                      <w:pPr>
                        <w:pStyle w:val="Style2"/>
                        <w:ind w:left="360" w:firstLine="348"/>
                        <w:rPr>
                          <w:bCs/>
                          <w:color w:val="104D54"/>
                          <w:sz w:val="28"/>
                          <w:szCs w:val="28"/>
                        </w:rPr>
                      </w:pPr>
                      <w:bookmarkStart w:id="31" w:name="_Toc176878234"/>
                      <w:bookmarkStart w:id="32" w:name="_Toc176879258"/>
                      <w:r>
                        <w:rPr>
                          <w:color w:val="104D54"/>
                          <w:sz w:val="28"/>
                        </w:rPr>
                        <w:t>de empresas de consultoria técnica</w:t>
                      </w:r>
                      <w:bookmarkEnd w:id="31"/>
                      <w:bookmarkEnd w:id="32"/>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Uma iniciativa de: </w:t>
                            </w:r>
                            <w:r>
                              <w:rPr>
                                <w:rFonts w:ascii="Arial" w:hAnsi="Arial"/>
                                <w:b/>
                                <w:color w:val="104D54"/>
                              </w:rPr>
                              <w:t xml:space="preserve">RVO e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Versão: 0.99 (projeto)</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Autores: Michiel Mensink e Marcello Passaro, </w:t>
                            </w:r>
                            <w:r>
                              <w:rPr>
                                <w:rFonts w:ascii="Arial" w:hAnsi="Arial"/>
                                <w:color w:val="104D54"/>
                              </w:rPr>
                              <w:br/>
                              <w:t>com direitos de autor atribuídos ao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Data de publicação: 5 de setembro de 2023</w:t>
                            </w:r>
                          </w:p>
                          <w:p w14:paraId="7696FCCA" w14:textId="77777777" w:rsidR="006E1674" w:rsidRPr="00317D9E" w:rsidRDefault="006E1674" w:rsidP="006E1674">
                            <w:pPr>
                              <w:rPr>
                                <w:rFonts w:ascii="Arial" w:hAnsi="Arial" w:cs="Arial"/>
                                <w:b/>
                                <w:bCs/>
                                <w:color w:val="104D54"/>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Uma iniciativa de: </w:t>
                      </w:r>
                      <w:r>
                        <w:rPr>
                          <w:rFonts w:ascii="Arial" w:hAnsi="Arial"/>
                          <w:b/>
                          <w:color w:val="104D54"/>
                        </w:rPr>
                        <w:t xml:space="preserve">RVO e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Versão: 0.99 (projeto)</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Autores: Michiel Mensink e Marcello Passaro, </w:t>
                      </w:r>
                      <w:r>
                        <w:rPr>
                          <w:rFonts w:ascii="Arial" w:hAnsi="Arial"/>
                          <w:color w:val="104D54"/>
                        </w:rPr>
                        <w:br/>
                        <w:t>com direitos de autor atribuídos ao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Data de publicação: 5 de setembro de 2023</w:t>
                      </w:r>
                    </w:p>
                    <w:p w14:paraId="7696FCCA" w14:textId="77777777" w:rsidR="006E1674" w:rsidRPr="00317D9E" w:rsidRDefault="006E1674" w:rsidP="006E1674">
                      <w:pPr>
                        <w:rPr>
                          <w:rFonts w:ascii="Arial" w:hAnsi="Arial" w:cs="Arial"/>
                          <w:b/>
                          <w:bCs/>
                          <w:color w:val="104D54"/>
                          <w:sz w:val="32"/>
                          <w:szCs w:val="32"/>
                        </w:rPr>
                      </w:pPr>
                    </w:p>
                  </w:txbxContent>
                </v:textbox>
                <w10:wrap anchorx="margin" anchory="page"/>
                <w10:anchorlock/>
              </v:shape>
            </w:pict>
          </mc:Fallback>
        </mc:AlternateContent>
      </w:r>
      <w:r>
        <w:br w:type="page"/>
      </w:r>
    </w:p>
    <w:p w14:paraId="47F55D33" w14:textId="77777777" w:rsidR="00845A98" w:rsidRPr="00681554" w:rsidRDefault="0029348A" w:rsidP="009548F1">
      <w:pPr>
        <w:pStyle w:val="MH1"/>
      </w:pPr>
      <w:bookmarkStart w:id="33" w:name="_Toc180577237"/>
      <w:r w:rsidRPr="00681554">
        <w:lastRenderedPageBreak/>
        <w:t>Índice</w:t>
      </w:r>
      <w:bookmarkEnd w:id="33"/>
    </w:p>
    <w:p w14:paraId="053C2B11" w14:textId="77777777" w:rsidR="00845A98" w:rsidRPr="00681554" w:rsidRDefault="00845A98" w:rsidP="00A3595E"/>
    <w:p w14:paraId="2A4ACC5A" w14:textId="39002F3F" w:rsidR="00A77B5C" w:rsidRDefault="009548F1">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\h \z \t "MH1,1,MH2,2,MH3,3" </w:instrText>
      </w:r>
      <w:r>
        <w:rPr>
          <w:rFonts w:cs="Arial"/>
        </w:rPr>
        <w:fldChar w:fldCharType="separate"/>
      </w:r>
      <w:hyperlink w:anchor="_Toc180577237" w:history="1">
        <w:r w:rsidR="00A77B5C" w:rsidRPr="009C297A">
          <w:rPr>
            <w:rStyle w:val="Hyperlink"/>
            <w:noProof/>
          </w:rPr>
          <w:t>Índice</w:t>
        </w:r>
        <w:r w:rsidR="00A77B5C">
          <w:rPr>
            <w:noProof/>
            <w:webHidden/>
          </w:rPr>
          <w:tab/>
        </w:r>
        <w:r w:rsidR="00A77B5C">
          <w:rPr>
            <w:noProof/>
            <w:webHidden/>
          </w:rPr>
          <w:fldChar w:fldCharType="begin"/>
        </w:r>
        <w:r w:rsidR="00A77B5C">
          <w:rPr>
            <w:noProof/>
            <w:webHidden/>
          </w:rPr>
          <w:instrText xml:space="preserve"> PAGEREF _Toc180577237 \h </w:instrText>
        </w:r>
        <w:r w:rsidR="00A77B5C">
          <w:rPr>
            <w:noProof/>
            <w:webHidden/>
          </w:rPr>
        </w:r>
        <w:r w:rsidR="00A77B5C">
          <w:rPr>
            <w:noProof/>
            <w:webHidden/>
          </w:rPr>
          <w:fldChar w:fldCharType="separate"/>
        </w:r>
        <w:r w:rsidR="00A77B5C">
          <w:rPr>
            <w:noProof/>
            <w:webHidden/>
          </w:rPr>
          <w:t>1</w:t>
        </w:r>
        <w:r w:rsidR="00A77B5C">
          <w:rPr>
            <w:noProof/>
            <w:webHidden/>
          </w:rPr>
          <w:fldChar w:fldCharType="end"/>
        </w:r>
      </w:hyperlink>
    </w:p>
    <w:p w14:paraId="128E5FE1" w14:textId="4409D560"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38" w:history="1">
        <w:r w:rsidRPr="009C297A">
          <w:rPr>
            <w:rStyle w:val="Hyperlink"/>
            <w:noProof/>
          </w:rPr>
          <w:t>Objective of and background  to this guide</w:t>
        </w:r>
        <w:r>
          <w:rPr>
            <w:noProof/>
            <w:webHidden/>
          </w:rPr>
          <w:tab/>
        </w:r>
        <w:r>
          <w:rPr>
            <w:noProof/>
            <w:webHidden/>
          </w:rPr>
          <w:fldChar w:fldCharType="begin"/>
        </w:r>
        <w:r>
          <w:rPr>
            <w:noProof/>
            <w:webHidden/>
          </w:rPr>
          <w:instrText xml:space="preserve"> PAGEREF _Toc180577238 \h </w:instrText>
        </w:r>
        <w:r>
          <w:rPr>
            <w:noProof/>
            <w:webHidden/>
          </w:rPr>
        </w:r>
        <w:r>
          <w:rPr>
            <w:noProof/>
            <w:webHidden/>
          </w:rPr>
          <w:fldChar w:fldCharType="separate"/>
        </w:r>
        <w:r>
          <w:rPr>
            <w:noProof/>
            <w:webHidden/>
          </w:rPr>
          <w:t>3</w:t>
        </w:r>
        <w:r>
          <w:rPr>
            <w:noProof/>
            <w:webHidden/>
          </w:rPr>
          <w:fldChar w:fldCharType="end"/>
        </w:r>
      </w:hyperlink>
    </w:p>
    <w:p w14:paraId="7B0103A4" w14:textId="1F65CCDB"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39" w:history="1">
        <w:r w:rsidRPr="009C297A">
          <w:rPr>
            <w:rStyle w:val="Hyperlink"/>
            <w:noProof/>
          </w:rPr>
          <w:t>Why</w:t>
        </w:r>
        <w:r>
          <w:rPr>
            <w:noProof/>
            <w:webHidden/>
          </w:rPr>
          <w:tab/>
        </w:r>
        <w:r>
          <w:rPr>
            <w:noProof/>
            <w:webHidden/>
          </w:rPr>
          <w:fldChar w:fldCharType="begin"/>
        </w:r>
        <w:r>
          <w:rPr>
            <w:noProof/>
            <w:webHidden/>
          </w:rPr>
          <w:instrText xml:space="preserve"> PAGEREF _Toc180577239 \h </w:instrText>
        </w:r>
        <w:r>
          <w:rPr>
            <w:noProof/>
            <w:webHidden/>
          </w:rPr>
        </w:r>
        <w:r>
          <w:rPr>
            <w:noProof/>
            <w:webHidden/>
          </w:rPr>
          <w:fldChar w:fldCharType="separate"/>
        </w:r>
        <w:r>
          <w:rPr>
            <w:noProof/>
            <w:webHidden/>
          </w:rPr>
          <w:t>3</w:t>
        </w:r>
        <w:r>
          <w:rPr>
            <w:noProof/>
            <w:webHidden/>
          </w:rPr>
          <w:fldChar w:fldCharType="end"/>
        </w:r>
      </w:hyperlink>
    </w:p>
    <w:p w14:paraId="70F5A0AA" w14:textId="0C2DDE64"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40" w:history="1">
        <w:r w:rsidRPr="009C297A">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_Toc180577240 \h </w:instrText>
        </w:r>
        <w:r>
          <w:rPr>
            <w:noProof/>
            <w:webHidden/>
          </w:rPr>
        </w:r>
        <w:r>
          <w:rPr>
            <w:noProof/>
            <w:webHidden/>
          </w:rPr>
          <w:fldChar w:fldCharType="separate"/>
        </w:r>
        <w:r>
          <w:rPr>
            <w:noProof/>
            <w:webHidden/>
          </w:rPr>
          <w:t>3</w:t>
        </w:r>
        <w:r>
          <w:rPr>
            <w:noProof/>
            <w:webHidden/>
          </w:rPr>
          <w:fldChar w:fldCharType="end"/>
        </w:r>
      </w:hyperlink>
    </w:p>
    <w:p w14:paraId="1A217DCA" w14:textId="30AB82C3"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41" w:history="1">
        <w:r w:rsidRPr="009C297A">
          <w:rPr>
            <w:rStyle w:val="Hyperlink"/>
            <w:noProof/>
          </w:rPr>
          <w:t>Responsibility</w:t>
        </w:r>
        <w:r>
          <w:rPr>
            <w:noProof/>
            <w:webHidden/>
          </w:rPr>
          <w:tab/>
        </w:r>
        <w:r>
          <w:rPr>
            <w:noProof/>
            <w:webHidden/>
          </w:rPr>
          <w:fldChar w:fldCharType="begin"/>
        </w:r>
        <w:r>
          <w:rPr>
            <w:noProof/>
            <w:webHidden/>
          </w:rPr>
          <w:instrText xml:space="preserve"> PAGEREF _Toc180577241 \h </w:instrText>
        </w:r>
        <w:r>
          <w:rPr>
            <w:noProof/>
            <w:webHidden/>
          </w:rPr>
        </w:r>
        <w:r>
          <w:rPr>
            <w:noProof/>
            <w:webHidden/>
          </w:rPr>
          <w:fldChar w:fldCharType="separate"/>
        </w:r>
        <w:r>
          <w:rPr>
            <w:noProof/>
            <w:webHidden/>
          </w:rPr>
          <w:t>4</w:t>
        </w:r>
        <w:r>
          <w:rPr>
            <w:noProof/>
            <w:webHidden/>
          </w:rPr>
          <w:fldChar w:fldCharType="end"/>
        </w:r>
      </w:hyperlink>
    </w:p>
    <w:p w14:paraId="11E374BE" w14:textId="4A52D823"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42" w:history="1">
        <w:r w:rsidRPr="009C297A">
          <w:rPr>
            <w:rStyle w:val="Hyperlink"/>
            <w:noProof/>
          </w:rPr>
          <w:t>Disclaimer</w:t>
        </w:r>
        <w:r>
          <w:rPr>
            <w:noProof/>
            <w:webHidden/>
          </w:rPr>
          <w:tab/>
        </w:r>
        <w:r>
          <w:rPr>
            <w:noProof/>
            <w:webHidden/>
          </w:rPr>
          <w:fldChar w:fldCharType="begin"/>
        </w:r>
        <w:r>
          <w:rPr>
            <w:noProof/>
            <w:webHidden/>
          </w:rPr>
          <w:instrText xml:space="preserve"> PAGEREF _Toc180577242 \h </w:instrText>
        </w:r>
        <w:r>
          <w:rPr>
            <w:noProof/>
            <w:webHidden/>
          </w:rPr>
        </w:r>
        <w:r>
          <w:rPr>
            <w:noProof/>
            <w:webHidden/>
          </w:rPr>
          <w:fldChar w:fldCharType="separate"/>
        </w:r>
        <w:r>
          <w:rPr>
            <w:noProof/>
            <w:webHidden/>
          </w:rPr>
          <w:t>4</w:t>
        </w:r>
        <w:r>
          <w:rPr>
            <w:noProof/>
            <w:webHidden/>
          </w:rPr>
          <w:fldChar w:fldCharType="end"/>
        </w:r>
      </w:hyperlink>
    </w:p>
    <w:p w14:paraId="5E026601" w14:textId="5502409A"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43" w:history="1">
        <w:r w:rsidRPr="009C297A">
          <w:rPr>
            <w:rStyle w:val="Hyperlink"/>
            <w:noProof/>
          </w:rPr>
          <w:t>Introdução</w:t>
        </w:r>
        <w:r>
          <w:rPr>
            <w:noProof/>
            <w:webHidden/>
          </w:rPr>
          <w:tab/>
        </w:r>
        <w:r>
          <w:rPr>
            <w:noProof/>
            <w:webHidden/>
          </w:rPr>
          <w:fldChar w:fldCharType="begin"/>
        </w:r>
        <w:r>
          <w:rPr>
            <w:noProof/>
            <w:webHidden/>
          </w:rPr>
          <w:instrText xml:space="preserve"> PAGEREF _Toc180577243 \h </w:instrText>
        </w:r>
        <w:r>
          <w:rPr>
            <w:noProof/>
            <w:webHidden/>
          </w:rPr>
        </w:r>
        <w:r>
          <w:rPr>
            <w:noProof/>
            <w:webHidden/>
          </w:rPr>
          <w:fldChar w:fldCharType="separate"/>
        </w:r>
        <w:r>
          <w:rPr>
            <w:noProof/>
            <w:webHidden/>
          </w:rPr>
          <w:t>5</w:t>
        </w:r>
        <w:r>
          <w:rPr>
            <w:noProof/>
            <w:webHidden/>
          </w:rPr>
          <w:fldChar w:fldCharType="end"/>
        </w:r>
      </w:hyperlink>
    </w:p>
    <w:p w14:paraId="1D100B0F" w14:textId="539C9ED2"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44" w:history="1">
        <w:r w:rsidRPr="009C297A">
          <w:rPr>
            <w:rStyle w:val="Hyperlink"/>
            <w:noProof/>
          </w:rPr>
          <w:t>O estudo preliminar</w:t>
        </w:r>
        <w:r>
          <w:rPr>
            <w:noProof/>
            <w:webHidden/>
          </w:rPr>
          <w:tab/>
        </w:r>
        <w:r>
          <w:rPr>
            <w:noProof/>
            <w:webHidden/>
          </w:rPr>
          <w:fldChar w:fldCharType="begin"/>
        </w:r>
        <w:r>
          <w:rPr>
            <w:noProof/>
            <w:webHidden/>
          </w:rPr>
          <w:instrText xml:space="preserve"> PAGEREF _Toc180577244 \h </w:instrText>
        </w:r>
        <w:r>
          <w:rPr>
            <w:noProof/>
            <w:webHidden/>
          </w:rPr>
        </w:r>
        <w:r>
          <w:rPr>
            <w:noProof/>
            <w:webHidden/>
          </w:rPr>
          <w:fldChar w:fldCharType="separate"/>
        </w:r>
        <w:r>
          <w:rPr>
            <w:noProof/>
            <w:webHidden/>
          </w:rPr>
          <w:t>6</w:t>
        </w:r>
        <w:r>
          <w:rPr>
            <w:noProof/>
            <w:webHidden/>
          </w:rPr>
          <w:fldChar w:fldCharType="end"/>
        </w:r>
      </w:hyperlink>
    </w:p>
    <w:p w14:paraId="0B84F7FF" w14:textId="673FA343" w:rsidR="00A77B5C" w:rsidRDefault="00A77B5C">
      <w:pPr>
        <w:pStyle w:val="TOC2"/>
        <w:tabs>
          <w:tab w:val="right" w:leader="dot" w:pos="9062"/>
        </w:tabs>
        <w:rPr>
          <w:rFonts w:eastAsiaTheme="minorEastAsia" w:cstheme="minorBidi"/>
          <w:noProof/>
          <w:kern w:val="2"/>
          <w:lang w:val="en-IE" w:eastAsia="en-IE"/>
          <w14:ligatures w14:val="standardContextual"/>
        </w:rPr>
      </w:pPr>
      <w:hyperlink w:anchor="_Toc180577245" w:history="1">
        <w:r w:rsidRPr="009C297A">
          <w:rPr>
            <w:rStyle w:val="Hyperlink"/>
            <w:noProof/>
          </w:rPr>
          <w:t>Etapa 1. Balanço</w:t>
        </w:r>
        <w:r>
          <w:rPr>
            <w:noProof/>
            <w:webHidden/>
          </w:rPr>
          <w:tab/>
        </w:r>
        <w:r>
          <w:rPr>
            <w:noProof/>
            <w:webHidden/>
          </w:rPr>
          <w:fldChar w:fldCharType="begin"/>
        </w:r>
        <w:r>
          <w:rPr>
            <w:noProof/>
            <w:webHidden/>
          </w:rPr>
          <w:instrText xml:space="preserve"> PAGEREF _Toc180577245 \h </w:instrText>
        </w:r>
        <w:r>
          <w:rPr>
            <w:noProof/>
            <w:webHidden/>
          </w:rPr>
        </w:r>
        <w:r>
          <w:rPr>
            <w:noProof/>
            <w:webHidden/>
          </w:rPr>
          <w:fldChar w:fldCharType="separate"/>
        </w:r>
        <w:r>
          <w:rPr>
            <w:noProof/>
            <w:webHidden/>
          </w:rPr>
          <w:t>7</w:t>
        </w:r>
        <w:r>
          <w:rPr>
            <w:noProof/>
            <w:webHidden/>
          </w:rPr>
          <w:fldChar w:fldCharType="end"/>
        </w:r>
      </w:hyperlink>
    </w:p>
    <w:p w14:paraId="072AB84C" w14:textId="3B38F24F"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46" w:history="1">
        <w:r w:rsidRPr="009C297A">
          <w:rPr>
            <w:rStyle w:val="Hyperlink"/>
            <w:noProof/>
          </w:rPr>
          <w:t>1.1 Aspetos gerais</w:t>
        </w:r>
        <w:r>
          <w:rPr>
            <w:noProof/>
            <w:webHidden/>
          </w:rPr>
          <w:tab/>
        </w:r>
        <w:r>
          <w:rPr>
            <w:noProof/>
            <w:webHidden/>
          </w:rPr>
          <w:fldChar w:fldCharType="begin"/>
        </w:r>
        <w:r>
          <w:rPr>
            <w:noProof/>
            <w:webHidden/>
          </w:rPr>
          <w:instrText xml:space="preserve"> PAGEREF _Toc180577246 \h </w:instrText>
        </w:r>
        <w:r>
          <w:rPr>
            <w:noProof/>
            <w:webHidden/>
          </w:rPr>
        </w:r>
        <w:r>
          <w:rPr>
            <w:noProof/>
            <w:webHidden/>
          </w:rPr>
          <w:fldChar w:fldCharType="separate"/>
        </w:r>
        <w:r>
          <w:rPr>
            <w:noProof/>
            <w:webHidden/>
          </w:rPr>
          <w:t>7</w:t>
        </w:r>
        <w:r>
          <w:rPr>
            <w:noProof/>
            <w:webHidden/>
          </w:rPr>
          <w:fldChar w:fldCharType="end"/>
        </w:r>
      </w:hyperlink>
    </w:p>
    <w:p w14:paraId="0CECFA1A" w14:textId="5B2C39A7"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47" w:history="1">
        <w:r w:rsidRPr="009C297A">
          <w:rPr>
            <w:rStyle w:val="Hyperlink"/>
            <w:noProof/>
          </w:rPr>
          <w:t>1.2 Considerações de ordem elétrica</w:t>
        </w:r>
        <w:r>
          <w:rPr>
            <w:noProof/>
            <w:webHidden/>
          </w:rPr>
          <w:tab/>
        </w:r>
        <w:r>
          <w:rPr>
            <w:noProof/>
            <w:webHidden/>
          </w:rPr>
          <w:fldChar w:fldCharType="begin"/>
        </w:r>
        <w:r>
          <w:rPr>
            <w:noProof/>
            <w:webHidden/>
          </w:rPr>
          <w:instrText xml:space="preserve"> PAGEREF _Toc180577247 \h </w:instrText>
        </w:r>
        <w:r>
          <w:rPr>
            <w:noProof/>
            <w:webHidden/>
          </w:rPr>
        </w:r>
        <w:r>
          <w:rPr>
            <w:noProof/>
            <w:webHidden/>
          </w:rPr>
          <w:fldChar w:fldCharType="separate"/>
        </w:r>
        <w:r>
          <w:rPr>
            <w:noProof/>
            <w:webHidden/>
          </w:rPr>
          <w:t>7</w:t>
        </w:r>
        <w:r>
          <w:rPr>
            <w:noProof/>
            <w:webHidden/>
          </w:rPr>
          <w:fldChar w:fldCharType="end"/>
        </w:r>
      </w:hyperlink>
    </w:p>
    <w:p w14:paraId="7A437DA6" w14:textId="5BFC6B16"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48" w:history="1">
        <w:r w:rsidRPr="009C297A">
          <w:rPr>
            <w:rStyle w:val="Hyperlink"/>
            <w:noProof/>
          </w:rPr>
          <w:t>1.3 Fotografias e mapas</w:t>
        </w:r>
        <w:r>
          <w:rPr>
            <w:noProof/>
            <w:webHidden/>
          </w:rPr>
          <w:tab/>
        </w:r>
        <w:r>
          <w:rPr>
            <w:noProof/>
            <w:webHidden/>
          </w:rPr>
          <w:fldChar w:fldCharType="begin"/>
        </w:r>
        <w:r>
          <w:rPr>
            <w:noProof/>
            <w:webHidden/>
          </w:rPr>
          <w:instrText xml:space="preserve"> PAGEREF _Toc180577248 \h </w:instrText>
        </w:r>
        <w:r>
          <w:rPr>
            <w:noProof/>
            <w:webHidden/>
          </w:rPr>
        </w:r>
        <w:r>
          <w:rPr>
            <w:noProof/>
            <w:webHidden/>
          </w:rPr>
          <w:fldChar w:fldCharType="separate"/>
        </w:r>
        <w:r>
          <w:rPr>
            <w:noProof/>
            <w:webHidden/>
          </w:rPr>
          <w:t>7</w:t>
        </w:r>
        <w:r>
          <w:rPr>
            <w:noProof/>
            <w:webHidden/>
          </w:rPr>
          <w:fldChar w:fldCharType="end"/>
        </w:r>
      </w:hyperlink>
    </w:p>
    <w:p w14:paraId="0A385114" w14:textId="45A501C7"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49" w:history="1">
        <w:r w:rsidRPr="009C297A">
          <w:rPr>
            <w:rStyle w:val="Hyperlink"/>
            <w:noProof/>
          </w:rPr>
          <w:t>1.4 Planeamento</w:t>
        </w:r>
        <w:r>
          <w:rPr>
            <w:noProof/>
            <w:webHidden/>
          </w:rPr>
          <w:tab/>
        </w:r>
        <w:r>
          <w:rPr>
            <w:noProof/>
            <w:webHidden/>
          </w:rPr>
          <w:fldChar w:fldCharType="begin"/>
        </w:r>
        <w:r>
          <w:rPr>
            <w:noProof/>
            <w:webHidden/>
          </w:rPr>
          <w:instrText xml:space="preserve"> PAGEREF _Toc180577249 \h </w:instrText>
        </w:r>
        <w:r>
          <w:rPr>
            <w:noProof/>
            <w:webHidden/>
          </w:rPr>
        </w:r>
        <w:r>
          <w:rPr>
            <w:noProof/>
            <w:webHidden/>
          </w:rPr>
          <w:fldChar w:fldCharType="separate"/>
        </w:r>
        <w:r>
          <w:rPr>
            <w:noProof/>
            <w:webHidden/>
          </w:rPr>
          <w:t>7</w:t>
        </w:r>
        <w:r>
          <w:rPr>
            <w:noProof/>
            <w:webHidden/>
          </w:rPr>
          <w:fldChar w:fldCharType="end"/>
        </w:r>
      </w:hyperlink>
    </w:p>
    <w:p w14:paraId="2D8B24D7" w14:textId="705130CE"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50" w:history="1">
        <w:r w:rsidRPr="009C297A">
          <w:rPr>
            <w:rStyle w:val="Hyperlink"/>
            <w:noProof/>
          </w:rPr>
          <w:t>1.5 Carga no telhado</w:t>
        </w:r>
        <w:r>
          <w:rPr>
            <w:noProof/>
            <w:webHidden/>
          </w:rPr>
          <w:tab/>
        </w:r>
        <w:r>
          <w:rPr>
            <w:noProof/>
            <w:webHidden/>
          </w:rPr>
          <w:fldChar w:fldCharType="begin"/>
        </w:r>
        <w:r>
          <w:rPr>
            <w:noProof/>
            <w:webHidden/>
          </w:rPr>
          <w:instrText xml:space="preserve"> PAGEREF _Toc180577250 \h </w:instrText>
        </w:r>
        <w:r>
          <w:rPr>
            <w:noProof/>
            <w:webHidden/>
          </w:rPr>
        </w:r>
        <w:r>
          <w:rPr>
            <w:noProof/>
            <w:webHidden/>
          </w:rPr>
          <w:fldChar w:fldCharType="separate"/>
        </w:r>
        <w:r>
          <w:rPr>
            <w:noProof/>
            <w:webHidden/>
          </w:rPr>
          <w:t>7</w:t>
        </w:r>
        <w:r>
          <w:rPr>
            <w:noProof/>
            <w:webHidden/>
          </w:rPr>
          <w:fldChar w:fldCharType="end"/>
        </w:r>
      </w:hyperlink>
    </w:p>
    <w:p w14:paraId="4E1104E7" w14:textId="72AECFC8" w:rsidR="00A77B5C" w:rsidRDefault="00A77B5C">
      <w:pPr>
        <w:pStyle w:val="TOC2"/>
        <w:tabs>
          <w:tab w:val="right" w:leader="dot" w:pos="9062"/>
        </w:tabs>
        <w:rPr>
          <w:rFonts w:eastAsiaTheme="minorEastAsia" w:cstheme="minorBidi"/>
          <w:noProof/>
          <w:kern w:val="2"/>
          <w:lang w:val="en-IE" w:eastAsia="en-IE"/>
          <w14:ligatures w14:val="standardContextual"/>
        </w:rPr>
      </w:pPr>
      <w:hyperlink w:anchor="_Toc180577251" w:history="1">
        <w:r w:rsidRPr="009C297A">
          <w:rPr>
            <w:rStyle w:val="Hyperlink"/>
            <w:noProof/>
          </w:rPr>
          <w:t>Etapa 2. Engenharia preliminar</w:t>
        </w:r>
        <w:r>
          <w:rPr>
            <w:noProof/>
            <w:webHidden/>
          </w:rPr>
          <w:tab/>
        </w:r>
        <w:r>
          <w:rPr>
            <w:noProof/>
            <w:webHidden/>
          </w:rPr>
          <w:fldChar w:fldCharType="begin"/>
        </w:r>
        <w:r>
          <w:rPr>
            <w:noProof/>
            <w:webHidden/>
          </w:rPr>
          <w:instrText xml:space="preserve"> PAGEREF _Toc180577251 \h </w:instrText>
        </w:r>
        <w:r>
          <w:rPr>
            <w:noProof/>
            <w:webHidden/>
          </w:rPr>
        </w:r>
        <w:r>
          <w:rPr>
            <w:noProof/>
            <w:webHidden/>
          </w:rPr>
          <w:fldChar w:fldCharType="separate"/>
        </w:r>
        <w:r>
          <w:rPr>
            <w:noProof/>
            <w:webHidden/>
          </w:rPr>
          <w:t>8</w:t>
        </w:r>
        <w:r>
          <w:rPr>
            <w:noProof/>
            <w:webHidden/>
          </w:rPr>
          <w:fldChar w:fldCharType="end"/>
        </w:r>
      </w:hyperlink>
    </w:p>
    <w:p w14:paraId="7DF5DF9D" w14:textId="0BCFD5C5"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52" w:history="1">
        <w:r w:rsidRPr="009C297A">
          <w:rPr>
            <w:rStyle w:val="Hyperlink"/>
            <w:noProof/>
          </w:rPr>
          <w:t>2.1 Determinar o número máximo de painéis solares e a produção máxima de energia</w:t>
        </w:r>
        <w:r>
          <w:rPr>
            <w:noProof/>
            <w:webHidden/>
          </w:rPr>
          <w:tab/>
        </w:r>
        <w:r>
          <w:rPr>
            <w:noProof/>
            <w:webHidden/>
          </w:rPr>
          <w:fldChar w:fldCharType="begin"/>
        </w:r>
        <w:r>
          <w:rPr>
            <w:noProof/>
            <w:webHidden/>
          </w:rPr>
          <w:instrText xml:space="preserve"> PAGEREF _Toc180577252 \h </w:instrText>
        </w:r>
        <w:r>
          <w:rPr>
            <w:noProof/>
            <w:webHidden/>
          </w:rPr>
        </w:r>
        <w:r>
          <w:rPr>
            <w:noProof/>
            <w:webHidden/>
          </w:rPr>
          <w:fldChar w:fldCharType="separate"/>
        </w:r>
        <w:r>
          <w:rPr>
            <w:noProof/>
            <w:webHidden/>
          </w:rPr>
          <w:t>8</w:t>
        </w:r>
        <w:r>
          <w:rPr>
            <w:noProof/>
            <w:webHidden/>
          </w:rPr>
          <w:fldChar w:fldCharType="end"/>
        </w:r>
      </w:hyperlink>
    </w:p>
    <w:p w14:paraId="5C909819" w14:textId="079EF49C"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53" w:history="1">
        <w:r w:rsidRPr="009C297A">
          <w:rPr>
            <w:rStyle w:val="Hyperlink"/>
            <w:noProof/>
          </w:rPr>
          <w:t>2.2 Esboçar as linhas gerais do estudo de justificação económica</w:t>
        </w:r>
        <w:r>
          <w:rPr>
            <w:noProof/>
            <w:webHidden/>
          </w:rPr>
          <w:tab/>
        </w:r>
        <w:r>
          <w:rPr>
            <w:noProof/>
            <w:webHidden/>
          </w:rPr>
          <w:fldChar w:fldCharType="begin"/>
        </w:r>
        <w:r>
          <w:rPr>
            <w:noProof/>
            <w:webHidden/>
          </w:rPr>
          <w:instrText xml:space="preserve"> PAGEREF _Toc180577253 \h </w:instrText>
        </w:r>
        <w:r>
          <w:rPr>
            <w:noProof/>
            <w:webHidden/>
          </w:rPr>
        </w:r>
        <w:r>
          <w:rPr>
            <w:noProof/>
            <w:webHidden/>
          </w:rPr>
          <w:fldChar w:fldCharType="separate"/>
        </w:r>
        <w:r>
          <w:rPr>
            <w:noProof/>
            <w:webHidden/>
          </w:rPr>
          <w:t>8</w:t>
        </w:r>
        <w:r>
          <w:rPr>
            <w:noProof/>
            <w:webHidden/>
          </w:rPr>
          <w:fldChar w:fldCharType="end"/>
        </w:r>
      </w:hyperlink>
    </w:p>
    <w:p w14:paraId="3227DFE8" w14:textId="08BEC237"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54" w:history="1">
        <w:r w:rsidRPr="009C297A">
          <w:rPr>
            <w:rStyle w:val="Hyperlink"/>
            <w:noProof/>
          </w:rPr>
          <w:t>2.3 Determinar a estimativa da produção de energia, os custos do projeto e o número de painéis solares</w:t>
        </w:r>
        <w:r>
          <w:rPr>
            <w:noProof/>
            <w:webHidden/>
          </w:rPr>
          <w:tab/>
        </w:r>
        <w:r>
          <w:rPr>
            <w:noProof/>
            <w:webHidden/>
          </w:rPr>
          <w:fldChar w:fldCharType="begin"/>
        </w:r>
        <w:r>
          <w:rPr>
            <w:noProof/>
            <w:webHidden/>
          </w:rPr>
          <w:instrText xml:space="preserve"> PAGEREF _Toc180577254 \h </w:instrText>
        </w:r>
        <w:r>
          <w:rPr>
            <w:noProof/>
            <w:webHidden/>
          </w:rPr>
        </w:r>
        <w:r>
          <w:rPr>
            <w:noProof/>
            <w:webHidden/>
          </w:rPr>
          <w:fldChar w:fldCharType="separate"/>
        </w:r>
        <w:r>
          <w:rPr>
            <w:noProof/>
            <w:webHidden/>
          </w:rPr>
          <w:t>9</w:t>
        </w:r>
        <w:r>
          <w:rPr>
            <w:noProof/>
            <w:webHidden/>
          </w:rPr>
          <w:fldChar w:fldCharType="end"/>
        </w:r>
      </w:hyperlink>
    </w:p>
    <w:p w14:paraId="3EC5A58B" w14:textId="0664B6A2"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55" w:history="1">
        <w:r w:rsidRPr="009C297A">
          <w:rPr>
            <w:rStyle w:val="Hyperlink"/>
            <w:noProof/>
          </w:rPr>
          <w:t>2.4 Facultativo</w:t>
        </w:r>
        <w:r>
          <w:rPr>
            <w:noProof/>
            <w:webHidden/>
          </w:rPr>
          <w:tab/>
        </w:r>
        <w:r>
          <w:rPr>
            <w:noProof/>
            <w:webHidden/>
          </w:rPr>
          <w:fldChar w:fldCharType="begin"/>
        </w:r>
        <w:r>
          <w:rPr>
            <w:noProof/>
            <w:webHidden/>
          </w:rPr>
          <w:instrText xml:space="preserve"> PAGEREF _Toc180577255 \h </w:instrText>
        </w:r>
        <w:r>
          <w:rPr>
            <w:noProof/>
            <w:webHidden/>
          </w:rPr>
        </w:r>
        <w:r>
          <w:rPr>
            <w:noProof/>
            <w:webHidden/>
          </w:rPr>
          <w:fldChar w:fldCharType="separate"/>
        </w:r>
        <w:r>
          <w:rPr>
            <w:noProof/>
            <w:webHidden/>
          </w:rPr>
          <w:t>9</w:t>
        </w:r>
        <w:r>
          <w:rPr>
            <w:noProof/>
            <w:webHidden/>
          </w:rPr>
          <w:fldChar w:fldCharType="end"/>
        </w:r>
      </w:hyperlink>
    </w:p>
    <w:p w14:paraId="3F6C8C4E" w14:textId="6ACB7302" w:rsidR="00A77B5C" w:rsidRDefault="00A77B5C">
      <w:pPr>
        <w:pStyle w:val="TOC2"/>
        <w:tabs>
          <w:tab w:val="right" w:leader="dot" w:pos="9062"/>
        </w:tabs>
        <w:rPr>
          <w:rFonts w:eastAsiaTheme="minorEastAsia" w:cstheme="minorBidi"/>
          <w:noProof/>
          <w:kern w:val="2"/>
          <w:lang w:val="en-IE" w:eastAsia="en-IE"/>
          <w14:ligatures w14:val="standardContextual"/>
        </w:rPr>
      </w:pPr>
      <w:hyperlink w:anchor="_Toc180577256" w:history="1">
        <w:r w:rsidRPr="009C297A">
          <w:rPr>
            <w:rStyle w:val="Hyperlink"/>
            <w:noProof/>
          </w:rPr>
          <w:t>Etapa 3. Propriedade e lançamento de um  concurso público</w:t>
        </w:r>
        <w:r>
          <w:rPr>
            <w:noProof/>
            <w:webHidden/>
          </w:rPr>
          <w:tab/>
        </w:r>
        <w:r>
          <w:rPr>
            <w:noProof/>
            <w:webHidden/>
          </w:rPr>
          <w:fldChar w:fldCharType="begin"/>
        </w:r>
        <w:r>
          <w:rPr>
            <w:noProof/>
            <w:webHidden/>
          </w:rPr>
          <w:instrText xml:space="preserve"> PAGEREF _Toc180577256 \h </w:instrText>
        </w:r>
        <w:r>
          <w:rPr>
            <w:noProof/>
            <w:webHidden/>
          </w:rPr>
        </w:r>
        <w:r>
          <w:rPr>
            <w:noProof/>
            <w:webHidden/>
          </w:rPr>
          <w:fldChar w:fldCharType="separate"/>
        </w:r>
        <w:r>
          <w:rPr>
            <w:noProof/>
            <w:webHidden/>
          </w:rPr>
          <w:t>9</w:t>
        </w:r>
        <w:r>
          <w:rPr>
            <w:noProof/>
            <w:webHidden/>
          </w:rPr>
          <w:fldChar w:fldCharType="end"/>
        </w:r>
      </w:hyperlink>
    </w:p>
    <w:p w14:paraId="424F58C3" w14:textId="461C7C9E"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57" w:history="1">
        <w:r w:rsidRPr="009C297A">
          <w:rPr>
            <w:rStyle w:val="Hyperlink"/>
            <w:noProof/>
          </w:rPr>
          <w:t>3.1 Proprietário ou arrendatário?</w:t>
        </w:r>
        <w:r>
          <w:rPr>
            <w:noProof/>
            <w:webHidden/>
          </w:rPr>
          <w:tab/>
        </w:r>
        <w:r>
          <w:rPr>
            <w:noProof/>
            <w:webHidden/>
          </w:rPr>
          <w:fldChar w:fldCharType="begin"/>
        </w:r>
        <w:r>
          <w:rPr>
            <w:noProof/>
            <w:webHidden/>
          </w:rPr>
          <w:instrText xml:space="preserve"> PAGEREF _Toc180577257 \h </w:instrText>
        </w:r>
        <w:r>
          <w:rPr>
            <w:noProof/>
            <w:webHidden/>
          </w:rPr>
        </w:r>
        <w:r>
          <w:rPr>
            <w:noProof/>
            <w:webHidden/>
          </w:rPr>
          <w:fldChar w:fldCharType="separate"/>
        </w:r>
        <w:r>
          <w:rPr>
            <w:noProof/>
            <w:webHidden/>
          </w:rPr>
          <w:t>9</w:t>
        </w:r>
        <w:r>
          <w:rPr>
            <w:noProof/>
            <w:webHidden/>
          </w:rPr>
          <w:fldChar w:fldCharType="end"/>
        </w:r>
      </w:hyperlink>
    </w:p>
    <w:p w14:paraId="790D152A" w14:textId="0E3F172D"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58" w:history="1">
        <w:r w:rsidRPr="009C297A">
          <w:rPr>
            <w:rStyle w:val="Hyperlink"/>
            <w:noProof/>
          </w:rPr>
          <w:t>3.2 Para as organizações públicas: contratos públicos ou ajuste direto?</w:t>
        </w:r>
        <w:r>
          <w:rPr>
            <w:noProof/>
            <w:webHidden/>
          </w:rPr>
          <w:tab/>
        </w:r>
        <w:r>
          <w:rPr>
            <w:noProof/>
            <w:webHidden/>
          </w:rPr>
          <w:fldChar w:fldCharType="begin"/>
        </w:r>
        <w:r>
          <w:rPr>
            <w:noProof/>
            <w:webHidden/>
          </w:rPr>
          <w:instrText xml:space="preserve"> PAGEREF _Toc180577258 \h </w:instrText>
        </w:r>
        <w:r>
          <w:rPr>
            <w:noProof/>
            <w:webHidden/>
          </w:rPr>
        </w:r>
        <w:r>
          <w:rPr>
            <w:noProof/>
            <w:webHidden/>
          </w:rPr>
          <w:fldChar w:fldCharType="separate"/>
        </w:r>
        <w:r>
          <w:rPr>
            <w:noProof/>
            <w:webHidden/>
          </w:rPr>
          <w:t>10</w:t>
        </w:r>
        <w:r>
          <w:rPr>
            <w:noProof/>
            <w:webHidden/>
          </w:rPr>
          <w:fldChar w:fldCharType="end"/>
        </w:r>
      </w:hyperlink>
    </w:p>
    <w:p w14:paraId="05F1F4C8" w14:textId="58F8BA6D" w:rsidR="00A77B5C" w:rsidRDefault="00A77B5C">
      <w:pPr>
        <w:pStyle w:val="TOC2"/>
        <w:tabs>
          <w:tab w:val="right" w:leader="dot" w:pos="9062"/>
        </w:tabs>
        <w:rPr>
          <w:rFonts w:eastAsiaTheme="minorEastAsia" w:cstheme="minorBidi"/>
          <w:noProof/>
          <w:kern w:val="2"/>
          <w:lang w:val="en-IE" w:eastAsia="en-IE"/>
          <w14:ligatures w14:val="standardContextual"/>
        </w:rPr>
      </w:pPr>
      <w:hyperlink w:anchor="_Toc180577259" w:history="1">
        <w:r w:rsidRPr="009C297A">
          <w:rPr>
            <w:rStyle w:val="Hyperlink"/>
            <w:noProof/>
          </w:rPr>
          <w:t>Etapa 4. Licenças e ligação à rede</w:t>
        </w:r>
        <w:r>
          <w:rPr>
            <w:noProof/>
            <w:webHidden/>
          </w:rPr>
          <w:tab/>
        </w:r>
        <w:r>
          <w:rPr>
            <w:noProof/>
            <w:webHidden/>
          </w:rPr>
          <w:fldChar w:fldCharType="begin"/>
        </w:r>
        <w:r>
          <w:rPr>
            <w:noProof/>
            <w:webHidden/>
          </w:rPr>
          <w:instrText xml:space="preserve"> PAGEREF _Toc180577259 \h </w:instrText>
        </w:r>
        <w:r>
          <w:rPr>
            <w:noProof/>
            <w:webHidden/>
          </w:rPr>
        </w:r>
        <w:r>
          <w:rPr>
            <w:noProof/>
            <w:webHidden/>
          </w:rPr>
          <w:fldChar w:fldCharType="separate"/>
        </w:r>
        <w:r>
          <w:rPr>
            <w:noProof/>
            <w:webHidden/>
          </w:rPr>
          <w:t>12</w:t>
        </w:r>
        <w:r>
          <w:rPr>
            <w:noProof/>
            <w:webHidden/>
          </w:rPr>
          <w:fldChar w:fldCharType="end"/>
        </w:r>
      </w:hyperlink>
    </w:p>
    <w:p w14:paraId="2E484E56" w14:textId="63475924"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60" w:history="1">
        <w:r w:rsidRPr="009C297A">
          <w:rPr>
            <w:rStyle w:val="Hyperlink"/>
            <w:noProof/>
          </w:rPr>
          <w:t>4.1 Licenças</w:t>
        </w:r>
        <w:r>
          <w:rPr>
            <w:noProof/>
            <w:webHidden/>
          </w:rPr>
          <w:tab/>
        </w:r>
        <w:r>
          <w:rPr>
            <w:noProof/>
            <w:webHidden/>
          </w:rPr>
          <w:fldChar w:fldCharType="begin"/>
        </w:r>
        <w:r>
          <w:rPr>
            <w:noProof/>
            <w:webHidden/>
          </w:rPr>
          <w:instrText xml:space="preserve"> PAGEREF _Toc180577260 \h </w:instrText>
        </w:r>
        <w:r>
          <w:rPr>
            <w:noProof/>
            <w:webHidden/>
          </w:rPr>
        </w:r>
        <w:r>
          <w:rPr>
            <w:noProof/>
            <w:webHidden/>
          </w:rPr>
          <w:fldChar w:fldCharType="separate"/>
        </w:r>
        <w:r>
          <w:rPr>
            <w:noProof/>
            <w:webHidden/>
          </w:rPr>
          <w:t>12</w:t>
        </w:r>
        <w:r>
          <w:rPr>
            <w:noProof/>
            <w:webHidden/>
          </w:rPr>
          <w:fldChar w:fldCharType="end"/>
        </w:r>
      </w:hyperlink>
    </w:p>
    <w:p w14:paraId="26F1FD21" w14:textId="3E1F3AFC"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61" w:history="1">
        <w:r w:rsidRPr="009C297A">
          <w:rPr>
            <w:rStyle w:val="Hyperlink"/>
            <w:noProof/>
          </w:rPr>
          <w:t>4.2 Ligação à rede: opções e considerações</w:t>
        </w:r>
        <w:r>
          <w:rPr>
            <w:noProof/>
            <w:webHidden/>
          </w:rPr>
          <w:tab/>
        </w:r>
        <w:r>
          <w:rPr>
            <w:noProof/>
            <w:webHidden/>
          </w:rPr>
          <w:fldChar w:fldCharType="begin"/>
        </w:r>
        <w:r>
          <w:rPr>
            <w:noProof/>
            <w:webHidden/>
          </w:rPr>
          <w:instrText xml:space="preserve"> PAGEREF _Toc180577261 \h </w:instrText>
        </w:r>
        <w:r>
          <w:rPr>
            <w:noProof/>
            <w:webHidden/>
          </w:rPr>
        </w:r>
        <w:r>
          <w:rPr>
            <w:noProof/>
            <w:webHidden/>
          </w:rPr>
          <w:fldChar w:fldCharType="separate"/>
        </w:r>
        <w:r>
          <w:rPr>
            <w:noProof/>
            <w:webHidden/>
          </w:rPr>
          <w:t>13</w:t>
        </w:r>
        <w:r>
          <w:rPr>
            <w:noProof/>
            <w:webHidden/>
          </w:rPr>
          <w:fldChar w:fldCharType="end"/>
        </w:r>
      </w:hyperlink>
    </w:p>
    <w:p w14:paraId="2C88A432" w14:textId="1561AD88" w:rsidR="00A77B5C" w:rsidRDefault="00A77B5C">
      <w:pPr>
        <w:pStyle w:val="TOC2"/>
        <w:tabs>
          <w:tab w:val="right" w:leader="dot" w:pos="9062"/>
        </w:tabs>
        <w:rPr>
          <w:rFonts w:eastAsiaTheme="minorEastAsia" w:cstheme="minorBidi"/>
          <w:noProof/>
          <w:kern w:val="2"/>
          <w:lang w:val="en-IE" w:eastAsia="en-IE"/>
          <w14:ligatures w14:val="standardContextual"/>
        </w:rPr>
      </w:pPr>
      <w:hyperlink w:anchor="_Toc180577262" w:history="1">
        <w:r w:rsidRPr="009C297A">
          <w:rPr>
            <w:rStyle w:val="Hyperlink"/>
            <w:noProof/>
          </w:rPr>
          <w:t>Etapa 5. Volume de negócios, subsídios, financiamento e seguros</w:t>
        </w:r>
        <w:r>
          <w:rPr>
            <w:noProof/>
            <w:webHidden/>
          </w:rPr>
          <w:tab/>
        </w:r>
        <w:r>
          <w:rPr>
            <w:noProof/>
            <w:webHidden/>
          </w:rPr>
          <w:fldChar w:fldCharType="begin"/>
        </w:r>
        <w:r>
          <w:rPr>
            <w:noProof/>
            <w:webHidden/>
          </w:rPr>
          <w:instrText xml:space="preserve"> PAGEREF _Toc180577262 \h </w:instrText>
        </w:r>
        <w:r>
          <w:rPr>
            <w:noProof/>
            <w:webHidden/>
          </w:rPr>
        </w:r>
        <w:r>
          <w:rPr>
            <w:noProof/>
            <w:webHidden/>
          </w:rPr>
          <w:fldChar w:fldCharType="separate"/>
        </w:r>
        <w:r>
          <w:rPr>
            <w:noProof/>
            <w:webHidden/>
          </w:rPr>
          <w:t>14</w:t>
        </w:r>
        <w:r>
          <w:rPr>
            <w:noProof/>
            <w:webHidden/>
          </w:rPr>
          <w:fldChar w:fldCharType="end"/>
        </w:r>
      </w:hyperlink>
    </w:p>
    <w:p w14:paraId="110FD767" w14:textId="5E6AB8E4"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63" w:history="1">
        <w:r w:rsidRPr="009C297A">
          <w:rPr>
            <w:rStyle w:val="Hyperlink"/>
            <w:noProof/>
          </w:rPr>
          <w:t>5.1 Volume de negócios da injeção de energia para montante</w:t>
        </w:r>
        <w:r>
          <w:rPr>
            <w:noProof/>
            <w:webHidden/>
          </w:rPr>
          <w:tab/>
        </w:r>
        <w:r>
          <w:rPr>
            <w:noProof/>
            <w:webHidden/>
          </w:rPr>
          <w:fldChar w:fldCharType="begin"/>
        </w:r>
        <w:r>
          <w:rPr>
            <w:noProof/>
            <w:webHidden/>
          </w:rPr>
          <w:instrText xml:space="preserve"> PAGEREF _Toc180577263 \h </w:instrText>
        </w:r>
        <w:r>
          <w:rPr>
            <w:noProof/>
            <w:webHidden/>
          </w:rPr>
        </w:r>
        <w:r>
          <w:rPr>
            <w:noProof/>
            <w:webHidden/>
          </w:rPr>
          <w:fldChar w:fldCharType="separate"/>
        </w:r>
        <w:r>
          <w:rPr>
            <w:noProof/>
            <w:webHidden/>
          </w:rPr>
          <w:t>15</w:t>
        </w:r>
        <w:r>
          <w:rPr>
            <w:noProof/>
            <w:webHidden/>
          </w:rPr>
          <w:fldChar w:fldCharType="end"/>
        </w:r>
      </w:hyperlink>
    </w:p>
    <w:p w14:paraId="27C7379A" w14:textId="35E41AE8"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64" w:history="1">
        <w:r w:rsidRPr="009C297A">
          <w:rPr>
            <w:rStyle w:val="Hyperlink"/>
            <w:noProof/>
          </w:rPr>
          <w:t>5.1 Subsídios</w:t>
        </w:r>
        <w:r>
          <w:rPr>
            <w:noProof/>
            <w:webHidden/>
          </w:rPr>
          <w:tab/>
        </w:r>
        <w:r>
          <w:rPr>
            <w:noProof/>
            <w:webHidden/>
          </w:rPr>
          <w:fldChar w:fldCharType="begin"/>
        </w:r>
        <w:r>
          <w:rPr>
            <w:noProof/>
            <w:webHidden/>
          </w:rPr>
          <w:instrText xml:space="preserve"> PAGEREF _Toc180577264 \h </w:instrText>
        </w:r>
        <w:r>
          <w:rPr>
            <w:noProof/>
            <w:webHidden/>
          </w:rPr>
        </w:r>
        <w:r>
          <w:rPr>
            <w:noProof/>
            <w:webHidden/>
          </w:rPr>
          <w:fldChar w:fldCharType="separate"/>
        </w:r>
        <w:r>
          <w:rPr>
            <w:noProof/>
            <w:webHidden/>
          </w:rPr>
          <w:t>16</w:t>
        </w:r>
        <w:r>
          <w:rPr>
            <w:noProof/>
            <w:webHidden/>
          </w:rPr>
          <w:fldChar w:fldCharType="end"/>
        </w:r>
      </w:hyperlink>
    </w:p>
    <w:p w14:paraId="20ACD6BB" w14:textId="64CC72FE"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65" w:history="1">
        <w:r w:rsidRPr="009C297A">
          <w:rPr>
            <w:rStyle w:val="Hyperlink"/>
            <w:noProof/>
          </w:rPr>
          <w:t>5.2 Financiamento</w:t>
        </w:r>
        <w:r>
          <w:rPr>
            <w:noProof/>
            <w:webHidden/>
          </w:rPr>
          <w:tab/>
        </w:r>
        <w:r>
          <w:rPr>
            <w:noProof/>
            <w:webHidden/>
          </w:rPr>
          <w:fldChar w:fldCharType="begin"/>
        </w:r>
        <w:r>
          <w:rPr>
            <w:noProof/>
            <w:webHidden/>
          </w:rPr>
          <w:instrText xml:space="preserve"> PAGEREF _Toc180577265 \h </w:instrText>
        </w:r>
        <w:r>
          <w:rPr>
            <w:noProof/>
            <w:webHidden/>
          </w:rPr>
        </w:r>
        <w:r>
          <w:rPr>
            <w:noProof/>
            <w:webHidden/>
          </w:rPr>
          <w:fldChar w:fldCharType="separate"/>
        </w:r>
        <w:r>
          <w:rPr>
            <w:noProof/>
            <w:webHidden/>
          </w:rPr>
          <w:t>16</w:t>
        </w:r>
        <w:r>
          <w:rPr>
            <w:noProof/>
            <w:webHidden/>
          </w:rPr>
          <w:fldChar w:fldCharType="end"/>
        </w:r>
      </w:hyperlink>
    </w:p>
    <w:p w14:paraId="21B677DC" w14:textId="6A447181"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66" w:history="1">
        <w:r w:rsidRPr="009C297A">
          <w:rPr>
            <w:rStyle w:val="Hyperlink"/>
            <w:noProof/>
          </w:rPr>
          <w:t>5.3 Seguros</w:t>
        </w:r>
        <w:r>
          <w:rPr>
            <w:noProof/>
            <w:webHidden/>
          </w:rPr>
          <w:tab/>
        </w:r>
        <w:r>
          <w:rPr>
            <w:noProof/>
            <w:webHidden/>
          </w:rPr>
          <w:fldChar w:fldCharType="begin"/>
        </w:r>
        <w:r>
          <w:rPr>
            <w:noProof/>
            <w:webHidden/>
          </w:rPr>
          <w:instrText xml:space="preserve"> PAGEREF _Toc180577266 \h </w:instrText>
        </w:r>
        <w:r>
          <w:rPr>
            <w:noProof/>
            <w:webHidden/>
          </w:rPr>
        </w:r>
        <w:r>
          <w:rPr>
            <w:noProof/>
            <w:webHidden/>
          </w:rPr>
          <w:fldChar w:fldCharType="separate"/>
        </w:r>
        <w:r>
          <w:rPr>
            <w:noProof/>
            <w:webHidden/>
          </w:rPr>
          <w:t>18</w:t>
        </w:r>
        <w:r>
          <w:rPr>
            <w:noProof/>
            <w:webHidden/>
          </w:rPr>
          <w:fldChar w:fldCharType="end"/>
        </w:r>
      </w:hyperlink>
    </w:p>
    <w:p w14:paraId="7021080A" w14:textId="657F6874" w:rsidR="00A77B5C" w:rsidRDefault="00A77B5C">
      <w:pPr>
        <w:pStyle w:val="TOC2"/>
        <w:tabs>
          <w:tab w:val="right" w:leader="dot" w:pos="9062"/>
        </w:tabs>
        <w:rPr>
          <w:rFonts w:eastAsiaTheme="minorEastAsia" w:cstheme="minorBidi"/>
          <w:noProof/>
          <w:kern w:val="2"/>
          <w:lang w:val="en-IE" w:eastAsia="en-IE"/>
          <w14:ligatures w14:val="standardContextual"/>
        </w:rPr>
      </w:pPr>
      <w:hyperlink w:anchor="_Toc180577267" w:history="1">
        <w:r w:rsidRPr="009C297A">
          <w:rPr>
            <w:rStyle w:val="Hyperlink"/>
            <w:noProof/>
          </w:rPr>
          <w:t>Etapa 6. Aspetos de sustentabilidade</w:t>
        </w:r>
        <w:r>
          <w:rPr>
            <w:noProof/>
            <w:webHidden/>
          </w:rPr>
          <w:tab/>
        </w:r>
        <w:r>
          <w:rPr>
            <w:noProof/>
            <w:webHidden/>
          </w:rPr>
          <w:fldChar w:fldCharType="begin"/>
        </w:r>
        <w:r>
          <w:rPr>
            <w:noProof/>
            <w:webHidden/>
          </w:rPr>
          <w:instrText xml:space="preserve"> PAGEREF _Toc180577267 \h </w:instrText>
        </w:r>
        <w:r>
          <w:rPr>
            <w:noProof/>
            <w:webHidden/>
          </w:rPr>
        </w:r>
        <w:r>
          <w:rPr>
            <w:noProof/>
            <w:webHidden/>
          </w:rPr>
          <w:fldChar w:fldCharType="separate"/>
        </w:r>
        <w:r>
          <w:rPr>
            <w:noProof/>
            <w:webHidden/>
          </w:rPr>
          <w:t>20</w:t>
        </w:r>
        <w:r>
          <w:rPr>
            <w:noProof/>
            <w:webHidden/>
          </w:rPr>
          <w:fldChar w:fldCharType="end"/>
        </w:r>
      </w:hyperlink>
    </w:p>
    <w:p w14:paraId="3E3E4EA9" w14:textId="603F5329"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68" w:history="1">
        <w:r w:rsidRPr="009C297A">
          <w:rPr>
            <w:rStyle w:val="Hyperlink"/>
            <w:noProof/>
          </w:rPr>
          <w:t>6.1 Aspetos de sustentabilidade dos painéis solares</w:t>
        </w:r>
        <w:r>
          <w:rPr>
            <w:noProof/>
            <w:webHidden/>
          </w:rPr>
          <w:tab/>
        </w:r>
        <w:r>
          <w:rPr>
            <w:noProof/>
            <w:webHidden/>
          </w:rPr>
          <w:fldChar w:fldCharType="begin"/>
        </w:r>
        <w:r>
          <w:rPr>
            <w:noProof/>
            <w:webHidden/>
          </w:rPr>
          <w:instrText xml:space="preserve"> PAGEREF _Toc180577268 \h </w:instrText>
        </w:r>
        <w:r>
          <w:rPr>
            <w:noProof/>
            <w:webHidden/>
          </w:rPr>
        </w:r>
        <w:r>
          <w:rPr>
            <w:noProof/>
            <w:webHidden/>
          </w:rPr>
          <w:fldChar w:fldCharType="separate"/>
        </w:r>
        <w:r>
          <w:rPr>
            <w:noProof/>
            <w:webHidden/>
          </w:rPr>
          <w:t>20</w:t>
        </w:r>
        <w:r>
          <w:rPr>
            <w:noProof/>
            <w:webHidden/>
          </w:rPr>
          <w:fldChar w:fldCharType="end"/>
        </w:r>
      </w:hyperlink>
    </w:p>
    <w:p w14:paraId="775C79F0" w14:textId="6BCF0074"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69" w:history="1">
        <w:r w:rsidRPr="009C297A">
          <w:rPr>
            <w:rStyle w:val="Hyperlink"/>
            <w:noProof/>
          </w:rPr>
          <w:t>6.2 Aspetos ambientais dos Sistemas Solares Terrestres e  dos Sistemas Solares Flutuantes</w:t>
        </w:r>
        <w:r>
          <w:rPr>
            <w:noProof/>
            <w:webHidden/>
          </w:rPr>
          <w:tab/>
        </w:r>
        <w:r>
          <w:rPr>
            <w:noProof/>
            <w:webHidden/>
          </w:rPr>
          <w:fldChar w:fldCharType="begin"/>
        </w:r>
        <w:r>
          <w:rPr>
            <w:noProof/>
            <w:webHidden/>
          </w:rPr>
          <w:instrText xml:space="preserve"> PAGEREF _Toc180577269 \h </w:instrText>
        </w:r>
        <w:r>
          <w:rPr>
            <w:noProof/>
            <w:webHidden/>
          </w:rPr>
        </w:r>
        <w:r>
          <w:rPr>
            <w:noProof/>
            <w:webHidden/>
          </w:rPr>
          <w:fldChar w:fldCharType="separate"/>
        </w:r>
        <w:r>
          <w:rPr>
            <w:noProof/>
            <w:webHidden/>
          </w:rPr>
          <w:t>22</w:t>
        </w:r>
        <w:r>
          <w:rPr>
            <w:noProof/>
            <w:webHidden/>
          </w:rPr>
          <w:fldChar w:fldCharType="end"/>
        </w:r>
      </w:hyperlink>
    </w:p>
    <w:p w14:paraId="31BEF682" w14:textId="3F4051FE" w:rsidR="00A77B5C" w:rsidRDefault="00A77B5C">
      <w:pPr>
        <w:pStyle w:val="TOC2"/>
        <w:tabs>
          <w:tab w:val="right" w:leader="dot" w:pos="9062"/>
        </w:tabs>
        <w:rPr>
          <w:rFonts w:eastAsiaTheme="minorEastAsia" w:cstheme="minorBidi"/>
          <w:noProof/>
          <w:kern w:val="2"/>
          <w:lang w:val="en-IE" w:eastAsia="en-IE"/>
          <w14:ligatures w14:val="standardContextual"/>
        </w:rPr>
      </w:pPr>
      <w:hyperlink w:anchor="_Toc180577270" w:history="1">
        <w:r w:rsidRPr="009C297A">
          <w:rPr>
            <w:rStyle w:val="Hyperlink"/>
            <w:noProof/>
          </w:rPr>
          <w:t>Etapa 7. Execução e entrega</w:t>
        </w:r>
        <w:r>
          <w:rPr>
            <w:noProof/>
            <w:webHidden/>
          </w:rPr>
          <w:tab/>
        </w:r>
        <w:r>
          <w:rPr>
            <w:noProof/>
            <w:webHidden/>
          </w:rPr>
          <w:fldChar w:fldCharType="begin"/>
        </w:r>
        <w:r>
          <w:rPr>
            <w:noProof/>
            <w:webHidden/>
          </w:rPr>
          <w:instrText xml:space="preserve"> PAGEREF _Toc180577270 \h </w:instrText>
        </w:r>
        <w:r>
          <w:rPr>
            <w:noProof/>
            <w:webHidden/>
          </w:rPr>
        </w:r>
        <w:r>
          <w:rPr>
            <w:noProof/>
            <w:webHidden/>
          </w:rPr>
          <w:fldChar w:fldCharType="separate"/>
        </w:r>
        <w:r>
          <w:rPr>
            <w:noProof/>
            <w:webHidden/>
          </w:rPr>
          <w:t>22</w:t>
        </w:r>
        <w:r>
          <w:rPr>
            <w:noProof/>
            <w:webHidden/>
          </w:rPr>
          <w:fldChar w:fldCharType="end"/>
        </w:r>
      </w:hyperlink>
    </w:p>
    <w:p w14:paraId="060398B2" w14:textId="0442421B"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71" w:history="1">
        <w:r w:rsidRPr="009C297A">
          <w:rPr>
            <w:rStyle w:val="Hyperlink"/>
            <w:noProof/>
          </w:rPr>
          <w:t>7.1 Prazos</w:t>
        </w:r>
        <w:r>
          <w:rPr>
            <w:noProof/>
            <w:webHidden/>
          </w:rPr>
          <w:tab/>
        </w:r>
        <w:r>
          <w:rPr>
            <w:noProof/>
            <w:webHidden/>
          </w:rPr>
          <w:fldChar w:fldCharType="begin"/>
        </w:r>
        <w:r>
          <w:rPr>
            <w:noProof/>
            <w:webHidden/>
          </w:rPr>
          <w:instrText xml:space="preserve"> PAGEREF _Toc180577271 \h </w:instrText>
        </w:r>
        <w:r>
          <w:rPr>
            <w:noProof/>
            <w:webHidden/>
          </w:rPr>
        </w:r>
        <w:r>
          <w:rPr>
            <w:noProof/>
            <w:webHidden/>
          </w:rPr>
          <w:fldChar w:fldCharType="separate"/>
        </w:r>
        <w:r>
          <w:rPr>
            <w:noProof/>
            <w:webHidden/>
          </w:rPr>
          <w:t>22</w:t>
        </w:r>
        <w:r>
          <w:rPr>
            <w:noProof/>
            <w:webHidden/>
          </w:rPr>
          <w:fldChar w:fldCharType="end"/>
        </w:r>
      </w:hyperlink>
    </w:p>
    <w:p w14:paraId="5305925F" w14:textId="7F8EA791"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72" w:history="1">
        <w:r w:rsidRPr="009C297A">
          <w:rPr>
            <w:rStyle w:val="Hyperlink"/>
            <w:noProof/>
          </w:rPr>
          <w:t>7.2 Inspeções e inspeção final</w:t>
        </w:r>
        <w:r>
          <w:rPr>
            <w:noProof/>
            <w:webHidden/>
          </w:rPr>
          <w:tab/>
        </w:r>
        <w:r>
          <w:rPr>
            <w:noProof/>
            <w:webHidden/>
          </w:rPr>
          <w:fldChar w:fldCharType="begin"/>
        </w:r>
        <w:r>
          <w:rPr>
            <w:noProof/>
            <w:webHidden/>
          </w:rPr>
          <w:instrText xml:space="preserve"> PAGEREF _Toc180577272 \h </w:instrText>
        </w:r>
        <w:r>
          <w:rPr>
            <w:noProof/>
            <w:webHidden/>
          </w:rPr>
        </w:r>
        <w:r>
          <w:rPr>
            <w:noProof/>
            <w:webHidden/>
          </w:rPr>
          <w:fldChar w:fldCharType="separate"/>
        </w:r>
        <w:r>
          <w:rPr>
            <w:noProof/>
            <w:webHidden/>
          </w:rPr>
          <w:t>23</w:t>
        </w:r>
        <w:r>
          <w:rPr>
            <w:noProof/>
            <w:webHidden/>
          </w:rPr>
          <w:fldChar w:fldCharType="end"/>
        </w:r>
      </w:hyperlink>
    </w:p>
    <w:p w14:paraId="17CD18B6" w14:textId="1CF1648E" w:rsidR="00A77B5C" w:rsidRDefault="00A77B5C">
      <w:pPr>
        <w:pStyle w:val="TOC2"/>
        <w:tabs>
          <w:tab w:val="right" w:leader="dot" w:pos="9062"/>
        </w:tabs>
        <w:rPr>
          <w:rFonts w:eastAsiaTheme="minorEastAsia" w:cstheme="minorBidi"/>
          <w:noProof/>
          <w:kern w:val="2"/>
          <w:lang w:val="en-IE" w:eastAsia="en-IE"/>
          <w14:ligatures w14:val="standardContextual"/>
        </w:rPr>
      </w:pPr>
      <w:hyperlink w:anchor="_Toc180577273" w:history="1">
        <w:r w:rsidRPr="009C297A">
          <w:rPr>
            <w:rStyle w:val="Hyperlink"/>
            <w:noProof/>
          </w:rPr>
          <w:t>Etapa 8. Manutenção, monitorização e fim de vida</w:t>
        </w:r>
        <w:r>
          <w:rPr>
            <w:noProof/>
            <w:webHidden/>
          </w:rPr>
          <w:tab/>
        </w:r>
        <w:r>
          <w:rPr>
            <w:noProof/>
            <w:webHidden/>
          </w:rPr>
          <w:fldChar w:fldCharType="begin"/>
        </w:r>
        <w:r>
          <w:rPr>
            <w:noProof/>
            <w:webHidden/>
          </w:rPr>
          <w:instrText xml:space="preserve"> PAGEREF _Toc180577273 \h </w:instrText>
        </w:r>
        <w:r>
          <w:rPr>
            <w:noProof/>
            <w:webHidden/>
          </w:rPr>
        </w:r>
        <w:r>
          <w:rPr>
            <w:noProof/>
            <w:webHidden/>
          </w:rPr>
          <w:fldChar w:fldCharType="separate"/>
        </w:r>
        <w:r>
          <w:rPr>
            <w:noProof/>
            <w:webHidden/>
          </w:rPr>
          <w:t>24</w:t>
        </w:r>
        <w:r>
          <w:rPr>
            <w:noProof/>
            <w:webHidden/>
          </w:rPr>
          <w:fldChar w:fldCharType="end"/>
        </w:r>
      </w:hyperlink>
    </w:p>
    <w:p w14:paraId="3239BB8F" w14:textId="3E0D3D58"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74" w:history="1">
        <w:r w:rsidRPr="009C297A">
          <w:rPr>
            <w:rStyle w:val="Hyperlink"/>
            <w:noProof/>
          </w:rPr>
          <w:t>Abreviaturas e acrónimos</w:t>
        </w:r>
        <w:r>
          <w:rPr>
            <w:noProof/>
            <w:webHidden/>
          </w:rPr>
          <w:tab/>
        </w:r>
        <w:r>
          <w:rPr>
            <w:noProof/>
            <w:webHidden/>
          </w:rPr>
          <w:fldChar w:fldCharType="begin"/>
        </w:r>
        <w:r>
          <w:rPr>
            <w:noProof/>
            <w:webHidden/>
          </w:rPr>
          <w:instrText xml:space="preserve"> PAGEREF _Toc180577274 \h </w:instrText>
        </w:r>
        <w:r>
          <w:rPr>
            <w:noProof/>
            <w:webHidden/>
          </w:rPr>
        </w:r>
        <w:r>
          <w:rPr>
            <w:noProof/>
            <w:webHidden/>
          </w:rPr>
          <w:fldChar w:fldCharType="separate"/>
        </w:r>
        <w:r>
          <w:rPr>
            <w:noProof/>
            <w:webHidden/>
          </w:rPr>
          <w:t>26</w:t>
        </w:r>
        <w:r>
          <w:rPr>
            <w:noProof/>
            <w:webHidden/>
          </w:rPr>
          <w:fldChar w:fldCharType="end"/>
        </w:r>
      </w:hyperlink>
    </w:p>
    <w:p w14:paraId="6BDD34B0" w14:textId="5ACA86C1"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75" w:history="1">
        <w:r w:rsidRPr="009C297A">
          <w:rPr>
            <w:rStyle w:val="Hyperlink"/>
            <w:noProof/>
          </w:rPr>
          <w:t>Anexo 1 – Consultores técnicos</w:t>
        </w:r>
        <w:r>
          <w:rPr>
            <w:noProof/>
            <w:webHidden/>
          </w:rPr>
          <w:tab/>
        </w:r>
        <w:r>
          <w:rPr>
            <w:noProof/>
            <w:webHidden/>
          </w:rPr>
          <w:fldChar w:fldCharType="begin"/>
        </w:r>
        <w:r>
          <w:rPr>
            <w:noProof/>
            <w:webHidden/>
          </w:rPr>
          <w:instrText xml:space="preserve"> PAGEREF _Toc180577275 \h </w:instrText>
        </w:r>
        <w:r>
          <w:rPr>
            <w:noProof/>
            <w:webHidden/>
          </w:rPr>
        </w:r>
        <w:r>
          <w:rPr>
            <w:noProof/>
            <w:webHidden/>
          </w:rPr>
          <w:fldChar w:fldCharType="separate"/>
        </w:r>
        <w:r>
          <w:rPr>
            <w:noProof/>
            <w:webHidden/>
          </w:rPr>
          <w:t>28</w:t>
        </w:r>
        <w:r>
          <w:rPr>
            <w:noProof/>
            <w:webHidden/>
          </w:rPr>
          <w:fldChar w:fldCharType="end"/>
        </w:r>
      </w:hyperlink>
    </w:p>
    <w:p w14:paraId="203B38AE" w14:textId="5A147A36"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76" w:history="1">
        <w:r w:rsidRPr="009C297A">
          <w:rPr>
            <w:rStyle w:val="Hyperlink"/>
            <w:noProof/>
          </w:rPr>
          <w:t>Anexo 2 – Consultores de física dos edifícios, engenheiros de estruturas especializados em carga no telhado</w:t>
        </w:r>
        <w:r>
          <w:rPr>
            <w:noProof/>
            <w:webHidden/>
          </w:rPr>
          <w:tab/>
        </w:r>
        <w:r>
          <w:rPr>
            <w:noProof/>
            <w:webHidden/>
          </w:rPr>
          <w:fldChar w:fldCharType="begin"/>
        </w:r>
        <w:r>
          <w:rPr>
            <w:noProof/>
            <w:webHidden/>
          </w:rPr>
          <w:instrText xml:space="preserve"> PAGEREF _Toc180577276 \h </w:instrText>
        </w:r>
        <w:r>
          <w:rPr>
            <w:noProof/>
            <w:webHidden/>
          </w:rPr>
        </w:r>
        <w:r>
          <w:rPr>
            <w:noProof/>
            <w:webHidden/>
          </w:rPr>
          <w:fldChar w:fldCharType="separate"/>
        </w:r>
        <w:r>
          <w:rPr>
            <w:noProof/>
            <w:webHidden/>
          </w:rPr>
          <w:t>29</w:t>
        </w:r>
        <w:r>
          <w:rPr>
            <w:noProof/>
            <w:webHidden/>
          </w:rPr>
          <w:fldChar w:fldCharType="end"/>
        </w:r>
      </w:hyperlink>
    </w:p>
    <w:p w14:paraId="1AFA1EB0" w14:textId="209C5B59"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77" w:history="1">
        <w:r w:rsidRPr="009C297A">
          <w:rPr>
            <w:rStyle w:val="Hyperlink"/>
            <w:noProof/>
          </w:rPr>
          <w:t>Anexo 3 – Empresas de instalação,  EPC e promotores de projetos  para as empresas fotovoltaicas</w:t>
        </w:r>
        <w:r>
          <w:rPr>
            <w:noProof/>
            <w:webHidden/>
          </w:rPr>
          <w:tab/>
        </w:r>
        <w:r>
          <w:rPr>
            <w:noProof/>
            <w:webHidden/>
          </w:rPr>
          <w:fldChar w:fldCharType="begin"/>
        </w:r>
        <w:r>
          <w:rPr>
            <w:noProof/>
            <w:webHidden/>
          </w:rPr>
          <w:instrText xml:space="preserve"> PAGEREF _Toc180577277 \h </w:instrText>
        </w:r>
        <w:r>
          <w:rPr>
            <w:noProof/>
            <w:webHidden/>
          </w:rPr>
        </w:r>
        <w:r>
          <w:rPr>
            <w:noProof/>
            <w:webHidden/>
          </w:rPr>
          <w:fldChar w:fldCharType="separate"/>
        </w:r>
        <w:r>
          <w:rPr>
            <w:noProof/>
            <w:webHidden/>
          </w:rPr>
          <w:t>30</w:t>
        </w:r>
        <w:r>
          <w:rPr>
            <w:noProof/>
            <w:webHidden/>
          </w:rPr>
          <w:fldChar w:fldCharType="end"/>
        </w:r>
      </w:hyperlink>
    </w:p>
    <w:p w14:paraId="0878179D" w14:textId="1B9B2038"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78" w:history="1">
        <w:r w:rsidRPr="009C297A">
          <w:rPr>
            <w:rStyle w:val="Hyperlink"/>
            <w:noProof/>
          </w:rPr>
          <w:t>Anexo 4 – Consultores e fornecedores especializados em sistemas de gestão da energia, baterias e gestão da procura</w:t>
        </w:r>
        <w:r>
          <w:rPr>
            <w:noProof/>
            <w:webHidden/>
          </w:rPr>
          <w:tab/>
        </w:r>
        <w:r>
          <w:rPr>
            <w:noProof/>
            <w:webHidden/>
          </w:rPr>
          <w:fldChar w:fldCharType="begin"/>
        </w:r>
        <w:r>
          <w:rPr>
            <w:noProof/>
            <w:webHidden/>
          </w:rPr>
          <w:instrText xml:space="preserve"> PAGEREF _Toc180577278 \h </w:instrText>
        </w:r>
        <w:r>
          <w:rPr>
            <w:noProof/>
            <w:webHidden/>
          </w:rPr>
        </w:r>
        <w:r>
          <w:rPr>
            <w:noProof/>
            <w:webHidden/>
          </w:rPr>
          <w:fldChar w:fldCharType="separate"/>
        </w:r>
        <w:r>
          <w:rPr>
            <w:noProof/>
            <w:webHidden/>
          </w:rPr>
          <w:t>32</w:t>
        </w:r>
        <w:r>
          <w:rPr>
            <w:noProof/>
            <w:webHidden/>
          </w:rPr>
          <w:fldChar w:fldCharType="end"/>
        </w:r>
      </w:hyperlink>
    </w:p>
    <w:p w14:paraId="022E9511" w14:textId="758F2AC4"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79" w:history="1">
        <w:r w:rsidRPr="009C297A">
          <w:rPr>
            <w:rStyle w:val="Hyperlink"/>
            <w:noProof/>
          </w:rPr>
          <w:t>Anexo 5 – Financiadores de capital de empréstimo</w:t>
        </w:r>
        <w:r>
          <w:rPr>
            <w:noProof/>
            <w:webHidden/>
          </w:rPr>
          <w:tab/>
        </w:r>
        <w:r>
          <w:rPr>
            <w:noProof/>
            <w:webHidden/>
          </w:rPr>
          <w:fldChar w:fldCharType="begin"/>
        </w:r>
        <w:r>
          <w:rPr>
            <w:noProof/>
            <w:webHidden/>
          </w:rPr>
          <w:instrText xml:space="preserve"> PAGEREF _Toc180577279 \h </w:instrText>
        </w:r>
        <w:r>
          <w:rPr>
            <w:noProof/>
            <w:webHidden/>
          </w:rPr>
        </w:r>
        <w:r>
          <w:rPr>
            <w:noProof/>
            <w:webHidden/>
          </w:rPr>
          <w:fldChar w:fldCharType="separate"/>
        </w:r>
        <w:r>
          <w:rPr>
            <w:noProof/>
            <w:webHidden/>
          </w:rPr>
          <w:t>33</w:t>
        </w:r>
        <w:r>
          <w:rPr>
            <w:noProof/>
            <w:webHidden/>
          </w:rPr>
          <w:fldChar w:fldCharType="end"/>
        </w:r>
      </w:hyperlink>
    </w:p>
    <w:p w14:paraId="50195509" w14:textId="3E4DDA70"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80" w:history="1">
        <w:r w:rsidRPr="009C297A">
          <w:rPr>
            <w:rStyle w:val="Hyperlink"/>
            <w:noProof/>
          </w:rPr>
          <w:t>e de capital próprio</w:t>
        </w:r>
        <w:r>
          <w:rPr>
            <w:noProof/>
            <w:webHidden/>
          </w:rPr>
          <w:tab/>
        </w:r>
        <w:r>
          <w:rPr>
            <w:noProof/>
            <w:webHidden/>
          </w:rPr>
          <w:fldChar w:fldCharType="begin"/>
        </w:r>
        <w:r>
          <w:rPr>
            <w:noProof/>
            <w:webHidden/>
          </w:rPr>
          <w:instrText xml:space="preserve"> PAGEREF _Toc180577280 \h </w:instrText>
        </w:r>
        <w:r>
          <w:rPr>
            <w:noProof/>
            <w:webHidden/>
          </w:rPr>
        </w:r>
        <w:r>
          <w:rPr>
            <w:noProof/>
            <w:webHidden/>
          </w:rPr>
          <w:fldChar w:fldCharType="separate"/>
        </w:r>
        <w:r>
          <w:rPr>
            <w:noProof/>
            <w:webHidden/>
          </w:rPr>
          <w:t>33</w:t>
        </w:r>
        <w:r>
          <w:rPr>
            <w:noProof/>
            <w:webHidden/>
          </w:rPr>
          <w:fldChar w:fldCharType="end"/>
        </w:r>
      </w:hyperlink>
    </w:p>
    <w:p w14:paraId="76E02C62" w14:textId="38D407FC"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81" w:history="1">
        <w:r w:rsidRPr="009C297A">
          <w:rPr>
            <w:rStyle w:val="Hyperlink"/>
            <w:noProof/>
          </w:rPr>
          <w:t>Anexo 6 – Inspeções SCIOS Scope 12</w:t>
        </w:r>
        <w:r>
          <w:rPr>
            <w:noProof/>
            <w:webHidden/>
          </w:rPr>
          <w:tab/>
        </w:r>
        <w:r>
          <w:rPr>
            <w:noProof/>
            <w:webHidden/>
          </w:rPr>
          <w:fldChar w:fldCharType="begin"/>
        </w:r>
        <w:r>
          <w:rPr>
            <w:noProof/>
            <w:webHidden/>
          </w:rPr>
          <w:instrText xml:space="preserve"> PAGEREF _Toc180577281 \h </w:instrText>
        </w:r>
        <w:r>
          <w:rPr>
            <w:noProof/>
            <w:webHidden/>
          </w:rPr>
        </w:r>
        <w:r>
          <w:rPr>
            <w:noProof/>
            <w:webHidden/>
          </w:rPr>
          <w:fldChar w:fldCharType="separate"/>
        </w:r>
        <w:r>
          <w:rPr>
            <w:noProof/>
            <w:webHidden/>
          </w:rPr>
          <w:t>34</w:t>
        </w:r>
        <w:r>
          <w:rPr>
            <w:noProof/>
            <w:webHidden/>
          </w:rPr>
          <w:fldChar w:fldCharType="end"/>
        </w:r>
      </w:hyperlink>
    </w:p>
    <w:p w14:paraId="1113B4F3" w14:textId="56014F2D"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82" w:history="1">
        <w:r w:rsidRPr="009C297A">
          <w:rPr>
            <w:rStyle w:val="Hyperlink"/>
            <w:noProof/>
          </w:rPr>
          <w:t>Anexo 7 – Auditorias a fábricas  e testes por amostragem</w:t>
        </w:r>
        <w:r>
          <w:rPr>
            <w:noProof/>
            <w:webHidden/>
          </w:rPr>
          <w:tab/>
        </w:r>
        <w:r>
          <w:rPr>
            <w:noProof/>
            <w:webHidden/>
          </w:rPr>
          <w:fldChar w:fldCharType="begin"/>
        </w:r>
        <w:r>
          <w:rPr>
            <w:noProof/>
            <w:webHidden/>
          </w:rPr>
          <w:instrText xml:space="preserve"> PAGEREF _Toc180577282 \h </w:instrText>
        </w:r>
        <w:r>
          <w:rPr>
            <w:noProof/>
            <w:webHidden/>
          </w:rPr>
        </w:r>
        <w:r>
          <w:rPr>
            <w:noProof/>
            <w:webHidden/>
          </w:rPr>
          <w:fldChar w:fldCharType="separate"/>
        </w:r>
        <w:r>
          <w:rPr>
            <w:noProof/>
            <w:webHidden/>
          </w:rPr>
          <w:t>35</w:t>
        </w:r>
        <w:r>
          <w:rPr>
            <w:noProof/>
            <w:webHidden/>
          </w:rPr>
          <w:fldChar w:fldCharType="end"/>
        </w:r>
      </w:hyperlink>
    </w:p>
    <w:p w14:paraId="3C117FCE" w14:textId="28FA4468"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83" w:history="1">
        <w:r w:rsidRPr="009C297A">
          <w:rPr>
            <w:rStyle w:val="Hyperlink"/>
            <w:noProof/>
          </w:rPr>
          <w:t>Anexo 8 – Monitorização, manutenção  e reparações</w:t>
        </w:r>
        <w:r>
          <w:rPr>
            <w:noProof/>
            <w:webHidden/>
          </w:rPr>
          <w:tab/>
        </w:r>
        <w:r>
          <w:rPr>
            <w:noProof/>
            <w:webHidden/>
          </w:rPr>
          <w:fldChar w:fldCharType="begin"/>
        </w:r>
        <w:r>
          <w:rPr>
            <w:noProof/>
            <w:webHidden/>
          </w:rPr>
          <w:instrText xml:space="preserve"> PAGEREF _Toc180577283 \h </w:instrText>
        </w:r>
        <w:r>
          <w:rPr>
            <w:noProof/>
            <w:webHidden/>
          </w:rPr>
        </w:r>
        <w:r>
          <w:rPr>
            <w:noProof/>
            <w:webHidden/>
          </w:rPr>
          <w:fldChar w:fldCharType="separate"/>
        </w:r>
        <w:r>
          <w:rPr>
            <w:noProof/>
            <w:webHidden/>
          </w:rPr>
          <w:t>36</w:t>
        </w:r>
        <w:r>
          <w:rPr>
            <w:noProof/>
            <w:webHidden/>
          </w:rPr>
          <w:fldChar w:fldCharType="end"/>
        </w:r>
      </w:hyperlink>
    </w:p>
    <w:p w14:paraId="0660DE27" w14:textId="19D104E1" w:rsidR="00A77B5C" w:rsidRDefault="00A77B5C">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284" w:history="1">
        <w:r w:rsidRPr="009C297A">
          <w:rPr>
            <w:rStyle w:val="Hyperlink"/>
            <w:noProof/>
          </w:rPr>
          <w:t>Anexo 9 – Síntese das coberturas do seguro STR</w:t>
        </w:r>
        <w:r>
          <w:rPr>
            <w:noProof/>
            <w:webHidden/>
          </w:rPr>
          <w:tab/>
        </w:r>
        <w:r>
          <w:rPr>
            <w:noProof/>
            <w:webHidden/>
          </w:rPr>
          <w:fldChar w:fldCharType="begin"/>
        </w:r>
        <w:r>
          <w:rPr>
            <w:noProof/>
            <w:webHidden/>
          </w:rPr>
          <w:instrText xml:space="preserve"> PAGEREF _Toc180577284 \h </w:instrText>
        </w:r>
        <w:r>
          <w:rPr>
            <w:noProof/>
            <w:webHidden/>
          </w:rPr>
        </w:r>
        <w:r>
          <w:rPr>
            <w:noProof/>
            <w:webHidden/>
          </w:rPr>
          <w:fldChar w:fldCharType="separate"/>
        </w:r>
        <w:r>
          <w:rPr>
            <w:noProof/>
            <w:webHidden/>
          </w:rPr>
          <w:t>37</w:t>
        </w:r>
        <w:r>
          <w:rPr>
            <w:noProof/>
            <w:webHidden/>
          </w:rPr>
          <w:fldChar w:fldCharType="end"/>
        </w:r>
      </w:hyperlink>
    </w:p>
    <w:p w14:paraId="4D372940" w14:textId="279236DF" w:rsidR="00A77B5C" w:rsidRDefault="00A77B5C">
      <w:pPr>
        <w:pStyle w:val="TOC3"/>
        <w:tabs>
          <w:tab w:val="right" w:leader="dot" w:pos="9062"/>
        </w:tabs>
        <w:rPr>
          <w:rFonts w:eastAsiaTheme="minorEastAsia" w:cstheme="minorBidi"/>
          <w:noProof/>
          <w:kern w:val="2"/>
          <w:lang w:val="en-IE" w:eastAsia="en-IE"/>
          <w14:ligatures w14:val="standardContextual"/>
        </w:rPr>
      </w:pPr>
      <w:hyperlink w:anchor="_Toc180577285" w:history="1">
        <w:r w:rsidRPr="009C297A">
          <w:rPr>
            <w:rStyle w:val="Hyperlink"/>
            <w:noProof/>
          </w:rPr>
          <w:t>Secção I: As obras</w:t>
        </w:r>
        <w:r>
          <w:rPr>
            <w:noProof/>
            <w:webHidden/>
          </w:rPr>
          <w:tab/>
        </w:r>
        <w:r>
          <w:rPr>
            <w:noProof/>
            <w:webHidden/>
          </w:rPr>
          <w:fldChar w:fldCharType="begin"/>
        </w:r>
        <w:r>
          <w:rPr>
            <w:noProof/>
            <w:webHidden/>
          </w:rPr>
          <w:instrText xml:space="preserve"> PAGEREF _Toc180577285 \h </w:instrText>
        </w:r>
        <w:r>
          <w:rPr>
            <w:noProof/>
            <w:webHidden/>
          </w:rPr>
        </w:r>
        <w:r>
          <w:rPr>
            <w:noProof/>
            <w:webHidden/>
          </w:rPr>
          <w:fldChar w:fldCharType="separate"/>
        </w:r>
        <w:r>
          <w:rPr>
            <w:noProof/>
            <w:webHidden/>
          </w:rPr>
          <w:t>37</w:t>
        </w:r>
        <w:r>
          <w:rPr>
            <w:noProof/>
            <w:webHidden/>
          </w:rPr>
          <w:fldChar w:fldCharType="end"/>
        </w:r>
      </w:hyperlink>
    </w:p>
    <w:p w14:paraId="1A6D9B65" w14:textId="58366719" w:rsidR="004E584B" w:rsidRPr="004C0EBD" w:rsidRDefault="009548F1" w:rsidP="00681554">
      <w:pPr>
        <w:outlineLvl w:val="1"/>
      </w:pPr>
      <w:r>
        <w:rPr>
          <w:rFonts w:ascii="Arial" w:hAnsi="Arial" w:cs="Arial"/>
        </w:rPr>
        <w:fldChar w:fldCharType="end"/>
      </w:r>
      <w:r w:rsidR="00681554">
        <w:t xml:space="preserve"> </w:t>
      </w:r>
      <w:r w:rsidR="004E584B">
        <w:br w:type="page"/>
      </w:r>
    </w:p>
    <w:p w14:paraId="652A77CB" w14:textId="77777777" w:rsidR="00DE36D8" w:rsidRDefault="00DE36D8" w:rsidP="009548F1">
      <w:pPr>
        <w:pStyle w:val="MH1"/>
      </w:pPr>
    </w:p>
    <w:p w14:paraId="10EFF516" w14:textId="77777777" w:rsidR="00A77B5C" w:rsidRDefault="00A77B5C" w:rsidP="00A77B5C">
      <w:pPr>
        <w:pStyle w:val="MH1"/>
      </w:pPr>
      <w:bookmarkStart w:id="34" w:name="_Toc180577238"/>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and</w:t>
      </w:r>
      <w:proofErr w:type="spellEnd"/>
      <w:r w:rsidRPr="004C0EBD">
        <w:t xml:space="preserve"> background </w:t>
      </w:r>
      <w:r>
        <w:br/>
      </w:r>
      <w:r w:rsidRPr="004C0EBD">
        <w:t xml:space="preserve">to </w:t>
      </w:r>
      <w:proofErr w:type="spellStart"/>
      <w:r w:rsidRPr="004C0EBD">
        <w:t>this</w:t>
      </w:r>
      <w:proofErr w:type="spellEnd"/>
      <w:r>
        <w:t xml:space="preserve"> </w:t>
      </w:r>
      <w:proofErr w:type="spellStart"/>
      <w:r w:rsidRPr="004C0EBD">
        <w:t>guide</w:t>
      </w:r>
      <w:bookmarkEnd w:id="34"/>
      <w:proofErr w:type="spellEnd"/>
    </w:p>
    <w:p w14:paraId="609A197E" w14:textId="77777777" w:rsidR="00A77B5C" w:rsidRPr="004C0EBD" w:rsidRDefault="00A77B5C" w:rsidP="00A77B5C">
      <w:pPr>
        <w:pStyle w:val="MH1"/>
      </w:pPr>
    </w:p>
    <w:p w14:paraId="12D0E213" w14:textId="77777777" w:rsidR="00A77B5C" w:rsidRPr="00DE36D8" w:rsidRDefault="00A77B5C" w:rsidP="00A77B5C">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to </w:t>
      </w:r>
      <w:proofErr w:type="spellStart"/>
      <w:r w:rsidRPr="00DE36D8">
        <w:t>implement</w:t>
      </w:r>
      <w:proofErr w:type="spellEnd"/>
      <w:r w:rsidRPr="00DE36D8">
        <w:t xml:space="preserve"> PV </w:t>
      </w:r>
      <w:proofErr w:type="spellStart"/>
      <w:r w:rsidRPr="00DE36D8">
        <w:t>projects</w:t>
      </w:r>
      <w:proofErr w:type="spellEnd"/>
      <w:r w:rsidRPr="00DE36D8">
        <w:t xml:space="preserve"> </w:t>
      </w:r>
      <w:proofErr w:type="spellStart"/>
      <w:r w:rsidRPr="00DE36D8">
        <w:t>on</w:t>
      </w:r>
      <w:proofErr w:type="spellEnd"/>
      <w:r w:rsidRPr="00DE36D8">
        <w:t xml:space="preserve">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take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out steps </w:t>
      </w:r>
      <w:proofErr w:type="spellStart"/>
      <w:r w:rsidRPr="00DE36D8">
        <w:t>and</w:t>
      </w:r>
      <w:proofErr w:type="spellEnd"/>
      <w:r w:rsidRPr="00DE36D8">
        <w:t xml:space="preserve"> </w:t>
      </w:r>
      <w:proofErr w:type="spellStart"/>
      <w:r w:rsidRPr="00DE36D8">
        <w:t>choices</w:t>
      </w:r>
      <w:proofErr w:type="spellEnd"/>
      <w:r w:rsidRPr="00DE36D8">
        <w:t xml:space="preserve">, </w:t>
      </w:r>
      <w:proofErr w:type="spellStart"/>
      <w:r w:rsidRPr="00DE36D8">
        <w:t>and</w:t>
      </w:r>
      <w:proofErr w:type="spellEnd"/>
      <w:r w:rsidRPr="00DE36D8">
        <w:t xml:space="preserve"> </w:t>
      </w:r>
      <w:proofErr w:type="spellStart"/>
      <w:r w:rsidRPr="00DE36D8">
        <w:t>providing</w:t>
      </w:r>
      <w:proofErr w:type="spellEnd"/>
      <w:r w:rsidRPr="00DE36D8">
        <w:t xml:space="preserve"> </w:t>
      </w:r>
      <w:proofErr w:type="spellStart"/>
      <w:r w:rsidRPr="00DE36D8">
        <w:t>lists</w:t>
      </w:r>
      <w:proofErr w:type="spellEnd"/>
      <w:r w:rsidRPr="00DE36D8">
        <w:t xml:space="preserve">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can </w:t>
      </w:r>
      <w:proofErr w:type="spellStart"/>
      <w:r w:rsidRPr="00DE36D8">
        <w:t>assist</w:t>
      </w:r>
      <w:proofErr w:type="spellEnd"/>
      <w:r w:rsidRPr="00DE36D8">
        <w:t xml:space="preserve"> </w:t>
      </w:r>
      <w:proofErr w:type="spellStart"/>
      <w:r w:rsidRPr="00DE36D8">
        <w:t>you</w:t>
      </w:r>
      <w:proofErr w:type="spellEnd"/>
      <w:r w:rsidRPr="00DE36D8">
        <w:t xml:space="preserve">. </w:t>
      </w:r>
    </w:p>
    <w:p w14:paraId="727DAA92" w14:textId="77777777" w:rsidR="00A77B5C" w:rsidRPr="00DE36D8" w:rsidRDefault="00A77B5C" w:rsidP="00A77B5C">
      <w:pPr>
        <w:pStyle w:val="BodyText1"/>
      </w:pPr>
    </w:p>
    <w:p w14:paraId="5A05A1AB" w14:textId="77777777" w:rsidR="00A77B5C" w:rsidRPr="00DE36D8" w:rsidRDefault="00A77B5C" w:rsidP="00A77B5C">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374EC8">
        <w:rPr>
          <w:i/>
          <w:iCs/>
        </w:rPr>
        <w:t>Template</w:t>
      </w:r>
      <w:proofErr w:type="spellEnd"/>
      <w:r w:rsidRPr="00374EC8">
        <w:rPr>
          <w:i/>
          <w:iCs/>
        </w:rPr>
        <w:t xml:space="preserve"> for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w:t>
      </w:r>
      <w:proofErr w:type="spellStart"/>
      <w:r w:rsidRPr="00374EC8">
        <w:rPr>
          <w:i/>
          <w:iCs/>
        </w:rPr>
        <w:t>and</w:t>
      </w:r>
      <w:proofErr w:type="spellEnd"/>
      <w:r w:rsidRPr="00374EC8">
        <w:rPr>
          <w:i/>
          <w:iCs/>
        </w:rPr>
        <w:t xml:space="preserve">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A77B5C" w:rsidRPr="00DE36D8" w14:paraId="23478E98" w14:textId="77777777" w:rsidTr="00374EC8">
        <w:trPr>
          <w:trHeight w:val="32"/>
        </w:trPr>
        <w:tc>
          <w:tcPr>
            <w:tcW w:w="9448" w:type="dxa"/>
          </w:tcPr>
          <w:p w14:paraId="2517F610" w14:textId="77777777" w:rsidR="00A77B5C" w:rsidRPr="00DE36D8" w:rsidRDefault="00A77B5C"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A77B5C" w:rsidRPr="00DE36D8" w14:paraId="35C37BF9" w14:textId="77777777" w:rsidTr="00374EC8">
        <w:trPr>
          <w:trHeight w:val="33"/>
        </w:trPr>
        <w:tc>
          <w:tcPr>
            <w:tcW w:w="9448" w:type="dxa"/>
          </w:tcPr>
          <w:p w14:paraId="0B361B56" w14:textId="77777777" w:rsidR="00A77B5C" w:rsidRPr="00DE36D8" w:rsidRDefault="00A77B5C" w:rsidP="00374EC8">
            <w:pPr>
              <w:pStyle w:val="BodyText1"/>
              <w:rPr>
                <w:sz w:val="24"/>
                <w:szCs w:val="24"/>
              </w:rPr>
            </w:pPr>
            <w:r w:rsidRPr="00DE36D8">
              <w:t xml:space="preserve">II. </w:t>
            </w:r>
            <w:proofErr w:type="spellStart"/>
            <w:r>
              <w:t>Preparing</w:t>
            </w:r>
            <w:proofErr w:type="spellEnd"/>
            <w:r>
              <w:t xml:space="preserve"> a </w:t>
            </w:r>
            <w:r w:rsidRPr="00DE36D8">
              <w:t xml:space="preserve">tender for a PV </w:t>
            </w:r>
            <w:proofErr w:type="spellStart"/>
            <w:r w:rsidRPr="00DE36D8">
              <w:t>project</w:t>
            </w:r>
            <w:proofErr w:type="spellEnd"/>
            <w:r>
              <w:t>,</w:t>
            </w:r>
            <w:r w:rsidRPr="00DE36D8">
              <w:t xml:space="preserve"> </w:t>
            </w:r>
            <w:proofErr w:type="spellStart"/>
            <w:r w:rsidRPr="00DE36D8">
              <w:t>and</w:t>
            </w:r>
            <w:proofErr w:type="spellEnd"/>
            <w:r w:rsidRPr="00DE36D8">
              <w:t xml:space="preserve"> </w:t>
            </w:r>
            <w:proofErr w:type="spellStart"/>
            <w:r w:rsidRPr="00DE36D8">
              <w:t>explanation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t>T</w:t>
            </w:r>
            <w:r w:rsidRPr="00DE36D8">
              <w:t>emplate</w:t>
            </w:r>
            <w:proofErr w:type="spellEnd"/>
          </w:p>
        </w:tc>
      </w:tr>
      <w:tr w:rsidR="00A77B5C" w:rsidRPr="00DE36D8" w14:paraId="3A511BDF" w14:textId="77777777" w:rsidTr="00374EC8">
        <w:trPr>
          <w:trHeight w:val="33"/>
        </w:trPr>
        <w:tc>
          <w:tcPr>
            <w:tcW w:w="9448" w:type="dxa"/>
          </w:tcPr>
          <w:p w14:paraId="2777CF1C" w14:textId="77777777" w:rsidR="00A77B5C" w:rsidRPr="00DE36D8" w:rsidRDefault="00A77B5C"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w:t>
            </w:r>
            <w:proofErr w:type="spellStart"/>
            <w:r w:rsidRPr="00DE36D8">
              <w:t>and</w:t>
            </w:r>
            <w:proofErr w:type="spellEnd"/>
            <w:r w:rsidRPr="00DE36D8">
              <w:t xml:space="preserve"> </w:t>
            </w:r>
            <w:proofErr w:type="spellStart"/>
            <w:r w:rsidRPr="00DE36D8">
              <w:t>market</w:t>
            </w:r>
            <w:proofErr w:type="spellEnd"/>
            <w:r w:rsidRPr="00DE36D8">
              <w:t xml:space="preserve"> scan </w:t>
            </w:r>
            <w:proofErr w:type="spellStart"/>
            <w:r w:rsidRPr="00DE36D8">
              <w:t>of</w:t>
            </w:r>
            <w:proofErr w:type="spellEnd"/>
            <w:r w:rsidRPr="00DE36D8">
              <w:t xml:space="preserve"> </w:t>
            </w:r>
            <w:proofErr w:type="spellStart"/>
            <w:r w:rsidRPr="00DE36D8">
              <w:t>the</w:t>
            </w:r>
            <w:proofErr w:type="spellEnd"/>
            <w:r w:rsidRPr="00DE36D8">
              <w:t xml:space="preserve"> more </w:t>
            </w:r>
            <w:proofErr w:type="spellStart"/>
            <w:r w:rsidRPr="00DE36D8">
              <w:t>sustainable</w:t>
            </w:r>
            <w:proofErr w:type="spellEnd"/>
            <w:r w:rsidRPr="00DE36D8">
              <w:t xml:space="preserve"> solar </w:t>
            </w:r>
            <w:proofErr w:type="spellStart"/>
            <w:r w:rsidRPr="00DE36D8">
              <w:t>panels</w:t>
            </w:r>
            <w:proofErr w:type="spellEnd"/>
          </w:p>
        </w:tc>
      </w:tr>
    </w:tbl>
    <w:p w14:paraId="54A7046A" w14:textId="77777777" w:rsidR="00A77B5C" w:rsidRPr="0088732B" w:rsidRDefault="00A77B5C" w:rsidP="00A77B5C">
      <w:pPr>
        <w:pStyle w:val="BodyText1"/>
        <w:rPr>
          <w:rStyle w:val="SubtleEmphasis"/>
          <w:b w:val="0"/>
          <w:bCs w:val="0"/>
          <w:color w:val="auto"/>
        </w:rPr>
      </w:pPr>
      <w:r>
        <w:rPr>
          <w:rStyle w:val="SubtleEmphasis"/>
          <w:b w:val="0"/>
          <w:bCs w:val="0"/>
          <w:color w:val="auto"/>
        </w:rPr>
        <w:t xml:space="preserve">A </w:t>
      </w:r>
      <w:proofErr w:type="spellStart"/>
      <w:r>
        <w:rPr>
          <w:rStyle w:val="SubtleEmphasis"/>
          <w:b w:val="0"/>
          <w:bCs w:val="0"/>
          <w:color w:val="auto"/>
        </w:rPr>
        <w:t>draft</w:t>
      </w:r>
      <w:proofErr w:type="spellEnd"/>
      <w:r>
        <w:rPr>
          <w:rStyle w:val="SubtleEmphasis"/>
          <w:b w:val="0"/>
          <w:bCs w:val="0"/>
          <w:color w:val="auto"/>
        </w:rPr>
        <w:t xml:space="preserve"> </w:t>
      </w:r>
      <w:proofErr w:type="spellStart"/>
      <w:r>
        <w:rPr>
          <w:rStyle w:val="SubtleEmphasis"/>
          <w:b w:val="0"/>
          <w:bCs w:val="0"/>
          <w:color w:val="auto"/>
        </w:rPr>
        <w:t>of</w:t>
      </w:r>
      <w:proofErr w:type="spellEnd"/>
      <w:r>
        <w:rPr>
          <w:rStyle w:val="SubtleEmphasis"/>
          <w:b w:val="0"/>
          <w:bCs w:val="0"/>
          <w:color w:val="auto"/>
        </w:rPr>
        <w:t xml:space="preserve"> </w:t>
      </w:r>
      <w:proofErr w:type="spellStart"/>
      <w:r>
        <w:rPr>
          <w:rStyle w:val="SubtleEmphasis"/>
          <w:b w:val="0"/>
          <w:bCs w:val="0"/>
          <w:color w:val="auto"/>
        </w:rPr>
        <w:t>t</w:t>
      </w:r>
      <w:r w:rsidRPr="00374EC8">
        <w:rPr>
          <w:rStyle w:val="SubtleEmphasis"/>
          <w:b w:val="0"/>
          <w:bCs w:val="0"/>
          <w:color w:val="auto"/>
        </w:rPr>
        <w:t>he</w:t>
      </w:r>
      <w:proofErr w:type="spellEnd"/>
      <w:r w:rsidRPr="00374EC8">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for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w:t>
      </w:r>
      <w:proofErr w:type="spellStart"/>
      <w:r w:rsidRPr="00417768">
        <w:rPr>
          <w:i/>
          <w:iCs/>
        </w:rPr>
        <w:t>and</w:t>
      </w:r>
      <w:proofErr w:type="spellEnd"/>
      <w:r w:rsidRPr="00417768">
        <w:rPr>
          <w:i/>
          <w:iCs/>
        </w:rPr>
        <w:t xml:space="preserve">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w:t>
      </w:r>
      <w:proofErr w:type="spellStart"/>
      <w:r>
        <w:t>It</w:t>
      </w:r>
      <w:proofErr w:type="spellEnd"/>
      <w:r>
        <w:t xml:space="preserve"> </w:t>
      </w:r>
      <w:proofErr w:type="spellStart"/>
      <w:r>
        <w:t>is</w:t>
      </w:r>
      <w:proofErr w:type="spellEnd"/>
      <w:r>
        <w:t xml:space="preserve">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can </w:t>
      </w:r>
      <w:proofErr w:type="spellStart"/>
      <w:r>
        <w:t>be</w:t>
      </w:r>
      <w:proofErr w:type="spellEnd"/>
      <w:r>
        <w:t xml:space="preserv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26613E83" w14:textId="77777777" w:rsidR="00A77B5C" w:rsidRPr="00374EC8" w:rsidRDefault="00A77B5C" w:rsidP="00A77B5C">
      <w:pPr>
        <w:pStyle w:val="BodyText1"/>
        <w:rPr>
          <w:rStyle w:val="SubtleEmphasis"/>
          <w:b w:val="0"/>
          <w:bCs w:val="0"/>
          <w:color w:val="auto"/>
        </w:rPr>
      </w:pPr>
    </w:p>
    <w:p w14:paraId="7BA7DF8F" w14:textId="77777777" w:rsidR="00A77B5C" w:rsidRPr="00C42EE6" w:rsidRDefault="00A77B5C" w:rsidP="00A77B5C">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72386516" w14:textId="77777777" w:rsidR="00A77B5C" w:rsidRPr="004C0EBD" w:rsidRDefault="00A77B5C" w:rsidP="00A77B5C">
      <w:pPr>
        <w:pStyle w:val="BodyText1"/>
      </w:pPr>
      <w:r w:rsidRPr="006B1209">
        <w:rPr>
          <w:color w:val="104D54"/>
          <w:sz w:val="36"/>
          <w:szCs w:val="36"/>
        </w:rPr>
        <w:t xml:space="preserve"> </w:t>
      </w:r>
      <w:r w:rsidRPr="004C0EBD">
        <w:br/>
      </w:r>
      <w:proofErr w:type="spellStart"/>
      <w:r w:rsidRPr="004C0EBD">
        <w:t>The</w:t>
      </w:r>
      <w:proofErr w:type="spellEnd"/>
      <w:r w:rsidRPr="004C0EBD">
        <w:t xml:space="preserv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out PV </w:t>
      </w:r>
      <w:proofErr w:type="spellStart"/>
      <w:r w:rsidRPr="004C0EBD">
        <w:t>projects</w:t>
      </w:r>
      <w:proofErr w:type="spellEnd"/>
      <w:r w:rsidRPr="004C0EBD">
        <w:t xml:space="preserve"> </w:t>
      </w:r>
      <w:proofErr w:type="spellStart"/>
      <w:r w:rsidRPr="004C0EBD">
        <w:t>offering</w:t>
      </w:r>
      <w:proofErr w:type="spellEnd"/>
      <w:r w:rsidRPr="004C0EBD">
        <w:t>:</w:t>
      </w:r>
    </w:p>
    <w:p w14:paraId="788AEBCF" w14:textId="77777777" w:rsidR="00A77B5C" w:rsidRPr="004C0EBD" w:rsidRDefault="00A77B5C" w:rsidP="00A77B5C">
      <w:pPr>
        <w:pStyle w:val="BodyText1"/>
        <w:numPr>
          <w:ilvl w:val="0"/>
          <w:numId w:val="10"/>
        </w:numPr>
        <w:rPr>
          <w:sz w:val="21"/>
          <w:szCs w:val="21"/>
        </w:rPr>
      </w:pPr>
      <w:proofErr w:type="spellStart"/>
      <w:r w:rsidRPr="004C0EBD">
        <w:t>better</w:t>
      </w:r>
      <w:proofErr w:type="spellEnd"/>
      <w:r w:rsidRPr="004C0EBD">
        <w:t xml:space="preserve"> financial </w:t>
      </w:r>
      <w:proofErr w:type="spellStart"/>
      <w:r w:rsidRPr="004C0EBD">
        <w:t>conditions</w:t>
      </w:r>
      <w:proofErr w:type="spellEnd"/>
    </w:p>
    <w:p w14:paraId="048556EB" w14:textId="77777777" w:rsidR="00A77B5C" w:rsidRPr="004C0EBD" w:rsidRDefault="00A77B5C" w:rsidP="00A77B5C">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0A642C72" w14:textId="77777777" w:rsidR="00A77B5C" w:rsidRPr="006B1209" w:rsidRDefault="00A77B5C" w:rsidP="00A77B5C">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4009D84C" w14:textId="77777777" w:rsidR="00A77B5C" w:rsidRPr="004C0EBD" w:rsidRDefault="00A77B5C" w:rsidP="00A77B5C">
      <w:pPr>
        <w:pStyle w:val="ListParagraph"/>
        <w:ind w:left="709"/>
        <w:rPr>
          <w:sz w:val="21"/>
          <w:szCs w:val="21"/>
        </w:rPr>
      </w:pPr>
    </w:p>
    <w:p w14:paraId="54BBAF01" w14:textId="77777777" w:rsidR="00A77B5C" w:rsidRPr="001079C7" w:rsidRDefault="00A77B5C" w:rsidP="00A77B5C">
      <w:pPr>
        <w:pStyle w:val="MH3"/>
        <w:rPr>
          <w:rStyle w:val="SubtleEmphasis"/>
          <w:b/>
          <w:bCs w:val="0"/>
          <w:color w:val="104D54"/>
        </w:rPr>
      </w:pPr>
      <w:bookmarkStart w:id="35" w:name="_Toc180577239"/>
      <w:proofErr w:type="spellStart"/>
      <w:r>
        <w:rPr>
          <w:rStyle w:val="SubtleEmphasis"/>
          <w:b/>
          <w:bCs w:val="0"/>
          <w:color w:val="104D54"/>
        </w:rPr>
        <w:t>Why</w:t>
      </w:r>
      <w:bookmarkEnd w:id="35"/>
      <w:proofErr w:type="spellEnd"/>
      <w:r w:rsidRPr="001079C7">
        <w:rPr>
          <w:rStyle w:val="SubtleEmphasis"/>
          <w:b/>
          <w:bCs w:val="0"/>
          <w:color w:val="104D54"/>
        </w:rPr>
        <w:t xml:space="preserve"> </w:t>
      </w:r>
    </w:p>
    <w:p w14:paraId="3F359992" w14:textId="77777777" w:rsidR="00A77B5C" w:rsidRPr="006B1209" w:rsidRDefault="00A77B5C" w:rsidP="00A77B5C">
      <w:pPr>
        <w:pStyle w:val="BodyText1"/>
      </w:pPr>
      <w:r w:rsidRPr="006B1209">
        <w:t xml:space="preserve">PV </w:t>
      </w:r>
      <w:proofErr w:type="spellStart"/>
      <w:r w:rsidRPr="006B1209">
        <w:t>projects</w:t>
      </w:r>
      <w:proofErr w:type="spellEnd"/>
      <w:r w:rsidRPr="006B1209">
        <w:t xml:space="preserve"> are </w:t>
      </w:r>
      <w:proofErr w:type="spellStart"/>
      <w:r w:rsidRPr="006B1209">
        <w:t>all</w:t>
      </w:r>
      <w:proofErr w:type="spellEnd"/>
      <w:r w:rsidRPr="006B1209">
        <w:t xml:space="preserve"> too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for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solar </w:t>
      </w:r>
      <w:proofErr w:type="spellStart"/>
      <w:r w:rsidRPr="006B1209">
        <w:t>panels</w:t>
      </w:r>
      <w:proofErr w:type="spellEnd"/>
      <w:r w:rsidRPr="006B1209">
        <w:t xml:space="preserve"> </w:t>
      </w:r>
      <w:proofErr w:type="spellStart"/>
      <w:r w:rsidRPr="006B1209">
        <w:t>themselves</w:t>
      </w:r>
      <w:proofErr w:type="spellEnd"/>
      <w:r w:rsidRPr="006B1209">
        <w:t xml:space="preserve"> are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w:t>
      </w:r>
      <w:proofErr w:type="spellStart"/>
      <w:r w:rsidRPr="006B1209">
        <w:t>the</w:t>
      </w:r>
      <w:proofErr w:type="spellEnd"/>
      <w:r w:rsidRPr="006B1209">
        <w:t xml:space="preserve"> use </w:t>
      </w:r>
      <w:proofErr w:type="spellStart"/>
      <w:r w:rsidRPr="006B1209">
        <w:t>of</w:t>
      </w:r>
      <w:proofErr w:type="spellEnd"/>
      <w:r w:rsidRPr="006B1209">
        <w:t xml:space="preserve"> PFAS </w:t>
      </w:r>
      <w:proofErr w:type="spellStart"/>
      <w:r w:rsidRPr="006B1209">
        <w:t>and</w:t>
      </w:r>
      <w:proofErr w:type="spellEnd"/>
      <w:r w:rsidRPr="006B1209">
        <w:t xml:space="preserve">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w:t>
      </w:r>
      <w:proofErr w:type="spellStart"/>
      <w:r w:rsidRPr="006B1209">
        <w:t>and</w:t>
      </w:r>
      <w:proofErr w:type="spellEnd"/>
      <w:r w:rsidRPr="006B1209">
        <w:t xml:space="preserve">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06515893" w14:textId="77777777" w:rsidR="00A77B5C" w:rsidRPr="006B1209" w:rsidRDefault="00A77B5C" w:rsidP="00A77B5C">
      <w:pPr>
        <w:pStyle w:val="BodyText1"/>
      </w:pPr>
    </w:p>
    <w:p w14:paraId="79BFAD68" w14:textId="77777777" w:rsidR="00A77B5C" w:rsidRPr="004C0EBD" w:rsidRDefault="00A77B5C" w:rsidP="00A77B5C"/>
    <w:p w14:paraId="496C5CDA" w14:textId="77777777" w:rsidR="00A77B5C" w:rsidRPr="001079C7" w:rsidRDefault="00A77B5C" w:rsidP="00A77B5C">
      <w:pPr>
        <w:pStyle w:val="MH3"/>
        <w:rPr>
          <w:rStyle w:val="SubtleEmphasis"/>
          <w:b/>
          <w:bCs w:val="0"/>
          <w:color w:val="104D54"/>
        </w:rPr>
      </w:pPr>
      <w:bookmarkStart w:id="36" w:name="_Toc180577240"/>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email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36"/>
      <w:r>
        <w:rPr>
          <w:rStyle w:val="SubtleEmphasis"/>
          <w:b/>
          <w:bCs w:val="0"/>
          <w:color w:val="104D54"/>
        </w:rPr>
        <w:t xml:space="preserve"> </w:t>
      </w:r>
    </w:p>
    <w:p w14:paraId="5D32EA97" w14:textId="77777777" w:rsidR="00A77B5C" w:rsidRPr="006B1209" w:rsidRDefault="00A77B5C" w:rsidP="00A77B5C">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w:t>
      </w:r>
      <w:proofErr w:type="spellStart"/>
      <w:r>
        <w:t>draft</w:t>
      </w:r>
      <w:proofErr w:type="spellEnd"/>
      <w:r>
        <w:t xml:space="preserve"> </w:t>
      </w:r>
      <w:proofErr w:type="spellStart"/>
      <w:r w:rsidRPr="006B1209">
        <w:t>version</w:t>
      </w:r>
      <w:proofErr w:type="spellEnd"/>
      <w:proofErr w:type="gramStart"/>
      <w:r>
        <w:t>/</w:t>
      </w:r>
      <w:r w:rsidRPr="006B1209">
        <w:t xml:space="preserve"> </w:t>
      </w:r>
      <w:r>
        <w:t>.</w:t>
      </w:r>
      <w:proofErr w:type="gramEnd"/>
      <w:r>
        <w:t xml:space="preserve"> </w:t>
      </w:r>
      <w:proofErr w:type="spellStart"/>
      <w:r>
        <w:t>It</w:t>
      </w:r>
      <w:proofErr w:type="spellEnd"/>
      <w:r>
        <w:t xml:space="preserve"> </w:t>
      </w:r>
      <w:proofErr w:type="spellStart"/>
      <w:r>
        <w:t>was</w:t>
      </w:r>
      <w:proofErr w:type="spellEnd"/>
      <w:r>
        <w:t xml:space="preserve"> </w:t>
      </w:r>
      <w:proofErr w:type="spellStart"/>
      <w:r>
        <w:t>created</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and</w:t>
      </w:r>
      <w:proofErr w:type="spellEnd"/>
      <w:r>
        <w:t xml:space="preserve"> </w:t>
      </w:r>
      <w:proofErr w:type="spellStart"/>
      <w:r>
        <w:t>thereafter</w:t>
      </w:r>
      <w:proofErr w:type="spellEnd"/>
      <w:r>
        <w:t xml:space="preserve"> </w:t>
      </w:r>
      <w:proofErr w:type="spellStart"/>
      <w:r>
        <w:t>auto-translated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experts.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w:t>
      </w:r>
      <w:proofErr w:type="spellStart"/>
      <w:r>
        <w:t>and</w:t>
      </w:r>
      <w:proofErr w:type="spellEnd"/>
      <w:r>
        <w:t xml:space="preserve"> subsidies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w:t>
      </w:r>
      <w:proofErr w:type="spellStart"/>
      <w:r>
        <w:t>auto-translated</w:t>
      </w:r>
      <w:proofErr w:type="spellEnd"/>
      <w:r>
        <w:t xml:space="preserve">. </w:t>
      </w:r>
      <w:proofErr w:type="spellStart"/>
      <w:r>
        <w:t>So</w:t>
      </w:r>
      <w:proofErr w:type="spellEnd"/>
      <w:r>
        <w:t xml:space="preserve">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does </w:t>
      </w:r>
      <w:proofErr w:type="spellStart"/>
      <w:r>
        <w:t>contain</w:t>
      </w:r>
      <w:proofErr w:type="spellEnd"/>
      <w:r>
        <w:t xml:space="preserve"> </w:t>
      </w:r>
      <w:proofErr w:type="spellStart"/>
      <w:r>
        <w:t>mistakes</w:t>
      </w:r>
      <w:proofErr w:type="spellEnd"/>
      <w:r>
        <w:t xml:space="preserve"> </w:t>
      </w:r>
      <w:proofErr w:type="spellStart"/>
      <w:r>
        <w:t>and</w:t>
      </w:r>
      <w:proofErr w:type="spellEnd"/>
      <w:r>
        <w:t xml:space="preserve"> </w:t>
      </w:r>
      <w:proofErr w:type="spellStart"/>
      <w:r>
        <w:t>needs</w:t>
      </w:r>
      <w:proofErr w:type="spellEnd"/>
      <w:r>
        <w:t xml:space="preserve"> to </w:t>
      </w:r>
      <w:proofErr w:type="spellStart"/>
      <w:r>
        <w:t>be</w:t>
      </w:r>
      <w:proofErr w:type="spellEnd"/>
      <w:r>
        <w:t xml:space="preserv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 xml:space="preserve">/experts </w:t>
      </w:r>
      <w:proofErr w:type="spellStart"/>
      <w:r>
        <w:t>need</w:t>
      </w:r>
      <w:proofErr w:type="spellEnd"/>
      <w:r>
        <w:t xml:space="preserve"> to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are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w:t>
      </w:r>
      <w:proofErr w:type="spellStart"/>
      <w:r>
        <w:t>It</w:t>
      </w:r>
      <w:proofErr w:type="spellEnd"/>
      <w:r>
        <w:t xml:space="preserve">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lastRenderedPageBreak/>
        <w:t>you</w:t>
      </w:r>
      <w:proofErr w:type="spellEnd"/>
      <w:r>
        <w:t xml:space="preserve"> can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 xml:space="preserve">/experts </w:t>
      </w:r>
      <w:proofErr w:type="spellStart"/>
      <w:r>
        <w:t>from</w:t>
      </w:r>
      <w:proofErr w:type="spellEnd"/>
      <w:r>
        <w:t xml:space="preserve"> </w:t>
      </w:r>
      <w:proofErr w:type="spellStart"/>
      <w:r>
        <w:t>your</w:t>
      </w:r>
      <w:proofErr w:type="spellEnd"/>
      <w:r>
        <w:t xml:space="preserve"> country. </w:t>
      </w:r>
      <w:proofErr w:type="spellStart"/>
      <w:r>
        <w:t>The</w:t>
      </w:r>
      <w:proofErr w:type="spellEnd"/>
      <w:r>
        <w:t xml:space="preserve"> solar </w:t>
      </w:r>
      <w:proofErr w:type="spellStart"/>
      <w:r>
        <w:t>trade</w:t>
      </w:r>
      <w:proofErr w:type="spellEnd"/>
      <w:r>
        <w:t xml:space="preserve"> </w:t>
      </w:r>
      <w:proofErr w:type="spellStart"/>
      <w:r>
        <w:t>association</w:t>
      </w:r>
      <w:proofErr w:type="spellEnd"/>
      <w:r>
        <w:t xml:space="preserve"> in </w:t>
      </w:r>
      <w:proofErr w:type="spellStart"/>
      <w:r>
        <w:t>your</w:t>
      </w:r>
      <w:proofErr w:type="spellEnd"/>
      <w:r>
        <w:t xml:space="preserve"> country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055E8311" w14:textId="77777777" w:rsidR="00A77B5C" w:rsidRPr="004C0EBD" w:rsidRDefault="00A77B5C" w:rsidP="00A77B5C"/>
    <w:p w14:paraId="15D6DF59" w14:textId="77777777" w:rsidR="00A77B5C" w:rsidRPr="001079C7" w:rsidRDefault="00A77B5C" w:rsidP="00A77B5C">
      <w:pPr>
        <w:pStyle w:val="MH3"/>
        <w:rPr>
          <w:rStyle w:val="SubtleEmphasis"/>
          <w:b/>
          <w:bCs w:val="0"/>
          <w:color w:val="104D54"/>
        </w:rPr>
      </w:pPr>
      <w:bookmarkStart w:id="37" w:name="_Toc180577241"/>
      <w:proofErr w:type="spellStart"/>
      <w:r w:rsidRPr="001079C7">
        <w:rPr>
          <w:rStyle w:val="SubtleEmphasis"/>
          <w:b/>
          <w:bCs w:val="0"/>
          <w:color w:val="104D54"/>
        </w:rPr>
        <w:t>Responsibility</w:t>
      </w:r>
      <w:bookmarkEnd w:id="37"/>
      <w:proofErr w:type="spellEnd"/>
    </w:p>
    <w:p w14:paraId="6F430756" w14:textId="77777777" w:rsidR="00A77B5C" w:rsidRPr="004C0EBD" w:rsidRDefault="00A77B5C" w:rsidP="00A77B5C">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initiative</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t>Dutch</w:t>
      </w:r>
      <w:proofErr w:type="spellEnd"/>
      <w:r>
        <w:t xml:space="preserve"> </w:t>
      </w:r>
      <w:proofErr w:type="spellStart"/>
      <w:r>
        <w:t>Public</w:t>
      </w:r>
      <w:proofErr w:type="spellEnd"/>
      <w:r>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for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consists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Dutch</w:t>
      </w:r>
      <w:proofErr w:type="spellEnd"/>
      <w:r w:rsidRPr="004C0EBD">
        <w:t xml:space="preserve"> </w:t>
      </w:r>
      <w:proofErr w:type="spellStart"/>
      <w:r w:rsidRPr="004C0EBD">
        <w:t>Public</w:t>
      </w:r>
      <w:proofErr w:type="spellEnd"/>
      <w:r w:rsidRPr="004C0EBD">
        <w:t xml:space="preserve"> </w:t>
      </w:r>
      <w:proofErr w:type="spellStart"/>
      <w:r w:rsidRPr="004C0EBD">
        <w:t>Procurement</w:t>
      </w:r>
      <w:proofErr w:type="spellEnd"/>
      <w:r w:rsidRPr="004C0EBD">
        <w:t xml:space="preserve"> Expertise Centre, </w:t>
      </w:r>
      <w:proofErr w:type="spellStart"/>
      <w:r w:rsidRPr="004C0EBD">
        <w:t>PIANOo</w:t>
      </w:r>
      <w:proofErr w:type="spellEnd"/>
      <w:r w:rsidRPr="004C0EBD">
        <w:t xml:space="preserve">, </w:t>
      </w:r>
      <w:proofErr w:type="spellStart"/>
      <w:r w:rsidRPr="004C0EBD">
        <w:t>and</w:t>
      </w:r>
      <w:proofErr w:type="spellEnd"/>
      <w:r w:rsidRPr="004C0EBD">
        <w:t xml:space="preserve"> </w:t>
      </w:r>
      <w:proofErr w:type="spellStart"/>
      <w:r w:rsidRPr="004C0EBD">
        <w:t>is</w:t>
      </w:r>
      <w:proofErr w:type="spellEnd"/>
      <w:r w:rsidRPr="004C0EBD">
        <w:t xml:space="preserve"> </w:t>
      </w:r>
      <w:proofErr w:type="spellStart"/>
      <w:r w:rsidRPr="004C0EBD">
        <w:t>made</w:t>
      </w:r>
      <w:proofErr w:type="spellEnd"/>
      <w:r w:rsidRPr="004C0EBD">
        <w:t xml:space="preserv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w:t>
      </w:r>
      <w:proofErr w:type="spellStart"/>
      <w:r w:rsidRPr="004C0EBD">
        <w:t>of</w:t>
      </w:r>
      <w:proofErr w:type="spellEnd"/>
      <w:r w:rsidRPr="004C0EBD">
        <w:t xml:space="preserve"> </w:t>
      </w:r>
      <w:proofErr w:type="spellStart"/>
      <w:r w:rsidRPr="004C0EBD">
        <w:t>Infrastructure</w:t>
      </w:r>
      <w:proofErr w:type="spellEnd"/>
      <w:r w:rsidRPr="004C0EBD">
        <w:t xml:space="preserve"> </w:t>
      </w:r>
      <w:proofErr w:type="spellStart"/>
      <w:r w:rsidRPr="004C0EBD">
        <w:t>and</w:t>
      </w:r>
      <w:proofErr w:type="spellEnd"/>
      <w:r w:rsidRPr="004C0EBD">
        <w:t xml:space="preserve"> </w:t>
      </w:r>
      <w:proofErr w:type="spellStart"/>
      <w:r w:rsidRPr="004C0EBD">
        <w:t>Water</w:t>
      </w:r>
      <w:proofErr w:type="spellEnd"/>
      <w:r w:rsidRPr="004C0EBD">
        <w:t xml:space="preserve"> Management</w:t>
      </w:r>
      <w:proofErr w:type="gramStart"/>
      <w:r w:rsidRPr="004C0EBD">
        <w:t>. .</w:t>
      </w:r>
      <w:proofErr w:type="gramEnd"/>
      <w:r w:rsidRPr="004C0EBD">
        <w:t xml:space="preserve"> </w:t>
      </w:r>
      <w:proofErr w:type="spellStart"/>
      <w:r w:rsidRPr="004C0EBD">
        <w:t>The</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is</w:t>
      </w:r>
      <w:proofErr w:type="spellEnd"/>
      <w:r w:rsidRPr="004C0EBD">
        <w:t xml:space="preserve"> </w:t>
      </w:r>
      <w:proofErr w:type="spellStart"/>
      <w:r w:rsidRPr="004C0EBD">
        <w:t>headed</w:t>
      </w:r>
      <w:proofErr w:type="spellEnd"/>
      <w:r w:rsidRPr="004C0EBD">
        <w:t xml:space="preserve"> </w:t>
      </w:r>
      <w:proofErr w:type="spellStart"/>
      <w:r w:rsidRPr="004C0EBD">
        <w:t>by</w:t>
      </w:r>
      <w:proofErr w:type="spellEnd"/>
      <w:r w:rsidRPr="004C0EBD">
        <w:t xml:space="preserve"> </w:t>
      </w:r>
      <w:proofErr w:type="spellStart"/>
      <w:r w:rsidRPr="004C0EBD">
        <w:t>Bart-Jeroen</w:t>
      </w:r>
      <w:proofErr w:type="spellEnd"/>
      <w:r w:rsidRPr="004C0EBD">
        <w:t xml:space="preserve"> </w:t>
      </w:r>
      <w:proofErr w:type="spellStart"/>
      <w:r w:rsidRPr="004C0EBD">
        <w:t>Bierens</w:t>
      </w:r>
      <w:proofErr w:type="spellEnd"/>
      <w:r w:rsidRPr="004C0EBD">
        <w:t xml:space="preserve"> </w:t>
      </w:r>
      <w:proofErr w:type="spellStart"/>
      <w:r w:rsidRPr="004C0EBD">
        <w:t>and</w:t>
      </w:r>
      <w:proofErr w:type="spellEnd"/>
      <w:r w:rsidRPr="004C0EBD">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w:t>
      </w:r>
      <w:proofErr w:type="spellStart"/>
      <w:r w:rsidRPr="004C0EBD">
        <w:t>Enterprise</w:t>
      </w:r>
      <w:proofErr w:type="spellEnd"/>
      <w:r w:rsidRPr="004C0EBD">
        <w:t xml:space="preserve"> </w:t>
      </w:r>
      <w:proofErr w:type="spellStart"/>
      <w:proofErr w:type="gramStart"/>
      <w:r w:rsidRPr="004C0EBD">
        <w:t>Agency</w:t>
      </w:r>
      <w:proofErr w:type="spellEnd"/>
      <w:r w:rsidRPr="004C0EBD">
        <w:t xml:space="preserve"> .</w:t>
      </w:r>
      <w:proofErr w:type="gramEnd"/>
    </w:p>
    <w:p w14:paraId="797D5C4F" w14:textId="77777777" w:rsidR="00A77B5C" w:rsidRPr="004C0EBD" w:rsidRDefault="00A77B5C" w:rsidP="00A77B5C">
      <w:pPr>
        <w:rPr>
          <w:rFonts w:eastAsia="Calibri"/>
        </w:rPr>
      </w:pPr>
    </w:p>
    <w:p w14:paraId="594B3C75" w14:textId="77777777" w:rsidR="00A77B5C" w:rsidRPr="001079C7" w:rsidRDefault="00A77B5C" w:rsidP="00A77B5C">
      <w:pPr>
        <w:pStyle w:val="MH3"/>
        <w:rPr>
          <w:rStyle w:val="SubtleEmphasis"/>
          <w:b/>
          <w:bCs w:val="0"/>
          <w:color w:val="104D54"/>
        </w:rPr>
      </w:pPr>
      <w:bookmarkStart w:id="38" w:name="_Toc180577242"/>
      <w:proofErr w:type="spellStart"/>
      <w:r w:rsidRPr="001079C7">
        <w:rPr>
          <w:rStyle w:val="SubtleEmphasis"/>
          <w:b/>
          <w:bCs w:val="0"/>
          <w:color w:val="104D54"/>
        </w:rPr>
        <w:t>Disclaimer</w:t>
      </w:r>
      <w:bookmarkEnd w:id="38"/>
      <w:proofErr w:type="spellEnd"/>
      <w:r w:rsidRPr="001079C7">
        <w:rPr>
          <w:rStyle w:val="SubtleEmphasis"/>
          <w:b/>
          <w:bCs w:val="0"/>
          <w:color w:val="104D54"/>
        </w:rPr>
        <w:t xml:space="preserve"> </w:t>
      </w:r>
    </w:p>
    <w:p w14:paraId="365B34CA" w14:textId="77777777" w:rsidR="00A77B5C" w:rsidRPr="004C0EBD" w:rsidRDefault="00A77B5C" w:rsidP="00A77B5C">
      <w:pPr>
        <w:pStyle w:val="BodyText1"/>
        <w:rPr>
          <w:rFonts w:eastAsia="Calibri"/>
          <w:szCs w:val="21"/>
        </w:rPr>
      </w:pPr>
      <w:proofErr w:type="spellStart"/>
      <w:r w:rsidRPr="004C0EBD">
        <w:t>The</w:t>
      </w:r>
      <w:proofErr w:type="spellEnd"/>
      <w:r w:rsidRPr="004C0EBD">
        <w:t xml:space="preserv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provide</w:t>
      </w:r>
      <w:proofErr w:type="spellEnd"/>
      <w:r w:rsidRPr="004C0EBD">
        <w:t xml:space="preserve"> </w:t>
      </w:r>
      <w:proofErr w:type="spellStart"/>
      <w:r w:rsidRPr="004C0EBD">
        <w:t>assistance</w:t>
      </w:r>
      <w:proofErr w:type="spellEnd"/>
      <w:r w:rsidRPr="004C0EBD">
        <w:t xml:space="preserve"> </w:t>
      </w:r>
      <w:proofErr w:type="spellStart"/>
      <w:r w:rsidRPr="004C0EBD">
        <w:t>and</w:t>
      </w:r>
      <w:proofErr w:type="spellEnd"/>
      <w:r w:rsidRPr="004C0EBD">
        <w:t xml:space="preserve"> </w:t>
      </w:r>
      <w:proofErr w:type="spellStart"/>
      <w:r w:rsidRPr="004C0EBD">
        <w:t>support</w:t>
      </w:r>
      <w:proofErr w:type="spellEnd"/>
      <w:r w:rsidRPr="004C0EBD">
        <w:t xml:space="preserve"> to </w:t>
      </w:r>
      <w:proofErr w:type="spellStart"/>
      <w:r>
        <w:t>private</w:t>
      </w:r>
      <w:proofErr w:type="spellEnd"/>
      <w:r>
        <w:t xml:space="preserve"> </w:t>
      </w:r>
      <w:proofErr w:type="spellStart"/>
      <w:r>
        <w:t>organisations</w:t>
      </w:r>
      <w:proofErr w:type="spellEnd"/>
      <w:r>
        <w:t xml:space="preserve"> </w:t>
      </w:r>
      <w:proofErr w:type="spellStart"/>
      <w:r>
        <w:t>and</w:t>
      </w:r>
      <w:proofErr w:type="spellEnd"/>
      <w:r>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for </w:t>
      </w:r>
      <w:proofErr w:type="spellStart"/>
      <w:r w:rsidRPr="004C0EBD">
        <w:t>tenders</w:t>
      </w:r>
      <w:proofErr w:type="spellEnd"/>
      <w:r w:rsidRPr="004C0EBD">
        <w:t xml:space="preserve"> for PV </w:t>
      </w:r>
      <w:proofErr w:type="spellStart"/>
      <w:r w:rsidRPr="004C0EBD">
        <w:t>projects</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insights </w:t>
      </w:r>
      <w:proofErr w:type="spellStart"/>
      <w:r w:rsidRPr="004C0EBD">
        <w:t>from</w:t>
      </w:r>
      <w:proofErr w:type="spellEnd"/>
      <w:r w:rsidRPr="004C0EBD">
        <w:t xml:space="preserve"> </w:t>
      </w:r>
      <w:proofErr w:type="spellStart"/>
      <w:r w:rsidRPr="004C0EBD">
        <w:t>the</w:t>
      </w:r>
      <w:proofErr w:type="spellEnd"/>
      <w:r w:rsidRPr="004C0EBD">
        <w:t xml:space="preserve"> sector. </w:t>
      </w:r>
      <w:proofErr w:type="spellStart"/>
      <w:r w:rsidRPr="004C0EBD">
        <w:t>It</w:t>
      </w:r>
      <w:proofErr w:type="spellEnd"/>
      <w:r w:rsidRPr="004C0EBD">
        <w:t xml:space="preserve">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for individual </w:t>
      </w:r>
      <w:proofErr w:type="spellStart"/>
      <w:r w:rsidRPr="004C0EBD">
        <w:t>calls</w:t>
      </w:r>
      <w:proofErr w:type="spellEnd"/>
      <w:r w:rsidRPr="004C0EBD">
        <w:t xml:space="preserve"> for </w:t>
      </w:r>
      <w:proofErr w:type="spellStart"/>
      <w:r w:rsidRPr="004C0EBD">
        <w:t>tenders</w:t>
      </w:r>
      <w:proofErr w:type="spellEnd"/>
      <w:r w:rsidRPr="004C0EBD">
        <w:t xml:space="preserve">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are </w:t>
      </w:r>
      <w:proofErr w:type="spellStart"/>
      <w:r w:rsidRPr="004C0EBD">
        <w:t>not</w:t>
      </w:r>
      <w:proofErr w:type="spellEnd"/>
      <w:r w:rsidRPr="004C0EBD">
        <w:t xml:space="preserve"> in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to </w:t>
      </w:r>
      <w:proofErr w:type="spellStart"/>
      <w:r w:rsidRPr="004C0EBD">
        <w:t>adjust</w:t>
      </w:r>
      <w:proofErr w:type="spellEnd"/>
      <w:r w:rsidRPr="004C0EBD">
        <w:t xml:space="preserve"> </w:t>
      </w:r>
      <w:proofErr w:type="spellStart"/>
      <w:r w:rsidRPr="004C0EBD">
        <w:t>criteria</w:t>
      </w:r>
      <w:proofErr w:type="spellEnd"/>
      <w:r w:rsidRPr="004C0EBD">
        <w:t xml:space="preserve">, for </w:t>
      </w:r>
      <w:proofErr w:type="spellStart"/>
      <w:r w:rsidRPr="004C0EBD">
        <w:t>example</w:t>
      </w:r>
      <w:proofErr w:type="spellEnd"/>
      <w:r w:rsidRPr="004C0EBD">
        <w:t xml:space="preserve"> </w:t>
      </w:r>
      <w:proofErr w:type="spellStart"/>
      <w:r w:rsidRPr="004C0EBD">
        <w:t>due</w:t>
      </w:r>
      <w:proofErr w:type="spellEnd"/>
      <w:r w:rsidRPr="004C0EBD">
        <w:t xml:space="preserve"> to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Both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and</w:t>
      </w:r>
      <w:proofErr w:type="spellEnd"/>
      <w:r w:rsidRPr="004C0EBD">
        <w:t xml:space="preserve"> </w:t>
      </w:r>
      <w:proofErr w:type="spellStart"/>
      <w:r w:rsidRPr="004C0EBD">
        <w:t>the</w:t>
      </w:r>
      <w:proofErr w:type="spellEnd"/>
      <w:r w:rsidRPr="004C0EBD">
        <w:t xml:space="preserve"> </w:t>
      </w:r>
      <w:proofErr w:type="spellStart"/>
      <w:r w:rsidRPr="004C0EBD">
        <w:t>criteria</w:t>
      </w:r>
      <w:proofErr w:type="spellEnd"/>
      <w:r w:rsidRPr="004C0EBD">
        <w:t xml:space="preserve"> are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accuracy</w:t>
      </w:r>
      <w:proofErr w:type="spellEnd"/>
      <w:r w:rsidRPr="004C0EBD">
        <w:t xml:space="preserve"> </w:t>
      </w:r>
      <w:proofErr w:type="spellStart"/>
      <w:r w:rsidRPr="004C0EBD">
        <w:t>and</w:t>
      </w:r>
      <w:proofErr w:type="spellEnd"/>
      <w:r w:rsidRPr="004C0EBD">
        <w:t xml:space="preserve"> </w:t>
      </w:r>
      <w:proofErr w:type="spellStart"/>
      <w:r w:rsidRPr="004C0EBD">
        <w:t>completeness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derive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6404EC84" w14:textId="77777777" w:rsidR="00A77B5C" w:rsidRPr="004C0EBD" w:rsidRDefault="00A77B5C" w:rsidP="00A77B5C"/>
    <w:p w14:paraId="2BF27A91" w14:textId="77777777" w:rsidR="00A77B5C" w:rsidRPr="004C0EBD" w:rsidRDefault="00A77B5C" w:rsidP="00A77B5C">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and</w:t>
      </w:r>
      <w:proofErr w:type="spellEnd"/>
      <w:r w:rsidRPr="004C0EBD">
        <w:t xml:space="preserve"> Marcello </w:t>
      </w:r>
      <w:proofErr w:type="spellStart"/>
      <w:r w:rsidRPr="004C0EBD">
        <w:t>Passaro</w:t>
      </w:r>
      <w:proofErr w:type="spellEnd"/>
      <w:r w:rsidRPr="004C0EBD">
        <w:t xml:space="preserve"> </w:t>
      </w:r>
    </w:p>
    <w:p w14:paraId="1054D4C3" w14:textId="77777777" w:rsidR="00A77B5C" w:rsidRPr="00A031E5" w:rsidRDefault="00A77B5C" w:rsidP="00A77B5C">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7125039A" w14:textId="77777777" w:rsidR="006B1209" w:rsidRDefault="006B1209" w:rsidP="00A3595E">
      <w:pPr>
        <w:rPr>
          <w:rFonts w:eastAsiaTheme="majorEastAsia"/>
          <w:color w:val="92D050"/>
          <w:sz w:val="40"/>
          <w:szCs w:val="40"/>
          <w:lang w:val="da-DK"/>
        </w:rPr>
      </w:pPr>
    </w:p>
    <w:p w14:paraId="2B3E0AB0" w14:textId="77777777" w:rsidR="006B1209" w:rsidRPr="00A031E5" w:rsidRDefault="006B1209" w:rsidP="00A3595E">
      <w:pPr>
        <w:rPr>
          <w:rFonts w:eastAsiaTheme="majorEastAsia"/>
          <w:color w:val="92D050"/>
          <w:sz w:val="40"/>
          <w:szCs w:val="40"/>
          <w:lang w:val="da-DK"/>
        </w:rPr>
      </w:pPr>
    </w:p>
    <w:p w14:paraId="2842012E" w14:textId="47DED13E" w:rsidR="0029348A" w:rsidRPr="004C0EBD" w:rsidRDefault="0049076B" w:rsidP="009548F1">
      <w:pPr>
        <w:pStyle w:val="MH1"/>
      </w:pPr>
      <w:bookmarkStart w:id="39" w:name="_Toc180577243"/>
      <w:r>
        <w:t>Introdução</w:t>
      </w:r>
      <w:bookmarkEnd w:id="39"/>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1ABE78CE">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 xml:space="preserve">Os projetos fotovoltaicos passam geralmente pelas seguintes fases: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O presente guia centra-se na fase I: o estudo preliminar.</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As principais escolhas têm de ser feitas durante o estudo preliminar, após o que pode ser elaborada, de forma eficiente, uma proposta a concurso público ou um pedido de oferta de preço. Pode adaptar o modelo dos requisitos e critérios de adjudicação ao seu projeto e acrescentá-lo em anexo ao pedido de oferta de preço ou à proposta a concurso público.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O guia abordará os seguintes temas:</w:t>
      </w:r>
    </w:p>
    <w:p w14:paraId="4E53A1EA" w14:textId="39D4E044" w:rsidR="00917A73" w:rsidRPr="004C0EBD" w:rsidRDefault="00917A73" w:rsidP="0075115D">
      <w:pPr>
        <w:pStyle w:val="BodyText1"/>
        <w:numPr>
          <w:ilvl w:val="0"/>
          <w:numId w:val="11"/>
        </w:numPr>
      </w:pPr>
      <w:r>
        <w:t>Estudo de viabilidade – dimensão do projeto, carga no telhado, ligações à rede</w:t>
      </w:r>
    </w:p>
    <w:p w14:paraId="6329141A" w14:textId="61DF3732" w:rsidR="006E3E63" w:rsidRPr="004C0EBD" w:rsidRDefault="006E3E63" w:rsidP="0075115D">
      <w:pPr>
        <w:pStyle w:val="BodyText1"/>
        <w:numPr>
          <w:ilvl w:val="0"/>
          <w:numId w:val="11"/>
        </w:numPr>
      </w:pPr>
      <w:r>
        <w:t>Dimensão do projeto e limites do concurso (para entidades públicas)</w:t>
      </w:r>
    </w:p>
    <w:p w14:paraId="4C5A1B47" w14:textId="4B6026E9" w:rsidR="00E254BC" w:rsidRPr="004C0EBD" w:rsidRDefault="00E254BC" w:rsidP="0075115D">
      <w:pPr>
        <w:pStyle w:val="BodyText1"/>
        <w:numPr>
          <w:ilvl w:val="0"/>
          <w:numId w:val="11"/>
        </w:numPr>
      </w:pPr>
      <w:r>
        <w:t xml:space="preserve">Propriedade ou arrendamento de metros quadrados?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Financiamento</w:t>
      </w:r>
    </w:p>
    <w:p w14:paraId="5D5F0168" w14:textId="1CCC38F9" w:rsidR="006E3E63" w:rsidRPr="004C0EBD" w:rsidRDefault="006E3E63" w:rsidP="0075115D">
      <w:pPr>
        <w:pStyle w:val="BodyText1"/>
        <w:numPr>
          <w:ilvl w:val="0"/>
          <w:numId w:val="11"/>
        </w:numPr>
      </w:pPr>
      <w:r>
        <w:t xml:space="preserve">Opções para a fase operacional – manutenção e monitorização </w:t>
      </w:r>
    </w:p>
    <w:p w14:paraId="418350A1" w14:textId="3DB470CA" w:rsidR="00E254BC" w:rsidRPr="004C0EBD" w:rsidRDefault="00E254BC" w:rsidP="0075115D">
      <w:pPr>
        <w:pStyle w:val="BodyText1"/>
        <w:numPr>
          <w:ilvl w:val="0"/>
          <w:numId w:val="11"/>
        </w:numPr>
      </w:pPr>
      <w:r>
        <w:t xml:space="preserve">Duração e fim de vida do projeto </w:t>
      </w:r>
    </w:p>
    <w:p w14:paraId="077C28E4" w14:textId="5C429578" w:rsidR="00843185" w:rsidRPr="006F4930" w:rsidRDefault="00843185" w:rsidP="0075115D">
      <w:pPr>
        <w:pStyle w:val="BodyText1"/>
        <w:numPr>
          <w:ilvl w:val="0"/>
          <w:numId w:val="11"/>
        </w:numPr>
      </w:pPr>
      <w:r>
        <w:t>Controlo da qualidade</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Na próxima versão do guia, esperamos incluir também:</w:t>
      </w:r>
    </w:p>
    <w:p w14:paraId="393D0B84" w14:textId="5892589F" w:rsidR="00BA688B" w:rsidRPr="004C0EBD" w:rsidRDefault="00843185" w:rsidP="0075115D">
      <w:pPr>
        <w:pStyle w:val="BodyText1"/>
        <w:numPr>
          <w:ilvl w:val="0"/>
          <w:numId w:val="11"/>
        </w:numPr>
      </w:pPr>
      <w:r>
        <w:t xml:space="preserve">Sistemas de gestão de energia </w:t>
      </w:r>
    </w:p>
    <w:p w14:paraId="796348A6" w14:textId="33BB1EB0" w:rsidR="00843185" w:rsidRPr="004C0EBD" w:rsidRDefault="00FE679B" w:rsidP="0075115D">
      <w:pPr>
        <w:pStyle w:val="BodyText1"/>
        <w:numPr>
          <w:ilvl w:val="0"/>
          <w:numId w:val="11"/>
        </w:numPr>
      </w:pPr>
      <w:r>
        <w:t>Armazenamento (baterias)</w:t>
      </w:r>
    </w:p>
    <w:p w14:paraId="0E6D1B86" w14:textId="7066331A" w:rsidR="00DA6DB7" w:rsidRPr="004C0EBD" w:rsidRDefault="00917A73" w:rsidP="0075115D">
      <w:pPr>
        <w:pStyle w:val="BodyText1"/>
        <w:numPr>
          <w:ilvl w:val="0"/>
          <w:numId w:val="11"/>
        </w:numPr>
      </w:pPr>
      <w:r>
        <w:t>Pontos de carregamento (se combinado com um projeto fotovoltaico)</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9548F1">
      <w:pPr>
        <w:pStyle w:val="MH1"/>
      </w:pPr>
      <w:bookmarkStart w:id="40" w:name="_Toc180577244"/>
      <w:r>
        <w:lastRenderedPageBreak/>
        <w:t>O estudo preliminar</w:t>
      </w:r>
      <w:bookmarkEnd w:id="40"/>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Nesta fase, determinam-se as linhas gerais do projeto e as suas necessidades e requisitos.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Dica 1</w:t>
      </w:r>
      <w:r>
        <w:rPr>
          <w:rStyle w:val="IntenseEmphasis"/>
          <w:rFonts w:ascii="Arial" w:hAnsi="Arial"/>
          <w:b/>
          <w:color w:val="104D54"/>
        </w:rPr>
        <w:t>: Fale com um consultor técnico!</w:t>
      </w:r>
    </w:p>
    <w:p w14:paraId="72CA230B" w14:textId="5A0929F3" w:rsidR="00FE679B" w:rsidRPr="004C0EBD" w:rsidRDefault="00845E96" w:rsidP="006F4930">
      <w:pPr>
        <w:pStyle w:val="BodyText1"/>
      </w:pPr>
      <w:r>
        <w:t xml:space="preserve">No </w:t>
      </w:r>
      <w:r>
        <w:rPr>
          <w:b/>
          <w:color w:val="3DC3C6"/>
          <w:u w:val="single"/>
        </w:rPr>
        <w:t>anexo 1</w:t>
      </w:r>
      <w:r>
        <w:rPr>
          <w:color w:val="3DC3C6"/>
        </w:rPr>
        <w:t xml:space="preserve"> </w:t>
      </w:r>
      <w:r>
        <w:t>encontrará uma lista de consultores técnicos que o podem ajudar nas fases preliminares. Esta dica é, evidentemente, desnecessária para indivíduos ou organizações que tenham experiência e conhecimentos suficientes.</w:t>
      </w:r>
    </w:p>
    <w:p w14:paraId="40F6E162" w14:textId="5C4AC5B5" w:rsidR="00CC023A" w:rsidRPr="00C42EE6" w:rsidRDefault="002530C0" w:rsidP="006F4930">
      <w:pPr>
        <w:pStyle w:val="BodyText1"/>
      </w:pPr>
      <w:r>
        <w:rPr>
          <w:i/>
        </w:rPr>
        <w:t xml:space="preserve">Nota: a lista não é exaustiva, há muitos consultores que ainda não foram incluídos! </w:t>
      </w:r>
      <w:r>
        <w:t xml:space="preserve"> </w:t>
      </w:r>
    </w:p>
    <w:p w14:paraId="6F7A9714" w14:textId="4BEBD562" w:rsidR="00CC023A" w:rsidRPr="004C0EBD" w:rsidRDefault="001614A7" w:rsidP="006F4930">
      <w:pPr>
        <w:pStyle w:val="BodyText1"/>
      </w:pPr>
      <w:r>
        <w:t xml:space="preserve">Pode considerar o estudo preliminar como um plano por etapas: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Estudo preliminar</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Balanço </w:t>
            </w:r>
            <w:r>
              <w:rPr>
                <w:rFonts w:ascii="Arial" w:hAnsi="Arial"/>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Lista dos locais</w:t>
            </w:r>
          </w:p>
          <w:p w14:paraId="565DECB3" w14:textId="74F0992D" w:rsidR="002E4ADD" w:rsidRPr="004C0EBD" w:rsidRDefault="002E4ADD" w:rsidP="0075115D">
            <w:pPr>
              <w:pStyle w:val="BodyText1"/>
              <w:numPr>
                <w:ilvl w:val="0"/>
                <w:numId w:val="12"/>
              </w:numPr>
              <w:ind w:left="492" w:hanging="492"/>
              <w:jc w:val="left"/>
            </w:pPr>
            <w:r>
              <w:t>Medições por telhado/parcela de terreno</w:t>
            </w:r>
          </w:p>
          <w:p w14:paraId="33154646" w14:textId="0EDDE547" w:rsidR="002E4ADD" w:rsidRPr="004C0EBD" w:rsidRDefault="00D113C8" w:rsidP="0075115D">
            <w:pPr>
              <w:pStyle w:val="BodyText1"/>
              <w:numPr>
                <w:ilvl w:val="0"/>
                <w:numId w:val="12"/>
              </w:numPr>
              <w:ind w:left="492" w:hanging="492"/>
              <w:jc w:val="left"/>
            </w:pPr>
            <w:r>
              <w:t xml:space="preserve">Fotografias e calendário de manutenção </w:t>
            </w:r>
          </w:p>
          <w:p w14:paraId="3AABCC4E" w14:textId="2541FE59" w:rsidR="002E4ADD" w:rsidRPr="004C0EBD" w:rsidRDefault="00502061" w:rsidP="0075115D">
            <w:pPr>
              <w:pStyle w:val="BodyText1"/>
              <w:numPr>
                <w:ilvl w:val="0"/>
                <w:numId w:val="12"/>
              </w:numPr>
              <w:ind w:left="492" w:hanging="492"/>
              <w:jc w:val="left"/>
            </w:pPr>
            <w:r>
              <w:t xml:space="preserve">Carga no telhado, ligação à rede e utilização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Engenharia preliminar  </w:t>
            </w:r>
            <w:r>
              <w:rPr>
                <w:rFonts w:ascii="Arial" w:hAnsi="Arial"/>
              </w:rPr>
              <w:t xml:space="preserve"> </w:t>
            </w:r>
            <w:r>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Número de painéis e capacidade por local</w:t>
            </w:r>
          </w:p>
          <w:p w14:paraId="25BF810F" w14:textId="659B8210" w:rsidR="00021D7E" w:rsidRPr="004C0EBD" w:rsidRDefault="00502061" w:rsidP="0075115D">
            <w:pPr>
              <w:pStyle w:val="BodyText1"/>
              <w:numPr>
                <w:ilvl w:val="0"/>
                <w:numId w:val="12"/>
              </w:numPr>
              <w:ind w:left="492" w:hanging="492"/>
              <w:jc w:val="left"/>
            </w:pPr>
            <w:r>
              <w:t>Projeto de justificação económica</w:t>
            </w:r>
          </w:p>
          <w:p w14:paraId="5D5A6002" w14:textId="72863708" w:rsidR="00502061" w:rsidRPr="004C0EBD" w:rsidRDefault="00502061" w:rsidP="0075115D">
            <w:pPr>
              <w:pStyle w:val="BodyText1"/>
              <w:numPr>
                <w:ilvl w:val="0"/>
                <w:numId w:val="12"/>
              </w:numPr>
              <w:ind w:left="492" w:hanging="492"/>
              <w:jc w:val="left"/>
            </w:pPr>
            <w:r>
              <w:t>Especificações preliminares</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  Propriedade e</w:t>
            </w:r>
            <w:r>
              <w:rPr>
                <w:rFonts w:ascii="Arial" w:hAnsi="Arial"/>
                <w:color w:val="FFFFFF" w:themeColor="background1"/>
              </w:rPr>
              <w:br/>
              <w:t xml:space="preserve">processo de seleção </w:t>
            </w:r>
            <w:r>
              <w:rPr>
                <w:rFonts w:ascii="Arial" w:hAnsi="Arial"/>
              </w:rPr>
              <w:t xml:space="preserve"> </w:t>
            </w:r>
            <w:r>
              <w:rPr>
                <w:rFonts w:ascii="Arial" w:hAnsi="Arial"/>
              </w:rPr>
              <w:br/>
            </w:r>
            <w:r>
              <w:rPr>
                <w:rFonts w:ascii="Arial" w:hAnsi="Arial"/>
                <w:color w:val="FFFFFF" w:themeColor="background1"/>
              </w:rPr>
              <w:t xml:space="preserve"> </w:t>
            </w:r>
            <w:r>
              <w:rPr>
                <w:rFonts w:ascii="Arial" w:hAnsi="Arial"/>
              </w:rPr>
              <w:t xml:space="preserve"> </w:t>
            </w:r>
            <w:r>
              <w:rPr>
                <w:rFonts w:ascii="Arial" w:hAnsi="Arial"/>
              </w:rPr>
              <w:br/>
            </w:r>
            <w:r>
              <w:rPr>
                <w:rFonts w:ascii="Arial" w:hAnsi="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t xml:space="preserve">Concessão/locação?  </w:t>
            </w:r>
          </w:p>
          <w:p w14:paraId="4DC14438" w14:textId="4DABEAEB" w:rsidR="00BC1A03" w:rsidRPr="004C0EBD" w:rsidRDefault="00BC1A03" w:rsidP="0075115D">
            <w:pPr>
              <w:pStyle w:val="BodyText1"/>
              <w:numPr>
                <w:ilvl w:val="0"/>
                <w:numId w:val="12"/>
              </w:numPr>
              <w:ind w:left="492" w:hanging="492"/>
              <w:jc w:val="left"/>
            </w:pPr>
            <w:r>
              <w:t xml:space="preserve">Ajuste direto? </w:t>
            </w:r>
          </w:p>
          <w:p w14:paraId="65783D51" w14:textId="7165A80B" w:rsidR="00D113C8" w:rsidRPr="004C0EBD" w:rsidRDefault="00BC1A03" w:rsidP="0075115D">
            <w:pPr>
              <w:pStyle w:val="BodyText1"/>
              <w:numPr>
                <w:ilvl w:val="0"/>
                <w:numId w:val="12"/>
              </w:numPr>
              <w:ind w:left="492" w:hanging="492"/>
              <w:jc w:val="left"/>
            </w:pPr>
            <w:r>
              <w:t>Concurso nacional ou europeu?</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  Licenças e</w:t>
            </w:r>
            <w:r>
              <w:rPr>
                <w:rFonts w:ascii="Arial" w:hAnsi="Arial"/>
                <w:color w:val="FFFFFF" w:themeColor="background1"/>
              </w:rPr>
              <w:br/>
              <w:t xml:space="preserve">ligação à rede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São necessárias licenças ambientais? </w:t>
            </w:r>
          </w:p>
          <w:p w14:paraId="275DFA18" w14:textId="6574EB53" w:rsidR="00144E8B" w:rsidRPr="004C0EBD" w:rsidRDefault="00144E8B" w:rsidP="0075115D">
            <w:pPr>
              <w:pStyle w:val="BodyText1"/>
              <w:numPr>
                <w:ilvl w:val="0"/>
                <w:numId w:val="12"/>
              </w:numPr>
              <w:ind w:left="492" w:hanging="492"/>
              <w:jc w:val="left"/>
            </w:pPr>
            <w:r>
              <w:t xml:space="preserve">Aumentar a ligação à rede? </w:t>
            </w:r>
          </w:p>
          <w:p w14:paraId="726FDFE5" w14:textId="7A2773DA" w:rsidR="00681E9B" w:rsidRPr="004C0EBD" w:rsidRDefault="00BC1A03" w:rsidP="0075115D">
            <w:pPr>
              <w:pStyle w:val="BodyText1"/>
              <w:numPr>
                <w:ilvl w:val="0"/>
                <w:numId w:val="12"/>
              </w:numPr>
              <w:ind w:left="492" w:hanging="492"/>
              <w:jc w:val="left"/>
            </w:pPr>
            <w:r>
              <w:t>Pontos de carregamento? SGE [sistema de gestão de energia] ou baterias?</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Volume de negócios, subsídios, financiamento </w:t>
            </w:r>
            <w:r>
              <w:rPr>
                <w:rFonts w:ascii="Arial" w:hAnsi="Arial"/>
                <w:color w:val="FFFFFF" w:themeColor="background1"/>
              </w:rPr>
              <w:br/>
              <w:t>e seguros</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Venda de eletricidade; SDE++ [Regime de incentivos à produção de energia sustentável e à transição climática] ou outros subsídios? </w:t>
            </w:r>
          </w:p>
          <w:p w14:paraId="1C6D623F" w14:textId="77777777" w:rsidR="005A6695" w:rsidRPr="004C0EBD" w:rsidRDefault="005A6695" w:rsidP="0075115D">
            <w:pPr>
              <w:pStyle w:val="BodyText1"/>
              <w:numPr>
                <w:ilvl w:val="0"/>
                <w:numId w:val="12"/>
              </w:numPr>
              <w:ind w:left="492" w:hanging="492"/>
              <w:jc w:val="left"/>
            </w:pPr>
            <w:r>
              <w:t xml:space="preserve">Financiamento (interno + externo)? </w:t>
            </w:r>
          </w:p>
          <w:p w14:paraId="65A5BE93" w14:textId="6C515738" w:rsidR="005A6695" w:rsidRPr="004C0EBD" w:rsidRDefault="005A6695" w:rsidP="0075115D">
            <w:pPr>
              <w:pStyle w:val="BodyText1"/>
              <w:numPr>
                <w:ilvl w:val="0"/>
                <w:numId w:val="12"/>
              </w:numPr>
              <w:ind w:left="492" w:hanging="492"/>
              <w:jc w:val="left"/>
            </w:pPr>
            <w:r>
              <w:t>Seguros</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Aspetos de sustentabilidade </w:t>
            </w:r>
          </w:p>
        </w:tc>
        <w:tc>
          <w:tcPr>
            <w:tcW w:w="5450" w:type="dxa"/>
          </w:tcPr>
          <w:p w14:paraId="2AFC672C" w14:textId="5561B16E" w:rsidR="00B63BBC" w:rsidRPr="004C0EBD" w:rsidRDefault="00FA5774" w:rsidP="0075115D">
            <w:pPr>
              <w:pStyle w:val="BodyText1"/>
              <w:numPr>
                <w:ilvl w:val="0"/>
                <w:numId w:val="12"/>
              </w:numPr>
              <w:ind w:left="492" w:hanging="492"/>
              <w:jc w:val="left"/>
            </w:pPr>
            <w:r>
              <w:t>Aspetos de sustentabilidade dos painéis solares</w:t>
            </w:r>
          </w:p>
          <w:p w14:paraId="52D6FAC6" w14:textId="77777777" w:rsidR="00F7042B" w:rsidRPr="004C0EBD" w:rsidRDefault="00FA5774" w:rsidP="0075115D">
            <w:pPr>
              <w:pStyle w:val="BodyText1"/>
              <w:numPr>
                <w:ilvl w:val="0"/>
                <w:numId w:val="12"/>
              </w:numPr>
              <w:ind w:left="492" w:hanging="492"/>
              <w:jc w:val="left"/>
            </w:pPr>
            <w:r>
              <w:t xml:space="preserve">Questões ambientais </w:t>
            </w:r>
          </w:p>
          <w:p w14:paraId="0F7EF8A0" w14:textId="58E18293" w:rsidR="00C677D9" w:rsidRPr="004C0EBD" w:rsidRDefault="00F7042B" w:rsidP="0075115D">
            <w:pPr>
              <w:pStyle w:val="BodyText1"/>
              <w:numPr>
                <w:ilvl w:val="0"/>
                <w:numId w:val="12"/>
              </w:numPr>
              <w:ind w:left="492" w:hanging="492"/>
              <w:jc w:val="left"/>
            </w:pPr>
            <w:r>
              <w:t xml:space="preserve">Condições de trabalho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t>7.  Execução e entrega</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SCIOS Scope 12 (inspeção de equipamentos elétricos) </w:t>
            </w:r>
          </w:p>
          <w:p w14:paraId="68836B08" w14:textId="61E71DA6" w:rsidR="004E647C" w:rsidRPr="004C0EBD" w:rsidRDefault="004E647C" w:rsidP="0075115D">
            <w:pPr>
              <w:pStyle w:val="BodyText1"/>
              <w:numPr>
                <w:ilvl w:val="0"/>
                <w:numId w:val="12"/>
              </w:numPr>
              <w:ind w:left="492" w:hanging="492"/>
              <w:jc w:val="left"/>
            </w:pPr>
            <w:r>
              <w:t>Outros testes e inspeções</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Manutenção e monitorização</w:t>
            </w:r>
          </w:p>
        </w:tc>
        <w:tc>
          <w:tcPr>
            <w:tcW w:w="5450" w:type="dxa"/>
          </w:tcPr>
          <w:p w14:paraId="46556BA3" w14:textId="77777777" w:rsidR="00E44898" w:rsidRPr="004C0EBD" w:rsidRDefault="00D01A67" w:rsidP="0075115D">
            <w:pPr>
              <w:pStyle w:val="BodyText1"/>
              <w:numPr>
                <w:ilvl w:val="0"/>
                <w:numId w:val="12"/>
              </w:numPr>
              <w:ind w:left="492" w:hanging="492"/>
              <w:jc w:val="left"/>
            </w:pPr>
            <w:r>
              <w:t>Manutenção</w:t>
            </w:r>
          </w:p>
          <w:p w14:paraId="46B4C901" w14:textId="4E85AC8A" w:rsidR="00D01A67" w:rsidRPr="004C0EBD" w:rsidRDefault="00D01A67" w:rsidP="0075115D">
            <w:pPr>
              <w:pStyle w:val="BodyText1"/>
              <w:numPr>
                <w:ilvl w:val="0"/>
                <w:numId w:val="12"/>
              </w:numPr>
              <w:ind w:left="492" w:hanging="492"/>
              <w:jc w:val="left"/>
            </w:pPr>
            <w:r>
              <w:t>Monitorização</w:t>
            </w:r>
          </w:p>
        </w:tc>
      </w:tr>
    </w:tbl>
    <w:p w14:paraId="25927F44" w14:textId="77777777" w:rsidR="008D2EA0" w:rsidRPr="004C0EBD" w:rsidRDefault="008D2EA0" w:rsidP="00A3595E">
      <w:pPr>
        <w:pStyle w:val="Heading2"/>
      </w:pPr>
    </w:p>
    <w:p w14:paraId="164855BD" w14:textId="12D8E33E" w:rsidR="00CC46CB" w:rsidRPr="001079C7" w:rsidRDefault="00BC1A03" w:rsidP="009548F1">
      <w:pPr>
        <w:pStyle w:val="MH2"/>
      </w:pPr>
      <w:bookmarkStart w:id="41" w:name="_Toc180577245"/>
      <w:r>
        <w:t>Etapa 1. Balanço</w:t>
      </w:r>
      <w:bookmarkEnd w:id="41"/>
    </w:p>
    <w:p w14:paraId="1B214EE4" w14:textId="77777777" w:rsidR="00411443" w:rsidRPr="004C0EBD" w:rsidRDefault="00411443" w:rsidP="00A3595E"/>
    <w:p w14:paraId="420861F0" w14:textId="3B0B2D94" w:rsidR="00681E9B" w:rsidRPr="004C0EBD" w:rsidRDefault="00E7122D" w:rsidP="001079C7">
      <w:pPr>
        <w:pStyle w:val="BodyText1"/>
      </w:pPr>
      <w:r>
        <w:t xml:space="preserve">A primeira etapa do projeto consiste em fazer o balanço dos telhados ou parcelas de terreno disponíveis incluídos no projeto. Pode fazê-lo (parcialmente) sozinho ou com a ajuda de um consultor técnico (ver Dica 1). Se se tratar de vários locais, é frequentemente apresentada uma síntese num quadro, juntamente com fotografias e mapas de cada local. </w:t>
      </w:r>
    </w:p>
    <w:p w14:paraId="76D4D889" w14:textId="77777777" w:rsidR="00681E9B" w:rsidRPr="004C0EBD" w:rsidRDefault="00681E9B" w:rsidP="00A3595E"/>
    <w:p w14:paraId="5D2BA25A" w14:textId="5C92DB7E" w:rsidR="00114C41" w:rsidRPr="004C0EBD" w:rsidRDefault="00444DFF" w:rsidP="009548F1">
      <w:pPr>
        <w:pStyle w:val="MH3"/>
      </w:pPr>
      <w:bookmarkStart w:id="42" w:name="_Toc180577246"/>
      <w:r>
        <w:t>1.1 Aspetos gerais</w:t>
      </w:r>
      <w:bookmarkEnd w:id="42"/>
      <w:r>
        <w:t xml:space="preserve"> </w:t>
      </w:r>
    </w:p>
    <w:p w14:paraId="5B6D9F83" w14:textId="77777777" w:rsidR="00114C41" w:rsidRPr="004C0EBD" w:rsidRDefault="00114C41" w:rsidP="0075115D">
      <w:pPr>
        <w:pStyle w:val="BodyText1"/>
        <w:numPr>
          <w:ilvl w:val="0"/>
          <w:numId w:val="13"/>
        </w:numPr>
      </w:pPr>
      <w:r>
        <w:t xml:space="preserve">Morada do local </w:t>
      </w:r>
    </w:p>
    <w:p w14:paraId="5DB92B22" w14:textId="7931C678" w:rsidR="00114C41" w:rsidRPr="004C0EBD" w:rsidRDefault="00114C41" w:rsidP="0075115D">
      <w:pPr>
        <w:pStyle w:val="BodyText1"/>
        <w:numPr>
          <w:ilvl w:val="0"/>
          <w:numId w:val="13"/>
        </w:numPr>
      </w:pPr>
      <w:r>
        <w:t>Descrição sucinta do local</w:t>
      </w:r>
    </w:p>
    <w:p w14:paraId="0A07B288" w14:textId="2F3857E4" w:rsidR="00114C41" w:rsidRPr="004C0EBD" w:rsidRDefault="00114C41" w:rsidP="0075115D">
      <w:pPr>
        <w:pStyle w:val="BodyText1"/>
        <w:numPr>
          <w:ilvl w:val="0"/>
          <w:numId w:val="13"/>
        </w:numPr>
      </w:pPr>
      <w:r>
        <w:t xml:space="preserve">Medições aproximadas da área fotovoltaica (comprimento x largura) </w:t>
      </w:r>
    </w:p>
    <w:p w14:paraId="72BD0897" w14:textId="5E125031" w:rsidR="00114C41" w:rsidRPr="001079C7" w:rsidRDefault="00114C41" w:rsidP="0075115D">
      <w:pPr>
        <w:pStyle w:val="BodyText1"/>
        <w:numPr>
          <w:ilvl w:val="0"/>
          <w:numId w:val="13"/>
        </w:numPr>
      </w:pPr>
      <w:r>
        <w:t xml:space="preserve">Possível data de início da instalação e data de termo, se aplicável </w:t>
      </w:r>
    </w:p>
    <w:p w14:paraId="3806F316" w14:textId="77777777" w:rsidR="001079C7" w:rsidRPr="004C0EBD" w:rsidRDefault="001079C7" w:rsidP="001079C7">
      <w:pPr>
        <w:pStyle w:val="BodyText1"/>
      </w:pPr>
    </w:p>
    <w:p w14:paraId="7F334611" w14:textId="5E538399" w:rsidR="00E7122D" w:rsidRPr="004C0EBD" w:rsidRDefault="00444DFF" w:rsidP="009548F1">
      <w:pPr>
        <w:pStyle w:val="MH3"/>
      </w:pPr>
      <w:bookmarkStart w:id="43" w:name="_Toc180577247"/>
      <w:r>
        <w:t>1.2 Considerações de ordem elétrica</w:t>
      </w:r>
      <w:bookmarkEnd w:id="43"/>
    </w:p>
    <w:p w14:paraId="0E76CFDD" w14:textId="5681F8E5" w:rsidR="003C1054" w:rsidRPr="004C0EBD" w:rsidRDefault="003C1054" w:rsidP="001079C7">
      <w:pPr>
        <w:pStyle w:val="BodyText1"/>
      </w:pPr>
      <w:r>
        <w:t xml:space="preserve">Faça o balanço com o diretor da obra/gestor do edifício: </w:t>
      </w:r>
    </w:p>
    <w:p w14:paraId="52AB198E" w14:textId="7D194B9A" w:rsidR="007C4E71" w:rsidRPr="004C0EBD" w:rsidRDefault="007C4E71" w:rsidP="0075115D">
      <w:pPr>
        <w:pStyle w:val="BodyText1"/>
        <w:numPr>
          <w:ilvl w:val="0"/>
          <w:numId w:val="14"/>
        </w:numPr>
      </w:pPr>
      <w:r>
        <w:t>Existe autoconsumo? Existe uma ligação à rede neste local?</w:t>
      </w:r>
    </w:p>
    <w:p w14:paraId="26D1DF1B" w14:textId="5B0621F7" w:rsidR="00411443" w:rsidRPr="004C0EBD" w:rsidRDefault="00114C41" w:rsidP="0075115D">
      <w:pPr>
        <w:pStyle w:val="BodyText1"/>
        <w:numPr>
          <w:ilvl w:val="0"/>
          <w:numId w:val="14"/>
        </w:numPr>
      </w:pPr>
      <w:r>
        <w:t>Dimensão da ligação à rede neste local (por exemplo, 3 x 80 A)</w:t>
      </w:r>
    </w:p>
    <w:p w14:paraId="2F3D523B" w14:textId="441412C2" w:rsidR="00E7122D" w:rsidRPr="004C0EBD" w:rsidRDefault="003C1054" w:rsidP="0075115D">
      <w:pPr>
        <w:pStyle w:val="BodyText1"/>
        <w:numPr>
          <w:ilvl w:val="0"/>
          <w:numId w:val="14"/>
        </w:numPr>
      </w:pPr>
      <w:r>
        <w:t xml:space="preserve">Autoconsumo de eletricidade no local </w:t>
      </w:r>
    </w:p>
    <w:p w14:paraId="3DEE601E" w14:textId="59CB8CD6" w:rsidR="00496B5F" w:rsidRPr="004C0EBD" w:rsidRDefault="007C4E71" w:rsidP="0075115D">
      <w:pPr>
        <w:pStyle w:val="BodyText1"/>
        <w:numPr>
          <w:ilvl w:val="0"/>
          <w:numId w:val="14"/>
        </w:numPr>
      </w:pPr>
      <w:r>
        <w:t>Alterações esperadas no consumo de eletricidade</w:t>
      </w:r>
    </w:p>
    <w:p w14:paraId="774CA499" w14:textId="647800FF" w:rsidR="00BC1A03" w:rsidRPr="001079C7" w:rsidRDefault="00BC1A03" w:rsidP="0075115D">
      <w:pPr>
        <w:pStyle w:val="BodyText1"/>
        <w:numPr>
          <w:ilvl w:val="0"/>
          <w:numId w:val="14"/>
        </w:numPr>
      </w:pPr>
      <w:r>
        <w:t>Possivelmente: necessidade de pontos de carregamento</w:t>
      </w:r>
    </w:p>
    <w:p w14:paraId="55F12E43" w14:textId="77777777" w:rsidR="001079C7" w:rsidRPr="004C0EBD" w:rsidRDefault="001079C7" w:rsidP="001079C7">
      <w:pPr>
        <w:pStyle w:val="BodyText1"/>
      </w:pPr>
    </w:p>
    <w:p w14:paraId="379FE481" w14:textId="418BDC35" w:rsidR="007C4E71" w:rsidRPr="004C0EBD" w:rsidRDefault="00444DFF" w:rsidP="009548F1">
      <w:pPr>
        <w:pStyle w:val="MH3"/>
      </w:pPr>
      <w:bookmarkStart w:id="44" w:name="_Toc180577248"/>
      <w:r>
        <w:t>1.3 Fotografias e mapas</w:t>
      </w:r>
      <w:bookmarkEnd w:id="44"/>
    </w:p>
    <w:p w14:paraId="652FBA37" w14:textId="77777777" w:rsidR="001079C7" w:rsidRPr="00C42EE6" w:rsidRDefault="003C1054" w:rsidP="001079C7">
      <w:pPr>
        <w:pStyle w:val="BodyText1"/>
      </w:pPr>
      <w:r>
        <w:t xml:space="preserve">Preparar um ficheiro digital com mapas do local, imagens de satélite e imagens em grande plano, incluindo </w:t>
      </w:r>
    </w:p>
    <w:p w14:paraId="513C6494" w14:textId="066ED6B6" w:rsidR="00114C41" w:rsidRPr="004C0EBD" w:rsidRDefault="003C1054" w:rsidP="001079C7">
      <w:pPr>
        <w:pStyle w:val="BodyText1"/>
      </w:pPr>
      <w:r>
        <w:t xml:space="preserve">eventuais obstáculos. </w:t>
      </w:r>
    </w:p>
    <w:p w14:paraId="54052296" w14:textId="77777777" w:rsidR="00444DFF" w:rsidRPr="004C0EBD" w:rsidRDefault="00444DFF" w:rsidP="00A3595E"/>
    <w:p w14:paraId="1C7C8400" w14:textId="1B33421D" w:rsidR="00411443" w:rsidRPr="004C0EBD" w:rsidRDefault="00444DFF" w:rsidP="009548F1">
      <w:pPr>
        <w:pStyle w:val="MH3"/>
      </w:pPr>
      <w:bookmarkStart w:id="45" w:name="_Toc180577249"/>
      <w:r>
        <w:t>1.4 Planeamento</w:t>
      </w:r>
      <w:bookmarkEnd w:id="45"/>
      <w:r>
        <w:t xml:space="preserve"> </w:t>
      </w:r>
    </w:p>
    <w:p w14:paraId="4F82EC2B" w14:textId="7ADC4DEC" w:rsidR="003C1054" w:rsidRPr="004C0EBD" w:rsidRDefault="003C1054" w:rsidP="00A70E7F">
      <w:pPr>
        <w:pStyle w:val="BodyText1"/>
      </w:pPr>
      <w:r>
        <w:t xml:space="preserve">Faça o balanço com o diretor da obra/gestor do edifício: </w:t>
      </w:r>
    </w:p>
    <w:p w14:paraId="407FE870" w14:textId="0BB90B32" w:rsidR="00411443" w:rsidRPr="004C0EBD" w:rsidRDefault="003C1054" w:rsidP="0075115D">
      <w:pPr>
        <w:pStyle w:val="BodyText1"/>
        <w:numPr>
          <w:ilvl w:val="0"/>
          <w:numId w:val="15"/>
        </w:numPr>
      </w:pPr>
      <w:r>
        <w:t xml:space="preserve">Manutenção em grande escala – por exemplo, substituição do telhado </w:t>
      </w:r>
    </w:p>
    <w:p w14:paraId="5A17C2AA" w14:textId="54EF4339" w:rsidR="007C4E71" w:rsidRPr="00A70E7F" w:rsidRDefault="00411443" w:rsidP="0075115D">
      <w:pPr>
        <w:pStyle w:val="BodyText1"/>
        <w:numPr>
          <w:ilvl w:val="0"/>
          <w:numId w:val="15"/>
        </w:numPr>
      </w:pPr>
      <w:r>
        <w:t xml:space="preserve">Planos relativos a parcelas de terreno/telhados – está prevista alguma construção/desenvolvimento no futuro? </w:t>
      </w:r>
    </w:p>
    <w:p w14:paraId="0BBD0BB9" w14:textId="77777777" w:rsidR="00A70E7F" w:rsidRPr="004C0EBD" w:rsidRDefault="00A70E7F" w:rsidP="00A70E7F">
      <w:pPr>
        <w:pStyle w:val="BodyText1"/>
      </w:pPr>
    </w:p>
    <w:p w14:paraId="26C0B24E" w14:textId="201CBAB8" w:rsidR="003C1054" w:rsidRPr="004C0EBD" w:rsidRDefault="00444DFF" w:rsidP="009548F1">
      <w:pPr>
        <w:pStyle w:val="MH3"/>
      </w:pPr>
      <w:bookmarkStart w:id="46" w:name="_Toc180577250"/>
      <w:r>
        <w:t>1.5 Carga no telhado</w:t>
      </w:r>
      <w:bookmarkEnd w:id="46"/>
    </w:p>
    <w:p w14:paraId="77E710BB" w14:textId="73038DB9" w:rsidR="00D347ED" w:rsidRPr="004C0EBD" w:rsidRDefault="00444DFF" w:rsidP="00A70E7F">
      <w:pPr>
        <w:pStyle w:val="BodyText1"/>
      </w:pPr>
      <w:r>
        <w:t xml:space="preserve">A carga autorizada no telhado é um parâmetro importante para os projetos </w:t>
      </w:r>
      <w:proofErr w:type="spellStart"/>
      <w:r>
        <w:rPr>
          <w:i/>
        </w:rPr>
        <w:t>Zon-op-Dak</w:t>
      </w:r>
      <w:proofErr w:type="spellEnd"/>
      <w:r>
        <w:t xml:space="preserve"> [Sistemas Solares em Telhados]. Nos Países Baixos, cerca de metade dos telhados </w:t>
      </w:r>
      <w:r>
        <w:rPr>
          <w:i/>
        </w:rPr>
        <w:t>não</w:t>
      </w:r>
      <w:r>
        <w:t xml:space="preserve"> se adequam a um sistema fotovoltaico normal, uma vez que o lastro que impede os painéis de serem deslocados pelo vento é demasiado pesado. </w:t>
      </w:r>
    </w:p>
    <w:p w14:paraId="6EBC3381" w14:textId="1D4D5D99" w:rsidR="00444DFF" w:rsidRPr="004C0EBD" w:rsidRDefault="00D347ED" w:rsidP="00A70E7F">
      <w:pPr>
        <w:pStyle w:val="BodyText1"/>
      </w:pPr>
      <w:r>
        <w:t xml:space="preserve"> </w:t>
      </w:r>
      <w:r>
        <w:br/>
        <w:t>Há várias soluções para os casos em que o telhado é demasiado frágil, nomeadamente:</w:t>
      </w:r>
    </w:p>
    <w:p w14:paraId="6C09C343" w14:textId="69AD8252" w:rsidR="00444DFF" w:rsidRPr="004C0EBD" w:rsidRDefault="00377C7A" w:rsidP="0075115D">
      <w:pPr>
        <w:pStyle w:val="BodyText1"/>
        <w:numPr>
          <w:ilvl w:val="0"/>
          <w:numId w:val="16"/>
        </w:numPr>
      </w:pPr>
      <w:r>
        <w:t>um sistema fotovoltaico sem lastro, com ancoragem no telhado</w:t>
      </w:r>
    </w:p>
    <w:p w14:paraId="5FD78EB2" w14:textId="41AD75BC" w:rsidR="00444DFF" w:rsidRPr="004C0EBD" w:rsidRDefault="00D347ED" w:rsidP="0075115D">
      <w:pPr>
        <w:pStyle w:val="BodyText1"/>
        <w:numPr>
          <w:ilvl w:val="0"/>
          <w:numId w:val="16"/>
        </w:numPr>
      </w:pPr>
      <w:r>
        <w:t xml:space="preserve">painéis solares flexíveis colados ao telhado </w:t>
      </w:r>
    </w:p>
    <w:p w14:paraId="72237B61" w14:textId="398B99EF" w:rsidR="00BC1A03" w:rsidRPr="004C0EBD" w:rsidRDefault="00D347ED" w:rsidP="0075115D">
      <w:pPr>
        <w:pStyle w:val="BodyText1"/>
        <w:numPr>
          <w:ilvl w:val="0"/>
          <w:numId w:val="16"/>
        </w:numPr>
      </w:pPr>
      <w:r>
        <w:lastRenderedPageBreak/>
        <w:t xml:space="preserve">painéis solares leves especiais (por exemplo, </w:t>
      </w:r>
      <w:proofErr w:type="spellStart"/>
      <w:r>
        <w:t>Solarge</w:t>
      </w:r>
      <w:proofErr w:type="spellEnd"/>
      <w:r>
        <w:t>) ou sistemas de fixação especiais</w:t>
      </w:r>
    </w:p>
    <w:p w14:paraId="6FF6B0D8" w14:textId="10CF4FAB" w:rsidR="00D347ED" w:rsidRPr="004C0EBD" w:rsidRDefault="00D347ED" w:rsidP="0075115D">
      <w:pPr>
        <w:pStyle w:val="BodyText1"/>
        <w:numPr>
          <w:ilvl w:val="0"/>
          <w:numId w:val="16"/>
        </w:numPr>
      </w:pPr>
      <w:r>
        <w:t>reforço da estrutura do telhado</w:t>
      </w:r>
    </w:p>
    <w:p w14:paraId="2E50202C" w14:textId="05AFEF77" w:rsidR="00D347ED" w:rsidRPr="004C0EBD" w:rsidRDefault="003C1054" w:rsidP="00A70E7F">
      <w:pPr>
        <w:pStyle w:val="BodyText1"/>
      </w:pPr>
      <w:r>
        <w:t>A carga autorizada no telhado pode ser explicada ou calculada pelo empreiteiro ou pelo arquiteto do edifício/telhado; caso contrário, pode ser determinada por um consultor independente de física dos edifícios ou por um engenheiro de estruturas.</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Dica 2</w:t>
      </w:r>
      <w:r>
        <w:rPr>
          <w:rFonts w:ascii="Arial" w:hAnsi="Arial"/>
          <w:b/>
          <w:color w:val="104D54"/>
        </w:rPr>
        <w:t xml:space="preserve">: No </w:t>
      </w:r>
      <w:r>
        <w:rPr>
          <w:rFonts w:ascii="Arial" w:hAnsi="Arial"/>
          <w:b/>
          <w:color w:val="104D54"/>
          <w:u w:val="single"/>
        </w:rPr>
        <w:t>anexo 2</w:t>
      </w:r>
      <w:r>
        <w:rPr>
          <w:rFonts w:ascii="Arial" w:hAnsi="Arial"/>
          <w:b/>
          <w:color w:val="104D54"/>
        </w:rPr>
        <w:t xml:space="preserve"> encontrará uma lista de peritos independentes que o podem ajudar nesta fase.</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9548F1">
      <w:pPr>
        <w:pStyle w:val="MH2"/>
        <w:rPr>
          <w:rFonts w:eastAsiaTheme="majorEastAsia"/>
          <w:bCs/>
          <w:color w:val="92D050"/>
          <w:sz w:val="26"/>
          <w:szCs w:val="26"/>
        </w:rPr>
      </w:pPr>
      <w:bookmarkStart w:id="47" w:name="_Toc180577251"/>
      <w:r>
        <w:t>Etapa 2. Engenharia preliminar</w:t>
      </w:r>
      <w:bookmarkEnd w:id="47"/>
    </w:p>
    <w:p w14:paraId="08ADCCFC" w14:textId="77777777" w:rsidR="00EF504B" w:rsidRPr="004C0EBD" w:rsidRDefault="00EF504B" w:rsidP="00A3595E"/>
    <w:p w14:paraId="746B00D5" w14:textId="77777777" w:rsidR="00A70E7F" w:rsidRPr="00C42EE6" w:rsidRDefault="00151032" w:rsidP="00A70E7F">
      <w:pPr>
        <w:pStyle w:val="BodyText1"/>
      </w:pPr>
      <w:r>
        <w:t xml:space="preserve">Se a sua organização tiver muita experiência com projetos fotovoltaicos e </w:t>
      </w:r>
      <w:r>
        <w:rPr>
          <w:i/>
          <w:iCs/>
        </w:rPr>
        <w:t>software</w:t>
      </w:r>
      <w:r>
        <w:t xml:space="preserve"> adequado, pode fazê-lo sozinho, caso contrário deve recorrer a um consultor técnico.</w:t>
      </w:r>
    </w:p>
    <w:p w14:paraId="43DBAA02" w14:textId="480BF3D3" w:rsidR="004C453E" w:rsidRPr="00317D9E" w:rsidRDefault="004C453E" w:rsidP="00A70E7F">
      <w:pPr>
        <w:pStyle w:val="BodyText1"/>
      </w:pPr>
    </w:p>
    <w:p w14:paraId="31ED8F63" w14:textId="7202D20A" w:rsidR="004C453E" w:rsidRPr="004C0EBD" w:rsidRDefault="00151032" w:rsidP="00A70E7F">
      <w:pPr>
        <w:pStyle w:val="BodyText1"/>
      </w:pPr>
      <w:r>
        <w:t xml:space="preserve">É nesta fase que determina as especificações preliminares da instalação fotovoltaica. Esta fase é importante para assegurar uma atribuição mais clara, que, por sua vez, permite às partes contratantes apresentarem uma proposta mais precisa num prazo mais curto.  </w:t>
      </w:r>
    </w:p>
    <w:p w14:paraId="46EE7F19" w14:textId="77777777" w:rsidR="004C453E" w:rsidRPr="004C0EBD" w:rsidRDefault="004C453E" w:rsidP="00A3595E"/>
    <w:p w14:paraId="189EACD7" w14:textId="3FAE0B9D" w:rsidR="004C453E" w:rsidRPr="00C42EE6" w:rsidRDefault="00444DFF" w:rsidP="009548F1">
      <w:pPr>
        <w:pStyle w:val="MH3"/>
      </w:pPr>
      <w:bookmarkStart w:id="48" w:name="_Toc180577252"/>
      <w:r>
        <w:t>2.1 Determinar o número máximo de painéis solares e a produção máxima de energia</w:t>
      </w:r>
      <w:bookmarkEnd w:id="48"/>
      <w:r>
        <w:t xml:space="preserve"> </w:t>
      </w:r>
    </w:p>
    <w:p w14:paraId="17543A43" w14:textId="0B57A84B" w:rsidR="00DC2765" w:rsidRPr="004C0EBD" w:rsidRDefault="00DC2765" w:rsidP="0075115D">
      <w:pPr>
        <w:pStyle w:val="BodyText1"/>
        <w:numPr>
          <w:ilvl w:val="0"/>
          <w:numId w:val="18"/>
        </w:numPr>
      </w:pPr>
      <w:r>
        <w:t xml:space="preserve">Determinar a orientação, este-oeste ou sul, ou outra orientação, </w:t>
      </w:r>
      <w:r>
        <w:br/>
        <w:t xml:space="preserve">            dos painéis solares </w:t>
      </w:r>
    </w:p>
    <w:p w14:paraId="7E349BD3" w14:textId="51DF5FBE" w:rsidR="00FC7CC6" w:rsidRPr="004C0EBD" w:rsidRDefault="00BC3C5E" w:rsidP="0075115D">
      <w:pPr>
        <w:pStyle w:val="BodyText1"/>
        <w:numPr>
          <w:ilvl w:val="0"/>
          <w:numId w:val="17"/>
        </w:numPr>
      </w:pPr>
      <w:r>
        <w:t>Previsão indicativa dos painéis solares por local</w:t>
      </w:r>
    </w:p>
    <w:p w14:paraId="5F53603B" w14:textId="0E9D80BC" w:rsidR="00A613D4" w:rsidRPr="004C0EBD" w:rsidRDefault="00FC7CC6" w:rsidP="0075115D">
      <w:pPr>
        <w:pStyle w:val="BodyText1"/>
        <w:numPr>
          <w:ilvl w:val="0"/>
          <w:numId w:val="17"/>
        </w:numPr>
      </w:pPr>
      <w:r>
        <w:t xml:space="preserve">Determinar o número máximo de painéis  </w:t>
      </w:r>
    </w:p>
    <w:p w14:paraId="49135BFD" w14:textId="177FC8D9" w:rsidR="00FC7CC6" w:rsidRPr="004C0EBD" w:rsidRDefault="00FC7CC6" w:rsidP="0075115D">
      <w:pPr>
        <w:pStyle w:val="BodyText1"/>
        <w:numPr>
          <w:ilvl w:val="0"/>
          <w:numId w:val="17"/>
        </w:numPr>
      </w:pPr>
      <w:r>
        <w:t xml:space="preserve">Determinar a potência máxima por local </w:t>
      </w:r>
    </w:p>
    <w:p w14:paraId="6FAE0A43" w14:textId="6E47CF5D" w:rsidR="00FC7CC6" w:rsidRPr="004C0EBD" w:rsidRDefault="00FC7CC6" w:rsidP="0075115D">
      <w:pPr>
        <w:pStyle w:val="BodyText1"/>
        <w:numPr>
          <w:ilvl w:val="0"/>
          <w:numId w:val="17"/>
        </w:numPr>
      </w:pPr>
      <w:r>
        <w:t xml:space="preserve">Determinar a produção anual máxima de energia </w:t>
      </w:r>
    </w:p>
    <w:p w14:paraId="7B06B5CA" w14:textId="16B76D1E" w:rsidR="00DC2765" w:rsidRPr="00A70E7F" w:rsidRDefault="00DC2765" w:rsidP="0075115D">
      <w:pPr>
        <w:pStyle w:val="BodyText1"/>
        <w:numPr>
          <w:ilvl w:val="0"/>
          <w:numId w:val="17"/>
        </w:numPr>
      </w:pPr>
      <w:r>
        <w:t>Verificar se a produção máxima de energia está adaptada à ligação existente</w:t>
      </w:r>
    </w:p>
    <w:p w14:paraId="057FE66C" w14:textId="77777777" w:rsidR="00A70E7F" w:rsidRPr="004C0EBD" w:rsidRDefault="00A70E7F" w:rsidP="00A70E7F">
      <w:pPr>
        <w:pStyle w:val="BodyText1"/>
      </w:pPr>
    </w:p>
    <w:p w14:paraId="3604A7E9" w14:textId="7246DAD6" w:rsidR="00A613D4" w:rsidRPr="004C0EBD" w:rsidRDefault="00444DFF" w:rsidP="009548F1">
      <w:pPr>
        <w:pStyle w:val="MH3"/>
      </w:pPr>
      <w:bookmarkStart w:id="49" w:name="_Toc180577253"/>
      <w:r>
        <w:t>2.2 Esboçar as linhas gerais do estudo de justificação económica</w:t>
      </w:r>
      <w:bookmarkEnd w:id="49"/>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Investimento indicativo para a instalação do sistema fotovoltaico: por </w:t>
      </w:r>
      <w:proofErr w:type="spellStart"/>
      <w:r>
        <w:rPr>
          <w:rFonts w:ascii="Arial" w:hAnsi="Arial"/>
        </w:rPr>
        <w:t>Wp</w:t>
      </w:r>
      <w:proofErr w:type="spellEnd"/>
      <w:r>
        <w:rPr>
          <w:rFonts w:ascii="Arial" w:hAnsi="Arial"/>
        </w:rPr>
        <w:t xml:space="preserve"> e montante total em milhares de euros.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Ligação à rede: adaptar ou não?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Em caso afirmativo: calendário indicativo do operador da rede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Rendimento: regime SDE++ ou outro subsídio? </w:t>
      </w:r>
    </w:p>
    <w:p w14:paraId="618E254A" w14:textId="5D01DA4B" w:rsidR="00DC2765" w:rsidRPr="00A70E7F" w:rsidRDefault="00DC2765" w:rsidP="0075115D">
      <w:pPr>
        <w:pStyle w:val="ListParagraph"/>
        <w:numPr>
          <w:ilvl w:val="1"/>
          <w:numId w:val="19"/>
        </w:numPr>
        <w:rPr>
          <w:rFonts w:ascii="Arial" w:hAnsi="Arial" w:cs="Arial"/>
        </w:rPr>
      </w:pPr>
      <w:r>
        <w:rPr>
          <w:rFonts w:ascii="Arial" w:hAnsi="Arial"/>
        </w:rPr>
        <w:t xml:space="preserve">Se for o regime SDE++: verifique qual a capacidade de CA máxima que pode ligar ao sistema;  </w:t>
      </w:r>
      <w:r>
        <w:rPr>
          <w:rFonts w:ascii="Arial" w:hAnsi="Arial"/>
        </w:rPr>
        <w:br/>
        <w:t xml:space="preserve">este valor é geralmente de, no máximo, 50 %, por vezes 70 % da capacidade de CC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Rendimento: redução prevista da quantidade de eletricidade a adquirir e economias de custos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Rendimento: projeção das receitas da venda de energia solar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lastRenderedPageBreak/>
        <w:t xml:space="preserve">Possivelmente: como lidar com os preços negativos – sistema de gestão da energia? </w:t>
      </w:r>
    </w:p>
    <w:p w14:paraId="41F4C0DB" w14:textId="77777777" w:rsidR="00FF7CCF" w:rsidRDefault="00FF7CCF" w:rsidP="009548F1">
      <w:pPr>
        <w:pStyle w:val="MH3"/>
      </w:pPr>
    </w:p>
    <w:p w14:paraId="67A1D1C4" w14:textId="77777777" w:rsidR="005C5B6D" w:rsidRDefault="005C5B6D" w:rsidP="009548F1">
      <w:pPr>
        <w:pStyle w:val="MH3"/>
      </w:pPr>
    </w:p>
    <w:p w14:paraId="037A170F" w14:textId="77777777" w:rsidR="005C5B6D" w:rsidRDefault="005C5B6D" w:rsidP="009548F1">
      <w:pPr>
        <w:pStyle w:val="MH3"/>
      </w:pPr>
    </w:p>
    <w:p w14:paraId="2D83F8BB" w14:textId="77777777" w:rsidR="005C5B6D" w:rsidRDefault="005C5B6D" w:rsidP="009548F1">
      <w:pPr>
        <w:pStyle w:val="MH3"/>
      </w:pPr>
    </w:p>
    <w:p w14:paraId="60BF0DC9" w14:textId="4E8E3E31" w:rsidR="00A430E2" w:rsidRPr="004C0EBD" w:rsidRDefault="00444DFF" w:rsidP="009548F1">
      <w:pPr>
        <w:pStyle w:val="MH3"/>
      </w:pPr>
      <w:bookmarkStart w:id="50" w:name="_Toc180577254"/>
      <w:r>
        <w:t>2.3 Determinar a estimativa da produção de energia, os custos do projeto e o número de painéis solares</w:t>
      </w:r>
      <w:bookmarkEnd w:id="50"/>
      <w:r>
        <w:t xml:space="preserve"> </w:t>
      </w:r>
    </w:p>
    <w:p w14:paraId="61AB905F" w14:textId="419CBC21" w:rsidR="006A4807" w:rsidRPr="004C0EBD" w:rsidRDefault="006A4807" w:rsidP="00FF7CCF">
      <w:pPr>
        <w:pStyle w:val="BodyText1"/>
      </w:pPr>
      <w:r>
        <w:t xml:space="preserve">Muitas vezes, serão necessárias várias tentativas antes de definir as especificações preliminares, em parte porque estas dependem de várias metas e limitações. As especificações preliminares são as seguintes: </w:t>
      </w:r>
    </w:p>
    <w:p w14:paraId="1D5721C3" w14:textId="5E89B471" w:rsidR="006A4807" w:rsidRPr="004C0EBD" w:rsidRDefault="006A4807" w:rsidP="0075115D">
      <w:pPr>
        <w:pStyle w:val="BodyText1"/>
        <w:numPr>
          <w:ilvl w:val="0"/>
          <w:numId w:val="21"/>
        </w:numPr>
      </w:pPr>
      <w:r>
        <w:t xml:space="preserve">A capacidade total dos painéis solares (capacidade de CC) </w:t>
      </w:r>
    </w:p>
    <w:p w14:paraId="4D0A6C41" w14:textId="63DC4491" w:rsidR="006A4807" w:rsidRPr="004C0EBD" w:rsidRDefault="006A4807" w:rsidP="0075115D">
      <w:pPr>
        <w:pStyle w:val="BodyText1"/>
        <w:numPr>
          <w:ilvl w:val="0"/>
          <w:numId w:val="21"/>
        </w:numPr>
      </w:pPr>
      <w:r>
        <w:t xml:space="preserve">A capacidade de CA dos inversores </w:t>
      </w:r>
    </w:p>
    <w:p w14:paraId="1F6D6089" w14:textId="143F4FA3" w:rsidR="006A4807" w:rsidRPr="004C0EBD" w:rsidRDefault="006A4807" w:rsidP="0075115D">
      <w:pPr>
        <w:pStyle w:val="BodyText1"/>
        <w:numPr>
          <w:ilvl w:val="0"/>
          <w:numId w:val="21"/>
        </w:numPr>
      </w:pPr>
      <w:r>
        <w:t xml:space="preserve">A produção anual de energia </w:t>
      </w:r>
    </w:p>
    <w:p w14:paraId="59A0CAC4" w14:textId="0718C367" w:rsidR="00950CF7" w:rsidRPr="004C0EBD" w:rsidRDefault="006A4807" w:rsidP="0075115D">
      <w:pPr>
        <w:pStyle w:val="BodyText1"/>
        <w:numPr>
          <w:ilvl w:val="0"/>
          <w:numId w:val="21"/>
        </w:numPr>
      </w:pPr>
      <w:r>
        <w:t xml:space="preserve">Os custos indicativos do projeto (capacidade de CC em </w:t>
      </w:r>
      <w:proofErr w:type="spellStart"/>
      <w:r>
        <w:t>Wp</w:t>
      </w:r>
      <w:proofErr w:type="spellEnd"/>
      <w:r>
        <w:t xml:space="preserve"> x 1 EUR por watt)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9548F1">
      <w:pPr>
        <w:pStyle w:val="MH3"/>
      </w:pPr>
      <w:bookmarkStart w:id="51" w:name="_Toc180577255"/>
      <w:r>
        <w:t>2.4 Facultativo</w:t>
      </w:r>
      <w:bookmarkEnd w:id="51"/>
    </w:p>
    <w:p w14:paraId="46F06188" w14:textId="557DB0C6" w:rsidR="00FC7CC6" w:rsidRPr="004C0EBD" w:rsidRDefault="00A430E2" w:rsidP="0075115D">
      <w:pPr>
        <w:pStyle w:val="BodyText1"/>
        <w:numPr>
          <w:ilvl w:val="0"/>
          <w:numId w:val="20"/>
        </w:numPr>
      </w:pPr>
      <w:r>
        <w:t xml:space="preserve">Faseamento dos locais </w:t>
      </w:r>
    </w:p>
    <w:p w14:paraId="61BF59F1" w14:textId="51F37E63" w:rsidR="00BC3C5E" w:rsidRPr="004C0EBD" w:rsidRDefault="00BC3C5E" w:rsidP="0075115D">
      <w:pPr>
        <w:pStyle w:val="BodyText1"/>
        <w:numPr>
          <w:ilvl w:val="0"/>
          <w:numId w:val="20"/>
        </w:numPr>
      </w:pPr>
      <w:r>
        <w:t xml:space="preserve">Possivelmente: optar por painéis solares </w:t>
      </w:r>
      <w:proofErr w:type="spellStart"/>
      <w:r>
        <w:t>monofaciais</w:t>
      </w:r>
      <w:proofErr w:type="spellEnd"/>
      <w:r>
        <w:t xml:space="preserve">/bifaciais </w:t>
      </w:r>
    </w:p>
    <w:p w14:paraId="3A9DF611" w14:textId="56AE3FC5" w:rsidR="00B33249" w:rsidRPr="004C0EBD" w:rsidRDefault="00BC3C5E" w:rsidP="0075115D">
      <w:pPr>
        <w:pStyle w:val="BodyText1"/>
        <w:numPr>
          <w:ilvl w:val="0"/>
          <w:numId w:val="20"/>
        </w:numPr>
      </w:pPr>
      <w:r>
        <w:t>Possivelmente: para «Sistemas Solares Terrestres» («</w:t>
      </w:r>
      <w:proofErr w:type="spellStart"/>
      <w:r>
        <w:t>Sun</w:t>
      </w:r>
      <w:proofErr w:type="spellEnd"/>
      <w:r>
        <w:t>-</w:t>
      </w:r>
      <w:proofErr w:type="spellStart"/>
      <w:r>
        <w:t>on</w:t>
      </w:r>
      <w:proofErr w:type="spellEnd"/>
      <w:r>
        <w:t>-</w:t>
      </w:r>
      <w:proofErr w:type="gramStart"/>
      <w:r>
        <w:t>Land»/</w:t>
      </w:r>
      <w:proofErr w:type="gramEnd"/>
      <w:r>
        <w:t>«Sistemas Solares Flutuantes» (</w:t>
      </w:r>
      <w:proofErr w:type="spellStart"/>
      <w:r>
        <w:t>Sun-on-Water</w:t>
      </w:r>
      <w:proofErr w:type="spellEnd"/>
      <w:r>
        <w:t>): um sistema de orientação programável?</w:t>
      </w:r>
    </w:p>
    <w:p w14:paraId="2C56632E" w14:textId="77777777" w:rsidR="00FF7CCF" w:rsidRDefault="00FF7CCF" w:rsidP="00FF7CCF"/>
    <w:p w14:paraId="53ABF10C" w14:textId="77777777" w:rsidR="00FF7CCF" w:rsidRDefault="00FF7CCF" w:rsidP="00FF7CCF"/>
    <w:p w14:paraId="7DBDB130" w14:textId="77777777" w:rsidR="00FF7CCF" w:rsidRDefault="00FF7CCF" w:rsidP="009548F1">
      <w:pPr>
        <w:pStyle w:val="MH2"/>
      </w:pPr>
    </w:p>
    <w:p w14:paraId="44C8B20D" w14:textId="77777777" w:rsidR="00FF7CCF" w:rsidRDefault="00FF7CCF" w:rsidP="009548F1">
      <w:pPr>
        <w:pStyle w:val="MH2"/>
      </w:pPr>
    </w:p>
    <w:p w14:paraId="5FE7E779" w14:textId="71437ABE" w:rsidR="00151032" w:rsidRPr="004C0EBD" w:rsidRDefault="00151032" w:rsidP="009548F1">
      <w:pPr>
        <w:pStyle w:val="MH2"/>
      </w:pPr>
      <w:bookmarkStart w:id="52" w:name="_Toc180577256"/>
      <w:r>
        <w:t xml:space="preserve">Etapa 3. Propriedade e lançamento de um </w:t>
      </w:r>
      <w:r>
        <w:br/>
        <w:t>concurso público</w:t>
      </w:r>
      <w:bookmarkEnd w:id="52"/>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As duas etapas anteriores definem, de um modo geral, a dimensão e a estrutura do projeto. Agora, é importante verificar se pretende ser proprietário da instalação fotovoltaica ou se vai arrendar a superfície do telhado ou a parcela de terreno no âmbito de um contrato de concessão. A questão que se coloca é, pois, como selecionar um fornecedor ou uma parte contratante.  </w:t>
      </w:r>
    </w:p>
    <w:p w14:paraId="68B0E7A7" w14:textId="77777777" w:rsidR="00FC1525" w:rsidRPr="004C0EBD" w:rsidRDefault="00FC1525" w:rsidP="00A3595E"/>
    <w:p w14:paraId="5AFF0A5E" w14:textId="573FB55B" w:rsidR="00502061" w:rsidRPr="004C0EBD" w:rsidRDefault="00444DFF" w:rsidP="009548F1">
      <w:pPr>
        <w:pStyle w:val="MH3"/>
      </w:pPr>
      <w:bookmarkStart w:id="53" w:name="_Toc180577257"/>
      <w:r>
        <w:t>3.1 Proprietário ou arrendatário?</w:t>
      </w:r>
      <w:bookmarkEnd w:id="53"/>
    </w:p>
    <w:p w14:paraId="08A261E9" w14:textId="5C0D08E1" w:rsidR="009A0DA0" w:rsidRPr="004C0EBD" w:rsidRDefault="00FC1525" w:rsidP="00FF7CCF">
      <w:pPr>
        <w:pStyle w:val="BodyText1"/>
      </w:pPr>
      <w:r>
        <w:t xml:space="preserve">Se arrendar, receberá um determinado preço por metro quadrado, por ano. Vantagens: permite-lhe poupar bastante tempo.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lastRenderedPageBreak/>
        <w:t xml:space="preserve">Os potenciais inconvenientes são o facto de não tirar tanto partido dos benefícios financeiros de uma instalação fotovoltaica, de ter pouco poder de decisão no que respeita à instalação e de renunciar à flexibilidade. Assim, se mais tarde quiser utilizar o telhado ou a parcela de terreno para outro fim, poderá ver-se vinculado a um contrato com um arrendatário/locatário. </w:t>
      </w:r>
    </w:p>
    <w:p w14:paraId="7B394F21" w14:textId="77777777" w:rsidR="009A0DA0" w:rsidRPr="004C0EBD" w:rsidRDefault="009A0DA0" w:rsidP="00A3595E"/>
    <w:p w14:paraId="4FFBBA84" w14:textId="3AD18753" w:rsidR="00151032" w:rsidRPr="004C0EBD" w:rsidRDefault="00444DFF" w:rsidP="009548F1">
      <w:pPr>
        <w:pStyle w:val="MH3"/>
      </w:pPr>
      <w:bookmarkStart w:id="54" w:name="_Toc180577258"/>
      <w:r>
        <w:t>3.2 Para as organizações públicas: contratos públicos ou ajuste direto?</w:t>
      </w:r>
      <w:bookmarkEnd w:id="54"/>
    </w:p>
    <w:p w14:paraId="04BE1967" w14:textId="1DDD73B2" w:rsidR="004C4869" w:rsidRPr="004C0EBD" w:rsidRDefault="00770820" w:rsidP="00A3595E">
      <w:r>
        <w:t xml:space="preserve"> O presente ponto não se aplica a empresas ou outras organizações privadas. As organizações privadas podem simplesmente pedir propostas a várias potenciais partes contratantes.  </w:t>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b/>
        </w:rPr>
        <w:t>E</w:t>
      </w:r>
      <w:r>
        <w:rPr>
          <w:rFonts w:ascii="Arial" w:hAnsi="Arial"/>
        </w:rPr>
        <w:t xml:space="preserve">m todo o caso, é também necessário um programa de requisitos ao pedir ofertas normalizadas. O </w:t>
      </w:r>
      <w:r>
        <w:rPr>
          <w:rFonts w:ascii="Arial" w:hAnsi="Arial"/>
          <w:b/>
          <w:color w:val="FFFFFF" w:themeColor="background1"/>
          <w:highlight w:val="darkCyan"/>
        </w:rPr>
        <w:t>«modelo para requisitos de compra»</w:t>
      </w:r>
      <w:r>
        <w:rPr>
          <w:rFonts w:ascii="Arial" w:hAnsi="Arial"/>
        </w:rPr>
        <w:t xml:space="preserve"> é também perfeitamente adequado a esta finalidade. </w:t>
      </w:r>
    </w:p>
    <w:p w14:paraId="4F157CB7" w14:textId="77777777" w:rsidR="009E09C2" w:rsidRPr="004C0EBD" w:rsidRDefault="009E09C2" w:rsidP="00A3595E"/>
    <w:p w14:paraId="019FF291" w14:textId="0356618C" w:rsidR="00624300" w:rsidRPr="004C0EBD" w:rsidRDefault="009E09C2" w:rsidP="00FF7CCF">
      <w:pPr>
        <w:pStyle w:val="BodyText1"/>
        <w:rPr>
          <w:color w:val="343434"/>
        </w:rPr>
      </w:pPr>
      <w:r>
        <w:t xml:space="preserve">A Lei dos Contratos Públicos de 2012 </w:t>
      </w:r>
      <w:r>
        <w:rPr>
          <w:color w:val="3DC3C6"/>
        </w:rPr>
        <w:t>[</w:t>
      </w:r>
      <w:proofErr w:type="spellStart"/>
      <w:r w:rsidR="007A7469">
        <w:fldChar w:fldCharType="begin"/>
      </w:r>
      <w:r w:rsidR="007A7469">
        <w:instrText>HYPERLINK "https://wetten.overheid.nl/BWBR0032203/2022-03-02/0" \o "Hiperligação externa: Lei dos Contratos Públicos (em neerlandês) em overheid.nl"</w:instrText>
      </w:r>
      <w:r w:rsidR="007A7469">
        <w:fldChar w:fldCharType="separate"/>
      </w:r>
      <w:r>
        <w:rPr>
          <w:i/>
          <w:color w:val="3DC3C6"/>
          <w:u w:val="single"/>
        </w:rPr>
        <w:t>Aanbestedingswet</w:t>
      </w:r>
      <w:proofErr w:type="spellEnd"/>
      <w:r>
        <w:rPr>
          <w:i/>
          <w:color w:val="3DC3C6"/>
          <w:u w:val="single"/>
        </w:rPr>
        <w:t xml:space="preserve"> 2012</w:t>
      </w:r>
      <w:r w:rsidR="007A7469">
        <w:rPr>
          <w:i/>
          <w:color w:val="3DC3C6"/>
          <w:u w:val="single"/>
        </w:rPr>
        <w:fldChar w:fldCharType="end"/>
      </w:r>
      <w:r>
        <w:rPr>
          <w:color w:val="3DC3C6"/>
        </w:rPr>
        <w:t xml:space="preserve">] </w:t>
      </w:r>
      <w:r>
        <w:t>aplica-se aos contratos públicos celebrados por instituições (</w:t>
      </w:r>
      <w:proofErr w:type="spellStart"/>
      <w:r>
        <w:t>semi</w:t>
      </w:r>
      <w:proofErr w:type="spellEnd"/>
      <w:r>
        <w:t>)públicas nos Países Baixos.</w:t>
      </w:r>
      <w:r>
        <w:rPr>
          <w:color w:val="343434"/>
        </w:rPr>
        <w:t xml:space="preserve"> Quanto maior for o projeto, menor é o número de opções de procedimentos possíveis. Determinados procedimentos (como o ajuste direto) não são permitidos acima de um determinado limiar.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Os limiares dependem do tipo de projeto: «Obras» ou «Fornecimento/Serviço».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O tipo depende do foco do projeto: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Fornecimento </w:t>
      </w:r>
    </w:p>
    <w:p w14:paraId="3FF0867A" w14:textId="1DB2602C" w:rsidR="00624300" w:rsidRPr="004C0EBD" w:rsidRDefault="00624300" w:rsidP="0075115D">
      <w:pPr>
        <w:pStyle w:val="BodyText1"/>
        <w:numPr>
          <w:ilvl w:val="0"/>
          <w:numId w:val="22"/>
        </w:numPr>
        <w:ind w:left="1418" w:hanging="425"/>
        <w:rPr>
          <w:i/>
          <w:iCs/>
        </w:rPr>
      </w:pPr>
      <w:r>
        <w:t xml:space="preserve">Apenas fornecimento de painéis solares  </w:t>
      </w:r>
    </w:p>
    <w:p w14:paraId="22703909" w14:textId="62056830" w:rsidR="00624300" w:rsidRPr="004C0EBD" w:rsidRDefault="00624300" w:rsidP="0075115D">
      <w:pPr>
        <w:pStyle w:val="BodyText1"/>
        <w:numPr>
          <w:ilvl w:val="0"/>
          <w:numId w:val="22"/>
        </w:numPr>
        <w:ind w:left="1418" w:hanging="425"/>
        <w:rPr>
          <w:i/>
          <w:iCs/>
        </w:rPr>
      </w:pPr>
      <w:r>
        <w:t>Apenas instalação do sistema elétrico e dos componentes da parte da CC</w:t>
      </w:r>
    </w:p>
    <w:p w14:paraId="064AD047" w14:textId="337E3F6D" w:rsidR="00624300" w:rsidRPr="004C0EBD" w:rsidRDefault="00624300" w:rsidP="0075115D">
      <w:pPr>
        <w:pStyle w:val="BodyText1"/>
        <w:numPr>
          <w:ilvl w:val="0"/>
          <w:numId w:val="22"/>
        </w:numPr>
        <w:ind w:left="1418" w:hanging="425"/>
        <w:rPr>
          <w:i/>
          <w:iCs/>
        </w:rPr>
      </w:pPr>
      <w:r>
        <w:t xml:space="preserve">Apenas instalação do sistema elétrico e dos componentes da parte da CA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Obras</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A parte contratante é totalmente responsável pela execução do projeto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Combinação de conceção, fornecimento e obras: -&gt; obras</w:t>
      </w:r>
    </w:p>
    <w:p w14:paraId="2754C0BF" w14:textId="77777777" w:rsidR="00770820" w:rsidRPr="004C0EBD" w:rsidRDefault="00624300" w:rsidP="00FF7CCF">
      <w:pPr>
        <w:pStyle w:val="BodyText1"/>
      </w:pPr>
      <w:r>
        <w:t xml:space="preserve">Além disso, aplicam-se outros limiares específicos a algumas organizações. </w:t>
      </w:r>
    </w:p>
    <w:p w14:paraId="056740D2" w14:textId="77777777" w:rsidR="00FF7CCF" w:rsidRDefault="00624300" w:rsidP="00FF7CCF">
      <w:pPr>
        <w:pStyle w:val="BodyText1"/>
      </w:pPr>
      <w:r>
        <w:t xml:space="preserve">Por conseguinte, o parágrafo que se segue deve ser lido apenas </w:t>
      </w:r>
      <w:r>
        <w:rPr>
          <w:i/>
        </w:rPr>
        <w:t>a título indicativo</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Nota: Estes montantes aplicam-se a 2023. Em 2024, os montantes serão provavelmente </w:t>
      </w:r>
    </w:p>
    <w:p w14:paraId="59BA22B8" w14:textId="2C1F9501" w:rsidR="00624300" w:rsidRDefault="00E24CEC" w:rsidP="005C5B6D">
      <w:pPr>
        <w:pStyle w:val="BodyText1"/>
      </w:pPr>
      <w:r>
        <w:t xml:space="preserve">um pouco mais elevados.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Ajuste direto simples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Para </w:t>
      </w:r>
      <w:r>
        <w:rPr>
          <w:rFonts w:ascii="Arial" w:hAnsi="Arial"/>
          <w:i/>
        </w:rPr>
        <w:t>Fornecimentos</w:t>
      </w:r>
      <w:r>
        <w:rPr>
          <w:rFonts w:ascii="Arial" w:hAnsi="Arial"/>
        </w:rPr>
        <w:t xml:space="preserve">: </w:t>
      </w:r>
      <w:r>
        <w:rPr>
          <w:rFonts w:ascii="Arial" w:hAnsi="Arial"/>
        </w:rPr>
        <w:tab/>
        <w:t>&lt; 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Para </w:t>
      </w:r>
      <w:r>
        <w:rPr>
          <w:rFonts w:ascii="Arial" w:hAnsi="Arial"/>
          <w:i/>
          <w:iCs/>
        </w:rPr>
        <w:t>Obras</w:t>
      </w:r>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t xml:space="preserve">Os projetos de pequena envergadura podem ser adjudicados por ajuste direto a uma única parte, por exemplo a sua empresa de instalação habitual ou qualquer outro fornecedor local. </w:t>
      </w:r>
    </w:p>
    <w:p w14:paraId="25AC0C47" w14:textId="373E9907" w:rsidR="00624300" w:rsidRPr="004C0EBD" w:rsidRDefault="009E09C2" w:rsidP="00FF7CCF">
      <w:pPr>
        <w:pStyle w:val="BodyText1"/>
        <w:ind w:left="426"/>
      </w:pPr>
      <w:r>
        <w:rPr>
          <w:i/>
        </w:rPr>
        <w:lastRenderedPageBreak/>
        <w:t>Vantagens</w:t>
      </w:r>
      <w:r>
        <w:t>: Tempo de resposta rápido, custos processuais baixos, possibilidade de negociação, flexibilidade</w:t>
      </w:r>
      <w:r>
        <w:br/>
      </w:r>
      <w:r>
        <w:rPr>
          <w:i/>
        </w:rPr>
        <w:t>Desvantagens</w:t>
      </w:r>
      <w:r>
        <w:t>:</w:t>
      </w:r>
      <w:r>
        <w:tab/>
        <w:t xml:space="preserve"> É possível que não se trate da melhor relação preço/qualidade, risco de conflito de interesses.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Procedimento direto múltiplo</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Para </w:t>
      </w:r>
      <w:r>
        <w:rPr>
          <w:rFonts w:ascii="Arial" w:hAnsi="Arial"/>
          <w:i/>
        </w:rPr>
        <w:t>fornecimentos</w:t>
      </w:r>
      <w:r>
        <w:rPr>
          <w:rFonts w:ascii="Arial" w:hAnsi="Arial"/>
        </w:rPr>
        <w:t xml:space="preserve"> a instituições (</w:t>
      </w:r>
      <w:proofErr w:type="spellStart"/>
      <w:r>
        <w:rPr>
          <w:rFonts w:ascii="Arial" w:hAnsi="Arial"/>
        </w:rPr>
        <w:t>semi</w:t>
      </w:r>
      <w:proofErr w:type="spellEnd"/>
      <w:r>
        <w:rPr>
          <w:rFonts w:ascii="Arial" w:hAnsi="Arial"/>
        </w:rPr>
        <w:t>)públicas descentralizadas: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Para </w:t>
      </w:r>
      <w:r>
        <w:rPr>
          <w:rFonts w:ascii="Arial" w:hAnsi="Arial"/>
          <w:i/>
        </w:rPr>
        <w:t>fornecimentos</w:t>
      </w:r>
      <w:r>
        <w:rPr>
          <w:rFonts w:ascii="Arial" w:hAnsi="Arial"/>
        </w:rPr>
        <w:t xml:space="preserve"> a organizações, nomeadamente, nos setores da água, da energia ou dos transportes: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Para </w:t>
      </w:r>
      <w:r>
        <w:rPr>
          <w:rFonts w:ascii="Arial" w:hAnsi="Arial"/>
          <w:i/>
          <w:iCs/>
        </w:rPr>
        <w:t>Obras</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Peça propostas a vários fornecedores. Adjudique à «proposta economicamente mais vantajosa». </w:t>
      </w:r>
    </w:p>
    <w:p w14:paraId="722B33D7" w14:textId="3BE24D5E" w:rsidR="00560408" w:rsidRPr="00FF7CCF" w:rsidRDefault="00033DC3" w:rsidP="00FF7CCF">
      <w:pPr>
        <w:ind w:left="426"/>
        <w:rPr>
          <w:rFonts w:ascii="Arial" w:hAnsi="Arial" w:cs="Arial"/>
        </w:rPr>
      </w:pPr>
      <w:r>
        <w:rPr>
          <w:rFonts w:ascii="Arial" w:hAnsi="Arial"/>
          <w:i/>
        </w:rPr>
        <w:t>Vantagens</w:t>
      </w:r>
      <w:r>
        <w:rPr>
          <w:rFonts w:ascii="Arial" w:hAnsi="Arial"/>
        </w:rPr>
        <w:t xml:space="preserve">: Tempo de resposta rápido, custos processuais baixos, possibilidade de negociação, flexibilidade   </w:t>
      </w:r>
    </w:p>
    <w:p w14:paraId="13255528" w14:textId="0554B7E5" w:rsidR="00FF7CCF" w:rsidRPr="005C5B6D" w:rsidRDefault="00033DC3" w:rsidP="005C5B6D">
      <w:pPr>
        <w:ind w:left="426"/>
        <w:rPr>
          <w:rFonts w:ascii="Arial" w:hAnsi="Arial" w:cs="Arial"/>
        </w:rPr>
      </w:pPr>
      <w:r>
        <w:rPr>
          <w:rFonts w:ascii="Arial" w:hAnsi="Arial"/>
          <w:i/>
        </w:rPr>
        <w:t>Desvantagens</w:t>
      </w:r>
      <w:r>
        <w:rPr>
          <w:rFonts w:ascii="Arial" w:hAnsi="Arial"/>
        </w:rPr>
        <w:t xml:space="preserve">: Muitos proponentes não tomam conhecimento do concurso; não é possível negociar.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Procedimento nacional</w:t>
      </w:r>
      <w:r>
        <w:rPr>
          <w:rFonts w:ascii="Arial" w:hAnsi="Arial"/>
          <w:color w:val="3DC3C6"/>
        </w:rPr>
        <w:t xml:space="preserve">: </w:t>
      </w:r>
      <w:r>
        <w:rPr>
          <w:rFonts w:ascii="Arial" w:hAnsi="Arial"/>
        </w:rPr>
        <w:t>com ou sem uma ronda de seleção</w:t>
      </w:r>
    </w:p>
    <w:p w14:paraId="4B7F6BC3" w14:textId="2F9CEEB4" w:rsidR="00560408" w:rsidRPr="004C0EBD" w:rsidRDefault="00560408" w:rsidP="0075115D">
      <w:pPr>
        <w:pStyle w:val="BodyText1"/>
        <w:numPr>
          <w:ilvl w:val="0"/>
          <w:numId w:val="26"/>
        </w:numPr>
        <w:ind w:left="1134" w:firstLine="0"/>
      </w:pPr>
      <w:r>
        <w:t xml:space="preserve">Para </w:t>
      </w:r>
      <w:r>
        <w:rPr>
          <w:i/>
        </w:rPr>
        <w:t>fornecimentos</w:t>
      </w:r>
      <w:r>
        <w:t xml:space="preserve"> a autoridades (</w:t>
      </w:r>
      <w:proofErr w:type="spellStart"/>
      <w:r>
        <w:t>semi</w:t>
      </w:r>
      <w:proofErr w:type="spellEnd"/>
      <w:r>
        <w:t>)descentralizadas: &lt; 215 000 EUR</w:t>
      </w:r>
    </w:p>
    <w:p w14:paraId="1E677ECC" w14:textId="327E482F" w:rsidR="00560408" w:rsidRPr="004C0EBD" w:rsidRDefault="00560408" w:rsidP="0075115D">
      <w:pPr>
        <w:pStyle w:val="BodyText1"/>
        <w:numPr>
          <w:ilvl w:val="0"/>
          <w:numId w:val="26"/>
        </w:numPr>
        <w:ind w:left="1418" w:hanging="284"/>
      </w:pPr>
      <w:r>
        <w:t xml:space="preserve">Para </w:t>
      </w:r>
      <w:r>
        <w:rPr>
          <w:i/>
        </w:rPr>
        <w:t>fornecimentos</w:t>
      </w:r>
      <w:r>
        <w:t xml:space="preserve"> a organizações, nomeadamente, nos setores da água, da energia ou dos transportes: &lt; 431 000 EUR</w:t>
      </w:r>
    </w:p>
    <w:p w14:paraId="309D7CF0" w14:textId="31A3EFEB" w:rsidR="00560408" w:rsidRPr="004C0EBD" w:rsidRDefault="00560408" w:rsidP="0075115D">
      <w:pPr>
        <w:pStyle w:val="BodyText1"/>
        <w:numPr>
          <w:ilvl w:val="0"/>
          <w:numId w:val="26"/>
        </w:numPr>
        <w:ind w:left="1134" w:firstLine="0"/>
      </w:pPr>
      <w:r>
        <w:t xml:space="preserve">Para </w:t>
      </w:r>
      <w:r>
        <w:rPr>
          <w:i/>
          <w:iCs/>
        </w:rPr>
        <w:t>Obras</w:t>
      </w:r>
      <w:r>
        <w:t>: &lt; 5 382 000 EUR</w:t>
      </w:r>
    </w:p>
    <w:p w14:paraId="78D6BC75" w14:textId="16162A04" w:rsidR="009E09C2" w:rsidRPr="004C0EBD" w:rsidRDefault="00033DC3" w:rsidP="00FF7CCF">
      <w:pPr>
        <w:pStyle w:val="BodyText1"/>
        <w:ind w:left="426"/>
      </w:pPr>
      <w:r>
        <w:t xml:space="preserve">Notificação de concurso no </w:t>
      </w:r>
      <w:hyperlink r:id="rId15" w:tooltip="Hiperligação externa: tenderned.nl" w:history="1">
        <w:proofErr w:type="spellStart"/>
        <w:r>
          <w:rPr>
            <w:color w:val="D52B1E"/>
            <w:u w:val="single"/>
          </w:rPr>
          <w:t>TenderNed</w:t>
        </w:r>
        <w:proofErr w:type="spellEnd"/>
      </w:hyperlink>
      <w:r>
        <w:t xml:space="preserve"> e, eventualmente, em jornais ou revistas comerciais. Quando se utiliza uma ronda de seleção, convidam-se frequentemente cinco fornecedores a apresentar uma proposta.  </w:t>
      </w:r>
      <w:r>
        <w:br/>
      </w:r>
      <w:r>
        <w:rPr>
          <w:i/>
        </w:rPr>
        <w:t>Vantagens</w:t>
      </w:r>
      <w:r>
        <w:t>: Concorrência abundante, relação preço/qualidade em linha com o mercado; objetivo; transparente</w:t>
      </w:r>
      <w:r>
        <w:br/>
      </w:r>
      <w:r>
        <w:rPr>
          <w:i/>
        </w:rPr>
        <w:t>Desvantagens</w:t>
      </w:r>
      <w:r>
        <w:t xml:space="preserve">: Tempo de resposta longo, custos processuais substanciais, pouca flexibilidade.    </w:t>
      </w:r>
      <w:r>
        <w:b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Concurso público europeu</w:t>
      </w:r>
      <w:r>
        <w:rPr>
          <w:rFonts w:ascii="Arial" w:hAnsi="Arial"/>
          <w:color w:val="3DC3C6"/>
        </w:rPr>
        <w:t xml:space="preserve">: </w:t>
      </w:r>
      <w:r>
        <w:rPr>
          <w:rFonts w:ascii="Arial" w:hAnsi="Arial"/>
        </w:rPr>
        <w:t xml:space="preserve">com ou sem uma ronda de seleção.  </w:t>
      </w:r>
    </w:p>
    <w:p w14:paraId="757143C4" w14:textId="77777777" w:rsidR="005C5B6D" w:rsidRDefault="00033DC3" w:rsidP="005C5B6D">
      <w:pPr>
        <w:pStyle w:val="BodyText1"/>
        <w:ind w:left="426"/>
      </w:pPr>
      <w:r>
        <w:t xml:space="preserve">Notificação no </w:t>
      </w:r>
      <w:proofErr w:type="spellStart"/>
      <w:r>
        <w:t>TenderNed</w:t>
      </w:r>
      <w:proofErr w:type="spellEnd"/>
      <w:r>
        <w:t xml:space="preserve">. Quando se utiliza uma ronda de seleção, convidam-se frequentemente cinco fornecedores a apresentar uma proposta. </w:t>
      </w:r>
    </w:p>
    <w:p w14:paraId="4143539F" w14:textId="4E9EFE66" w:rsidR="00033DC3" w:rsidRPr="004C0EBD" w:rsidRDefault="00033DC3" w:rsidP="005C5B6D">
      <w:pPr>
        <w:pStyle w:val="BodyText1"/>
        <w:ind w:left="426"/>
      </w:pPr>
      <w:r>
        <w:t xml:space="preserve"> </w:t>
      </w:r>
      <w:r>
        <w:rPr>
          <w:i/>
        </w:rPr>
        <w:t>Vantagens</w:t>
      </w:r>
      <w:r>
        <w:t xml:space="preserve">: Todo o mercado pode apresentar uma proposta; elevada pressão concorrencial; objetivo; transparente </w:t>
      </w:r>
    </w:p>
    <w:p w14:paraId="09E05DD5" w14:textId="57DCC175" w:rsidR="009E09C2" w:rsidRDefault="00033DC3" w:rsidP="005C5B6D">
      <w:pPr>
        <w:pStyle w:val="BodyText1"/>
        <w:ind w:left="426"/>
      </w:pPr>
      <w:r>
        <w:rPr>
          <w:i/>
        </w:rPr>
        <w:t>Desvantagens:</w:t>
      </w:r>
      <w:r>
        <w:t xml:space="preserve"> Procedimento demorado; custos processuais elevados caso exista um número (excessivamente) elevado de propostas; sem possibilidade de negociação, pouca flexibilidade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Para mais informações sobre os montantes dos limiares nacionais: </w:t>
      </w:r>
      <w:hyperlink r:id="rId16"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Para mais informações sobre os montantes dos limiares europeus:  </w:t>
      </w:r>
      <w:r>
        <w:br/>
      </w:r>
      <w:hyperlink r:id="rId17" w:history="1">
        <w:r>
          <w:rPr>
            <w:rStyle w:val="Hyperlink"/>
            <w:color w:val="3DC3C6"/>
          </w:rPr>
          <w:t>https://www.pianoo.nl/nl/regelgeving/drempelbedragen-europees-aanbesteden</w:t>
        </w:r>
      </w:hyperlink>
    </w:p>
    <w:p w14:paraId="1AED8077" w14:textId="43C435F7" w:rsidR="009A0DA0" w:rsidRPr="004C0EBD" w:rsidRDefault="000F1F6F" w:rsidP="00A3595E">
      <w:r>
        <w:rPr>
          <w:noProof/>
        </w:rPr>
        <w:lastRenderedPageBreak/>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Dica 3</w:t>
      </w:r>
      <w:r>
        <w:rPr>
          <w:rFonts w:ascii="Arial" w:hAnsi="Arial"/>
          <w:color w:val="70AD47" w:themeColor="accent6"/>
        </w:rPr>
        <w:t xml:space="preserve"> </w:t>
      </w:r>
      <w:r>
        <w:rPr>
          <w:rFonts w:ascii="Arial" w:hAnsi="Arial"/>
        </w:rPr>
        <w:t>Para projetos de maior envergadura, &gt;2 </w:t>
      </w:r>
      <w:proofErr w:type="spellStart"/>
      <w:r>
        <w:rPr>
          <w:rFonts w:ascii="Arial" w:hAnsi="Arial"/>
        </w:rPr>
        <w:t>MWp</w:t>
      </w:r>
      <w:proofErr w:type="spellEnd"/>
      <w:r>
        <w:rPr>
          <w:rFonts w:ascii="Arial" w:hAnsi="Arial"/>
        </w:rPr>
        <w:t xml:space="preserve">, o </w:t>
      </w:r>
      <w:r>
        <w:rPr>
          <w:rFonts w:ascii="Arial" w:hAnsi="Arial"/>
          <w:b/>
          <w:color w:val="104D54"/>
        </w:rPr>
        <w:t>anexo 3</w:t>
      </w:r>
      <w:r>
        <w:rPr>
          <w:rFonts w:ascii="Arial" w:hAnsi="Arial"/>
        </w:rPr>
        <w:t xml:space="preserve"> apresenta uma lista</w:t>
      </w:r>
      <w:r w:rsidRPr="005C5B6D">
        <w:rPr>
          <w:rStyle w:val="FootnoteReference"/>
          <w:rFonts w:ascii="Arial" w:hAnsi="Arial" w:cs="Arial"/>
        </w:rPr>
        <w:footnoteReference w:id="1"/>
      </w:r>
      <w:r>
        <w:rPr>
          <w:rFonts w:ascii="Arial" w:hAnsi="Arial"/>
        </w:rPr>
        <w:t xml:space="preserve"> de empresas de instalação, promotores de projetos e empresas de EPC [</w:t>
      </w:r>
      <w:proofErr w:type="spellStart"/>
      <w:r>
        <w:rPr>
          <w:rFonts w:ascii="Arial" w:hAnsi="Arial"/>
          <w:i/>
        </w:rPr>
        <w:t>Energieprestatiecontracten</w:t>
      </w:r>
      <w:proofErr w:type="spellEnd"/>
      <w:r>
        <w:rPr>
          <w:rFonts w:ascii="Arial" w:hAnsi="Arial"/>
        </w:rPr>
        <w:t xml:space="preserve"> – contratos de desempenho energético] com experiência em projetos de maior envergadura nos Países Baixos.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9548F1">
      <w:pPr>
        <w:pStyle w:val="MH2"/>
      </w:pPr>
      <w:bookmarkStart w:id="55" w:name="_Toc180577259"/>
      <w:r>
        <w:t>Etapa 4. Licenças e ligação à rede</w:t>
      </w:r>
      <w:bookmarkEnd w:id="55"/>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Esta etapa centrar-se-á nas licenças ambientais e de construção e analisará também algumas opções relativas à ligação à rede.</w:t>
      </w:r>
    </w:p>
    <w:p w14:paraId="51CE28AD" w14:textId="77777777" w:rsidR="00BA688B" w:rsidRPr="004C0EBD" w:rsidRDefault="00BA688B" w:rsidP="00A3595E"/>
    <w:p w14:paraId="3536D660" w14:textId="690EBEDC" w:rsidR="00B54C59" w:rsidRPr="004C0EBD" w:rsidRDefault="00444DFF" w:rsidP="009548F1">
      <w:pPr>
        <w:pStyle w:val="MH3"/>
      </w:pPr>
      <w:bookmarkStart w:id="56" w:name="_Toc180577260"/>
      <w:r>
        <w:t>4.1 Licenças</w:t>
      </w:r>
      <w:bookmarkEnd w:id="56"/>
    </w:p>
    <w:p w14:paraId="3795DE65" w14:textId="4B9F62D4" w:rsidR="006171C0" w:rsidRPr="004C0EBD" w:rsidRDefault="00E97EDE" w:rsidP="005C5B6D">
      <w:pPr>
        <w:pStyle w:val="BodyText1"/>
      </w:pPr>
      <w:r>
        <w:t xml:space="preserve">Muitos projetos sofrem atrasos por falta de pedido (atempado) das licenças ambientais.  </w:t>
      </w:r>
      <w:r>
        <w:br/>
        <w:t xml:space="preserve">É por esta razão que é preferível pedir as licenças necessárias o mais cedo possível no processo.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Tal pode resultar em requisitos adicionais: </w:t>
      </w:r>
    </w:p>
    <w:p w14:paraId="038A1C40" w14:textId="77777777" w:rsidR="005C5B6D" w:rsidRDefault="00B54C59" w:rsidP="0075115D">
      <w:pPr>
        <w:pStyle w:val="BodyText1"/>
        <w:numPr>
          <w:ilvl w:val="0"/>
          <w:numId w:val="28"/>
        </w:numPr>
      </w:pPr>
      <w:r>
        <w:t xml:space="preserve">Para os projetos de </w:t>
      </w:r>
      <w:r>
        <w:rPr>
          <w:b/>
          <w:i/>
          <w:color w:val="3DC3C6"/>
        </w:rPr>
        <w:t>Sistemas Solares em Telhados</w:t>
      </w:r>
      <w:r>
        <w:t xml:space="preserve">, </w:t>
      </w:r>
      <w:r>
        <w:rPr>
          <w:i/>
        </w:rPr>
        <w:t xml:space="preserve">não é normalmente </w:t>
      </w:r>
      <w:r>
        <w:t xml:space="preserve">obrigatório apresentar licença ambiental.  </w:t>
      </w:r>
      <w:r>
        <w:br/>
        <w:t>No entanto, é necessária uma licença para os edifícios classificados.</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Para os projetos de </w:t>
      </w:r>
      <w:r>
        <w:rPr>
          <w:rFonts w:ascii="Arial" w:hAnsi="Arial"/>
          <w:b/>
          <w:i/>
          <w:color w:val="3DC3C6"/>
        </w:rPr>
        <w:t>Sistemas Solares Terrestres</w:t>
      </w:r>
      <w:r>
        <w:rPr>
          <w:rFonts w:ascii="Arial" w:hAnsi="Arial"/>
        </w:rPr>
        <w:t>, podem ser necessárias as seguintes licenças e estudos:</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Plano de urbanização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Licença de construção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Licença ambiental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Levantamento de questões ambientais/espécies animais raras</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Levantamento arqueológico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lastRenderedPageBreak/>
        <w:t>Levantamento de explosivos abandonados</w:t>
      </w:r>
      <w:r>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Para os projetos de </w:t>
      </w:r>
      <w:r>
        <w:rPr>
          <w:rFonts w:ascii="Arial" w:hAnsi="Arial"/>
          <w:b/>
          <w:i/>
          <w:color w:val="3DC3C6"/>
        </w:rPr>
        <w:t>Sistemas Solares Flutuantes</w:t>
      </w:r>
      <w:r>
        <w:rPr>
          <w:rFonts w:ascii="Arial" w:hAnsi="Arial"/>
        </w:rPr>
        <w:t xml:space="preserve">, são necessárias várias licenças: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Licença ambiental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Plano de urbanização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Licença de construção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Relativamente aos Sistemas Solares Flutuantes: não é autorizada a realização de projetos fotovoltaicos em vários tipos de zonas aquáticas, devido à presença de espécies vulneráveis ou raras. Essas zonas incluem lagoas, pântanos, nascentes e pequenas massas de água situadas em charnecas.  </w:t>
      </w:r>
    </w:p>
    <w:p w14:paraId="7F426014" w14:textId="268BB29D" w:rsidR="00E611E7" w:rsidRPr="005C5B6D" w:rsidRDefault="00E97EDE" w:rsidP="005C5B6D">
      <w:pPr>
        <w:pStyle w:val="BodyText1"/>
      </w:pPr>
      <w:r>
        <w:br/>
        <w:t>É, pois, essencial consultar previamente a Autoridade para os Recursos Hídricos. A Autoridade para os Recursos Hídricos definirá frequentemente requisitos específicos para os projetos de Sistemas Solares Flutuantes</w:t>
      </w:r>
      <w:r w:rsidRPr="005C5B6D">
        <w:rPr>
          <w:rStyle w:val="FootnoteReference"/>
          <w:vertAlign w:val="baseline"/>
        </w:rPr>
        <w:footnoteReference w:id="2"/>
      </w:r>
      <w:r>
        <w:t xml:space="preserve">. Além disso, importa ter também em conta que os Sistemas Solares Flutuantes continuam a ser uma tecnologia relativamente nova. Há muitos sistemas e materiais diferentes, mas ainda não existem normas sólidas nem testes normalizados para as estruturas flutuantes e os sistemas de instalação. Mesmo nas águas interiores, existe o risco de os sistemas não durarem mais de 10 ou 15 anos devido ao vento e às ondas. </w:t>
      </w:r>
    </w:p>
    <w:p w14:paraId="6360BEE7" w14:textId="77777777" w:rsidR="005C5B6D" w:rsidRPr="004C0EBD" w:rsidRDefault="005C5B6D" w:rsidP="005C5B6D">
      <w:pPr>
        <w:pStyle w:val="BodyText1"/>
      </w:pPr>
    </w:p>
    <w:p w14:paraId="5E7E5410" w14:textId="53E4B5B3" w:rsidR="00B54C59" w:rsidRPr="004C0EBD" w:rsidRDefault="00444DFF" w:rsidP="009548F1">
      <w:pPr>
        <w:pStyle w:val="MH3"/>
      </w:pPr>
      <w:bookmarkStart w:id="57" w:name="_Toc180577261"/>
      <w:r>
        <w:t>4.2 Ligação à rede: opções e considerações</w:t>
      </w:r>
      <w:bookmarkEnd w:id="57"/>
    </w:p>
    <w:p w14:paraId="7DF4F35F" w14:textId="13A80543" w:rsidR="005C7AE9" w:rsidRPr="004C0EBD" w:rsidRDefault="0029163B" w:rsidP="00B848B1">
      <w:pPr>
        <w:pStyle w:val="BodyText1"/>
      </w:pPr>
      <w:r>
        <w:t xml:space="preserve">As opções de ligação à rede dependem do número de painéis solares escolhido. Por vezes, uma boa opção é instalar menos painéis do que o número máximo que poderia ser instalado de modo a manter a ligação à rede existente.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As seguintes perguntas e considerações são importantes para fazer a escolha correta:  </w:t>
      </w:r>
      <w:r>
        <w:br/>
      </w:r>
    </w:p>
    <w:p w14:paraId="0D949EEB" w14:textId="2273F828" w:rsidR="00154E4F" w:rsidRPr="004C0EBD" w:rsidRDefault="00154E4F" w:rsidP="0075115D">
      <w:pPr>
        <w:pStyle w:val="ListParagraph"/>
        <w:numPr>
          <w:ilvl w:val="0"/>
          <w:numId w:val="32"/>
        </w:numPr>
      </w:pPr>
      <w:r>
        <w:rPr>
          <w:rFonts w:ascii="Arial" w:hAnsi="Arial"/>
          <w:b/>
          <w:color w:val="3DC3C6"/>
        </w:rPr>
        <w:t>Autoconsumo no local</w:t>
      </w:r>
      <w:r>
        <w:br/>
        <w:t xml:space="preserve">Qual é a relação entre a capacidade máxima durante o dia e o consumo no local durante o dia e durante o inverno e o verão?  </w:t>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Adaptação da ligação à rede ou instalação de um SGE</w:t>
      </w:r>
      <w:r>
        <w:rPr>
          <w:color w:val="3DC3C6"/>
        </w:rPr>
        <w:t xml:space="preserve"> </w:t>
      </w:r>
      <w:r>
        <w:br/>
      </w:r>
      <w:r>
        <w:rPr>
          <w:rFonts w:ascii="Arial" w:hAnsi="Arial"/>
        </w:rPr>
        <w:t xml:space="preserve">A capacidade de CA dos inversores é geralmente de 50-75 % da capacidade de CC dos painéis solares. Se a capacidade de CA for superior à ligação à rede, existem duas opções:  </w:t>
      </w:r>
    </w:p>
    <w:p w14:paraId="0E4E0D93" w14:textId="05E94F38" w:rsidR="00B848B1" w:rsidRPr="00B848B1" w:rsidRDefault="0029163B" w:rsidP="00B848B1">
      <w:pPr>
        <w:tabs>
          <w:tab w:val="left" w:pos="1134"/>
        </w:tabs>
        <w:ind w:left="709" w:hanging="349"/>
      </w:pPr>
      <w:r>
        <w:rPr>
          <w:rFonts w:ascii="Arial" w:hAnsi="Arial"/>
        </w:rPr>
        <w:br/>
      </w:r>
      <w:r>
        <w:rPr>
          <w:rFonts w:ascii="Arial" w:hAnsi="Arial"/>
          <w:i/>
          <w:color w:val="3DC3C6"/>
        </w:rPr>
        <w:t>Opção 1 – Aumentar a capacidade de ligação à rede</w:t>
      </w:r>
      <w:r>
        <w:rPr>
          <w:rFonts w:ascii="Arial" w:hAnsi="Arial"/>
          <w:color w:val="3DC3C6"/>
        </w:rPr>
        <w:t xml:space="preserve"> </w:t>
      </w:r>
      <w:r>
        <w:rPr>
          <w:rFonts w:ascii="Arial" w:hAnsi="Arial"/>
        </w:rPr>
        <w:br/>
        <w:t xml:space="preserve">Deve verificar com o operador da rede qual seria o tempo de espera e informar-se sobre o respetivo custo…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lastRenderedPageBreak/>
        <w:t xml:space="preserve">os tempos de espera para uma ligação à rede em maior escala chegar aos cinco anos(!) </w:t>
      </w:r>
    </w:p>
    <w:p w14:paraId="743281D9" w14:textId="16181A6F"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além disso, tanto os custos iniciais como os custos anuais podem ser elevados, tornando esta opção menos atrativa face à preservação da capacidade da ligação existente.</w:t>
      </w:r>
      <w:r>
        <w:rPr>
          <w:rFonts w:ascii="Arial" w:hAnsi="Arial"/>
        </w:rPr>
        <w:br/>
        <w:t xml:space="preserve">   </w:t>
      </w:r>
      <w:r>
        <w:rPr>
          <w:rFonts w:ascii="Arial" w:hAnsi="Arial"/>
        </w:rPr>
        <w:br/>
      </w:r>
      <w:r>
        <w:rPr>
          <w:rFonts w:ascii="Arial" w:hAnsi="Arial"/>
          <w:i/>
          <w:color w:val="3DC3C6"/>
        </w:rPr>
        <w:t xml:space="preserve">Opção 2 – Utilização de um sistema de gestão de energia </w:t>
      </w:r>
      <w:r>
        <w:rPr>
          <w:rFonts w:ascii="Arial" w:hAnsi="Arial"/>
          <w:color w:val="3DC3C6"/>
        </w:rPr>
        <w:t xml:space="preserve">(SGE) </w:t>
      </w:r>
      <w:r>
        <w:rPr>
          <w:rFonts w:ascii="Arial" w:hAnsi="Arial"/>
        </w:rPr>
        <w:br/>
        <w:t>Um SGE monitoriza continuamente a produção de energia fotovoltaica e o consumo de eletricidade e garante que a rede nunca é alimentada com mais do que uma determinada quantidade de energia.</w:t>
      </w:r>
      <w:r>
        <w:t xml:space="preserve">   </w:t>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Pontos de carregamento e veículos elétricos</w:t>
      </w:r>
      <w:r>
        <w:br/>
      </w:r>
      <w:proofErr w:type="gramStart"/>
      <w:r>
        <w:rPr>
          <w:rFonts w:ascii="Arial" w:hAnsi="Arial"/>
        </w:rPr>
        <w:t>Há  pontos</w:t>
      </w:r>
      <w:proofErr w:type="gramEnd"/>
      <w:r>
        <w:rPr>
          <w:rFonts w:ascii="Arial" w:hAnsi="Arial"/>
        </w:rPr>
        <w:t xml:space="preserve"> de carregamento para veículos elétricos no local ou planos para a sua introdução a curto prazo? O que significa isto em termos de ligação elétrica? É desejável um carregamento «inteligente» com base na energia solar disponível, na tarifa de energia ou na ligação à rede?</w:t>
      </w:r>
      <w:r>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Gestão da procura</w:t>
      </w:r>
      <w:r>
        <w:br/>
      </w:r>
      <w:r>
        <w:rPr>
          <w:rFonts w:ascii="Arial" w:hAnsi="Arial"/>
        </w:rPr>
        <w:t xml:space="preserve">É possível utilizar determinados dispositivos e máquinas de forma «inteligente» e acioná-los apenas em determinados momentos definidos? Benefícios: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Permanecer dentro da ligação à rede existente, tanto para o consumo como para a produção</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Beneficiar de preços baixos e desligar quando os preços são elevados.</w:t>
      </w:r>
      <w:r>
        <w:rPr>
          <w:color w:val="000000" w:themeColor="text1"/>
        </w:rPr>
        <w:t xml:space="preserve">  </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Baterias</w:t>
      </w:r>
      <w:r>
        <w:br/>
      </w:r>
      <w:r>
        <w:rPr>
          <w:rFonts w:ascii="Arial" w:hAnsi="Arial"/>
        </w:rPr>
        <w:t xml:space="preserve">A adição de baterias a um SGE oferece mais possibilidades. Para permanecer na ligação à rede existente, qualquer energia gerada para além da capacidade máxima de ligação à rede pode ser armazenada na bateria. </w:t>
      </w:r>
    </w:p>
    <w:p w14:paraId="7232CC23" w14:textId="44ED6275" w:rsidR="000E3421" w:rsidRPr="009F1963" w:rsidRDefault="0052536B" w:rsidP="00585024">
      <w:pPr>
        <w:ind w:left="709"/>
        <w:jc w:val="both"/>
        <w:rPr>
          <w:rFonts w:ascii="Arial" w:hAnsi="Arial" w:cs="Arial"/>
        </w:rPr>
      </w:pPr>
      <w:r>
        <w:rPr>
          <w:rFonts w:ascii="Arial" w:hAnsi="Arial"/>
        </w:rPr>
        <w:t xml:space="preserve">O tempo de retorno das baterias é atualmente bastante longo e imprevisível. Pode analisar-se a justificação económica dos diferentes objetivos: 1) Limitar a produção fotovoltaica à ligação existente; 2) Limitar a percentagem de autoconsumo de energia solar; 3) Otimização financeira.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Dica 4</w:t>
      </w:r>
      <w:r>
        <w:rPr>
          <w:rFonts w:ascii="Arial" w:hAnsi="Arial"/>
          <w:color w:val="FFFFFF" w:themeColor="background1"/>
        </w:rPr>
        <w:t xml:space="preserve"> </w:t>
      </w:r>
      <w:r>
        <w:rPr>
          <w:rFonts w:ascii="Arial" w:hAnsi="Arial"/>
          <w:color w:val="104D54"/>
        </w:rPr>
        <w:t xml:space="preserve">Os consultores especializados também podem prestar assistência aqui. O </w:t>
      </w:r>
      <w:r>
        <w:rPr>
          <w:rFonts w:ascii="Arial" w:hAnsi="Arial"/>
          <w:b/>
          <w:color w:val="104D54"/>
          <w:u w:val="single"/>
        </w:rPr>
        <w:t>anexo 4</w:t>
      </w:r>
      <w:r>
        <w:rPr>
          <w:rFonts w:ascii="Arial" w:hAnsi="Arial"/>
          <w:color w:val="104D54"/>
        </w:rPr>
        <w:t xml:space="preserve"> contém uma lista (ainda incompleta) de consultores especializados.</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Se for oportuno acrescentar pontos de carregamento, baterias ou um SGE ao projeto, coloca-se a questão de os </w:t>
      </w:r>
      <w:r>
        <w:rPr>
          <w:i/>
        </w:rPr>
        <w:t>combinar</w:t>
      </w:r>
      <w:r>
        <w:t xml:space="preserve"> ou não com a instalação fotovoltaica num único contrato/concurso. A preparação de um contrato ou concurso à parte para o efeito pode reduzir o grau de complexidade para o cliente e para a parte contratante. </w:t>
      </w:r>
    </w:p>
    <w:p w14:paraId="7EF32110" w14:textId="77777777" w:rsidR="009F1963" w:rsidRPr="00C42EE6" w:rsidRDefault="009F1963" w:rsidP="009F1963"/>
    <w:p w14:paraId="04E2F86E" w14:textId="77777777" w:rsidR="009F1963" w:rsidRPr="00317D9E" w:rsidRDefault="009F1963" w:rsidP="009F1963"/>
    <w:p w14:paraId="3899C9E3" w14:textId="77777777" w:rsidR="009F1963" w:rsidRPr="00317D9E" w:rsidRDefault="009F1963" w:rsidP="009F1963"/>
    <w:p w14:paraId="0C43BA5B" w14:textId="126144D1" w:rsidR="00FA7BE8" w:rsidRPr="009F1963" w:rsidRDefault="004D365E" w:rsidP="009548F1">
      <w:pPr>
        <w:pStyle w:val="MH2"/>
        <w:rPr>
          <w:rFonts w:eastAsiaTheme="majorEastAsia"/>
          <w:color w:val="92D050"/>
          <w:sz w:val="32"/>
          <w:szCs w:val="32"/>
        </w:rPr>
      </w:pPr>
      <w:bookmarkStart w:id="58" w:name="_Toc180577262"/>
      <w:r>
        <w:t>Etapa 5. Volume de negócios, subsídios, financiamento e seguros</w:t>
      </w:r>
      <w:bookmarkEnd w:id="58"/>
    </w:p>
    <w:p w14:paraId="700BB5A0" w14:textId="3C3F6FC7" w:rsidR="00FA7BE8" w:rsidRPr="004C0EBD" w:rsidRDefault="00FA7BE8" w:rsidP="00A3595E"/>
    <w:p w14:paraId="6E1F3C8F" w14:textId="1D308FDD" w:rsidR="004343AC" w:rsidRPr="009F1963" w:rsidRDefault="00295EA1" w:rsidP="009F1963">
      <w:pPr>
        <w:pStyle w:val="BodyText1"/>
      </w:pPr>
      <w:r>
        <w:t xml:space="preserve">As etapas anteriores determinaram as especificações técnicas. Esta etapa analisará se o projeto é ou não elegível para subsídios, analisando também o financiamento e os seguros. </w:t>
      </w:r>
    </w:p>
    <w:p w14:paraId="13C00B39" w14:textId="77777777" w:rsidR="00251095" w:rsidRPr="004C0EBD" w:rsidRDefault="00251095" w:rsidP="00A3595E"/>
    <w:p w14:paraId="500215C8" w14:textId="15872C52" w:rsidR="00F16ACA" w:rsidRPr="004C0EBD" w:rsidRDefault="00F16ACA" w:rsidP="009548F1">
      <w:pPr>
        <w:pStyle w:val="MH3"/>
      </w:pPr>
      <w:bookmarkStart w:id="59" w:name="_Toc180577263"/>
      <w:r>
        <w:t>5.1 Volume de negócios da injeção de energia para montante</w:t>
      </w:r>
      <w:bookmarkEnd w:id="59"/>
      <w:r>
        <w:t xml:space="preserve"> </w:t>
      </w:r>
    </w:p>
    <w:p w14:paraId="28260D4D" w14:textId="4E17EED4" w:rsidR="00E368C4" w:rsidRPr="004C0EBD" w:rsidRDefault="007733E9" w:rsidP="009F1963">
      <w:pPr>
        <w:pStyle w:val="BodyText1"/>
      </w:pPr>
      <w:r>
        <w:t xml:space="preserve">Durante os períodos de sol, a maioria das instalações fotovoltaicas gera muito mais energia do que a </w:t>
      </w:r>
      <w:r>
        <w:br/>
        <w:t xml:space="preserve">que é capaz de consumir. </w:t>
      </w:r>
    </w:p>
    <w:p w14:paraId="06B828EC" w14:textId="045BBABF" w:rsidR="009F1963" w:rsidRPr="009F1963" w:rsidRDefault="007733E9" w:rsidP="009F1963">
      <w:pPr>
        <w:pStyle w:val="BodyText1"/>
      </w:pPr>
      <w:r>
        <w:t xml:space="preserve">A potência excedentária pode então ser injetada de volta na rede. Que preço se pode obter por esta injeção de energia para </w:t>
      </w:r>
      <w:proofErr w:type="gramStart"/>
      <w:r>
        <w:t>montante Antigamente</w:t>
      </w:r>
      <w:proofErr w:type="gramEnd"/>
      <w:r>
        <w:t xml:space="preserve">, era possível celebrar contratos de longa duração com um preço fixo, o que conferia um elevado nível de segurança. Infelizmente, isso já não é </w:t>
      </w:r>
      <w:r>
        <w:br/>
        <w:t xml:space="preserve">possível.  </w:t>
      </w:r>
    </w:p>
    <w:p w14:paraId="04006B7E" w14:textId="6206A7BF" w:rsidR="00F16ACA" w:rsidRPr="009F1963" w:rsidRDefault="007733E9" w:rsidP="00C903B7">
      <w:pPr>
        <w:jc w:val="both"/>
        <w:rPr>
          <w:rFonts w:ascii="Arial" w:hAnsi="Arial" w:cs="Arial"/>
        </w:rPr>
      </w:pPr>
      <w:r>
        <w:t xml:space="preserve"> </w:t>
      </w:r>
      <w:r>
        <w:br/>
      </w:r>
      <w:r>
        <w:rPr>
          <w:rFonts w:ascii="Arial" w:hAnsi="Arial"/>
        </w:rPr>
        <w:t>Neste momento, as três principais opções são:</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Através de um contrato com um fornecedor de eletricidade (numa base anual)</w:t>
      </w:r>
      <w:r>
        <w:rPr>
          <w:color w:val="3DC3C6"/>
        </w:rPr>
        <w:t xml:space="preserve"> </w:t>
      </w:r>
      <w:r>
        <w:rPr>
          <w:color w:val="3DC3C6"/>
        </w:rPr>
        <w:br/>
      </w:r>
      <w:r>
        <w:rPr>
          <w:rFonts w:ascii="Arial" w:hAnsi="Arial"/>
        </w:rPr>
        <w:t>Pode solicitar a vários fornecedores de eletricidade um contrato-tipo a termo, tanto para o consumo como para a injeção de energia para montante. A duração é geralmente de um ano. Não se sabe qual será a evolução do pagamento pela injeção de energia para montante nos próximos anos. Preço indicativo da injeção de energia para montante para o verão de 2023, para as grandes instalações fotovoltaicas (&gt;100 </w:t>
      </w:r>
      <w:proofErr w:type="spellStart"/>
      <w:r>
        <w:rPr>
          <w:rFonts w:ascii="Arial" w:hAnsi="Arial"/>
        </w:rPr>
        <w:t>kWp</w:t>
      </w:r>
      <w:proofErr w:type="spellEnd"/>
      <w:r>
        <w:rPr>
          <w:rFonts w:ascii="Arial" w:hAnsi="Arial"/>
        </w:rPr>
        <w:t>): 3-5 cêntimos/kWh</w:t>
      </w:r>
      <w:r>
        <w:t xml:space="preserve"> </w:t>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Através de um contrato «dinâmico» com um fornecedor de eletricidade</w:t>
      </w:r>
      <w:r>
        <w:rPr>
          <w:color w:val="3DC3C6"/>
        </w:rPr>
        <w:t xml:space="preserve"> </w:t>
      </w:r>
      <w:r>
        <w:br/>
      </w:r>
      <w:r>
        <w:rPr>
          <w:rFonts w:ascii="Arial" w:hAnsi="Arial"/>
        </w:rPr>
        <w:t>Vários fornecedores de eletricidade</w:t>
      </w:r>
      <w:r w:rsidRPr="009F1963">
        <w:rPr>
          <w:rStyle w:val="FootnoteReference"/>
          <w:rFonts w:ascii="Arial" w:hAnsi="Arial" w:cs="Arial"/>
        </w:rPr>
        <w:footnoteReference w:id="3"/>
      </w:r>
      <w:r>
        <w:rPr>
          <w:rFonts w:ascii="Arial" w:hAnsi="Arial"/>
        </w:rPr>
        <w:t xml:space="preserve"> oferecem um contrato «dinâmico», em que o preço por kWh varia de hora para hora. O preço por hora é calculado tomando por base o preço para o dia seguinte no mercado EPEX, acrescido de uma sobretaxa.</w:t>
      </w:r>
      <w:r>
        <w:t xml:space="preserve">  </w:t>
      </w:r>
      <w:r>
        <w:br/>
      </w:r>
      <w:r>
        <w:br/>
      </w:r>
      <w:r>
        <w:rPr>
          <w:rFonts w:ascii="Arial" w:hAnsi="Arial"/>
        </w:rPr>
        <w:t xml:space="preserve">Nota: por vezes, estes preços são negativos e terá de </w:t>
      </w:r>
      <w:r>
        <w:rPr>
          <w:rFonts w:ascii="Arial" w:hAnsi="Arial"/>
          <w:i/>
        </w:rPr>
        <w:t>pagar</w:t>
      </w:r>
      <w:r>
        <w:rPr>
          <w:rFonts w:ascii="Arial" w:hAnsi="Arial"/>
        </w:rPr>
        <w:t xml:space="preserve"> se fizer a injeção de energia para montante.  </w:t>
      </w:r>
      <w:r>
        <w:rPr>
          <w:rFonts w:ascii="Arial" w:hAnsi="Arial"/>
        </w:rPr>
        <w:br/>
        <w:t>Entre janeiro e o final de julho de 2023, esta situação ocorreu durante 212 horas – muitas vezes por volta do meio-dia. Para evitar o pagamento pela injeção de energia para montante, pode ser instalada uma caixa que desliga os inversores durante as horas de preço negativo. Durante as horas com preço de energia positivo, receberá normalmente um valor consideravelmente mais elevado do que a remuneração fixa pela injeção de energia para montante antes mencionada.</w:t>
      </w:r>
      <w:r>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Negociação automatizada no mercado diário EPEX e no mercado de desequilíbrio</w:t>
      </w:r>
      <w:r>
        <w:rPr>
          <w:color w:val="3DC3C6"/>
        </w:rPr>
        <w:t xml:space="preserve"> </w:t>
      </w:r>
      <w:r>
        <w:br/>
        <w:t>Também é possível celebrar um contrato com uma plataforma de negociação</w:t>
      </w:r>
      <w:r w:rsidRPr="004C0EBD">
        <w:rPr>
          <w:rStyle w:val="FootnoteReference"/>
        </w:rPr>
        <w:footnoteReference w:id="4"/>
      </w:r>
      <w:r>
        <w:t xml:space="preserve">. As empresas negoceiam (geralmente de forma automatizada) através do seu próprio </w:t>
      </w:r>
      <w:r>
        <w:rPr>
          <w:i/>
          <w:iCs/>
        </w:rPr>
        <w:t>software</w:t>
      </w:r>
      <w:r>
        <w:t xml:space="preserve">, tanto no mercado diário EPEX como no mercado </w:t>
      </w:r>
      <w:proofErr w:type="spellStart"/>
      <w:r>
        <w:t>intradiário</w:t>
      </w:r>
      <w:proofErr w:type="spellEnd"/>
      <w:r>
        <w:t xml:space="preserve">/de desequilíbrio. Para o efeito, instalam </w:t>
      </w:r>
      <w:r>
        <w:lastRenderedPageBreak/>
        <w:t xml:space="preserve">um dispositivo que pode ligar ou desligar os inversores. Esta solução está disponível para projetos com uma dimensão superior a um determinado limite. </w:t>
      </w:r>
    </w:p>
    <w:p w14:paraId="7C9836F6" w14:textId="794DEEFC" w:rsidR="00C903B7" w:rsidRPr="004C0EBD" w:rsidRDefault="00C903B7" w:rsidP="009F1963">
      <w:pPr>
        <w:pStyle w:val="BodyText1"/>
        <w:rPr>
          <w:rFonts w:cs="Calibri"/>
        </w:rPr>
      </w:pPr>
      <w:r>
        <w:t xml:space="preserve">Para todas as opções, pode ser útil distribuir o sistema fotovoltaico por duas ligações à rede: a ligação principal e uma segunda ligação [opção «MLOEA» – </w:t>
      </w:r>
      <w:proofErr w:type="spellStart"/>
      <w:r>
        <w:rPr>
          <w:i/>
        </w:rPr>
        <w:t>Meerdere</w:t>
      </w:r>
      <w:proofErr w:type="spellEnd"/>
      <w:r>
        <w:rPr>
          <w:i/>
        </w:rPr>
        <w:t xml:space="preserve"> </w:t>
      </w:r>
      <w:proofErr w:type="spellStart"/>
      <w:r>
        <w:rPr>
          <w:i/>
        </w:rPr>
        <w:t>Leveranciers</w:t>
      </w:r>
      <w:proofErr w:type="spellEnd"/>
      <w:r>
        <w:rPr>
          <w:i/>
        </w:rPr>
        <w:t xml:space="preserve"> </w:t>
      </w:r>
      <w:proofErr w:type="spellStart"/>
      <w:r>
        <w:rPr>
          <w:i/>
        </w:rPr>
        <w:t>Op</w:t>
      </w:r>
      <w:proofErr w:type="spellEnd"/>
      <w:r>
        <w:rPr>
          <w:i/>
        </w:rPr>
        <w:t xml:space="preserve"> </w:t>
      </w:r>
      <w:proofErr w:type="spellStart"/>
      <w:r>
        <w:rPr>
          <w:i/>
        </w:rPr>
        <w:t>Één</w:t>
      </w:r>
      <w:proofErr w:type="spellEnd"/>
      <w:r>
        <w:rPr>
          <w:i/>
        </w:rPr>
        <w:t xml:space="preserve"> </w:t>
      </w:r>
      <w:proofErr w:type="spellStart"/>
      <w:r>
        <w:rPr>
          <w:i/>
        </w:rPr>
        <w:t>Aansluiting</w:t>
      </w:r>
      <w:proofErr w:type="spellEnd"/>
      <w:r>
        <w:t xml:space="preserve"> (Múltiplos Fornecedores numa Única Ligação)]. Todo o autoconsumo provém da ligação principal, ao passo que o excedente vai para a segunda ligação. Ao celebrar dois contratos diferentes (com diferentes empresas do setor da energia), pode obter um preço mais elevado.</w:t>
      </w:r>
    </w:p>
    <w:p w14:paraId="3E5405FD" w14:textId="77777777" w:rsidR="00C903B7" w:rsidRPr="004C0EBD" w:rsidRDefault="00C903B7" w:rsidP="00C903B7"/>
    <w:p w14:paraId="5C05686E" w14:textId="3A55C9CC" w:rsidR="00C903B7" w:rsidRPr="004C0EBD" w:rsidRDefault="00444DFF" w:rsidP="009548F1">
      <w:pPr>
        <w:pStyle w:val="MH3"/>
      </w:pPr>
      <w:bookmarkStart w:id="60" w:name="_Toc180577264"/>
      <w:r>
        <w:t>5.1 Subsídios</w:t>
      </w:r>
      <w:bookmarkEnd w:id="60"/>
    </w:p>
    <w:p w14:paraId="4023D4DB" w14:textId="344ECD8A" w:rsidR="00CE2638" w:rsidRPr="004C0EBD" w:rsidRDefault="00CE2638" w:rsidP="009F1963">
      <w:pPr>
        <w:pStyle w:val="BodyText1"/>
      </w:pPr>
      <w:r>
        <w:t>Os principais regimes de subsídios são:</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Sistema de</w:t>
      </w:r>
      <w:r>
        <w:rPr>
          <w:rFonts w:ascii="Arial" w:hAnsi="Arial"/>
          <w:i/>
          <w:color w:val="3DC3C6"/>
        </w:rPr>
        <w:t xml:space="preserve"> </w:t>
      </w:r>
      <w:r>
        <w:rPr>
          <w:rFonts w:ascii="Arial" w:hAnsi="Arial"/>
          <w:b/>
          <w:i/>
          <w:color w:val="3DC3C6"/>
        </w:rPr>
        <w:t>contagem líquida</w:t>
      </w:r>
      <w:r>
        <w:br/>
      </w:r>
      <w:r>
        <w:rPr>
          <w:rFonts w:ascii="Arial" w:hAnsi="Arial"/>
        </w:rPr>
        <w:t>O sistema de contagem líquida («</w:t>
      </w:r>
      <w:proofErr w:type="spellStart"/>
      <w:r>
        <w:rPr>
          <w:rFonts w:ascii="Arial" w:hAnsi="Arial"/>
          <w:i/>
        </w:rPr>
        <w:t>Salderingsregeling</w:t>
      </w:r>
      <w:proofErr w:type="spellEnd"/>
      <w:r>
        <w:rPr>
          <w:rFonts w:ascii="Arial" w:hAnsi="Arial"/>
        </w:rPr>
        <w:t xml:space="preserve">») aplica-se não só a particulares, mas também a muitas empresas, clubes desportivos, escritórios, etc. A condição prévia é a existência de uma «pequena ligação de consumo», ou seja, uma ligação à rede com uma capacidade inferior a 3 x 80 A. Este regime será progressivamente descontinuado a partir de 2026. </w:t>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b/>
          <w:i/>
          <w:color w:val="3DC3C6"/>
        </w:rPr>
        <w:t xml:space="preserve"> </w:t>
      </w:r>
      <w:r>
        <w:rPr>
          <w:color w:val="3DC3C6"/>
        </w:rPr>
        <w:t xml:space="preserve"> </w:t>
      </w:r>
      <w:r>
        <w:br/>
      </w:r>
      <w:r>
        <w:rPr>
          <w:rFonts w:ascii="Arial" w:hAnsi="Arial"/>
        </w:rPr>
        <w:t xml:space="preserve">Com o regime de subvenções SDE++, o Governo garante um preço mínimo para o fornecimento de eletricidade à rede para energias renováveis.    </w:t>
      </w:r>
      <w:r>
        <w:rPr>
          <w:rFonts w:ascii="Arial" w:hAnsi="Arial"/>
        </w:rPr>
        <w:br/>
        <w:t xml:space="preserve">A maior parte das instalações fotovoltaicas de maior dimensão, tanto em telhados como em terrenos, utiliza este regime, graças ao qual os Países Baixos se encontram atualmente entre os três líderes a nível mundial em termos de capacidade de produção </w:t>
      </w:r>
      <w:r>
        <w:rPr>
          <w:rFonts w:ascii="Arial" w:hAnsi="Arial"/>
          <w:i/>
          <w:iCs/>
        </w:rPr>
        <w:t>per capita</w:t>
      </w:r>
      <w:r>
        <w:rPr>
          <w:rFonts w:ascii="Arial" w:hAnsi="Arial"/>
        </w:rPr>
        <w:t xml:space="preserve">.  </w:t>
      </w:r>
      <w:r>
        <w:rPr>
          <w:rFonts w:ascii="Arial" w:hAnsi="Arial"/>
        </w:rPr>
        <w:br/>
        <w:t xml:space="preserve">A quem se destina este regime?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Ligação à rede de, pelo menos, 3 x 80 A</w:t>
      </w:r>
    </w:p>
    <w:p w14:paraId="289046AB" w14:textId="73FD8834" w:rsidR="001F2F97" w:rsidRPr="004C0EBD" w:rsidRDefault="00295EA1" w:rsidP="0075115D">
      <w:pPr>
        <w:pStyle w:val="ListParagraph"/>
        <w:numPr>
          <w:ilvl w:val="1"/>
          <w:numId w:val="3"/>
        </w:numPr>
        <w:rPr>
          <w:b/>
          <w:bCs/>
          <w:i/>
          <w:iCs/>
        </w:rPr>
      </w:pPr>
      <w:r>
        <w:rPr>
          <w:rFonts w:ascii="Arial" w:hAnsi="Arial"/>
        </w:rPr>
        <w:t>Excluem-se as organizações da administração central</w:t>
      </w:r>
      <w:r>
        <w:t xml:space="preserve">  </w:t>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w:t>
      </w:r>
      <w:proofErr w:type="spellStart"/>
      <w:r>
        <w:rPr>
          <w:rFonts w:ascii="Arial" w:hAnsi="Arial"/>
          <w:b/>
          <w:i/>
          <w:color w:val="3DC3C6"/>
        </w:rPr>
        <w:t>Postcoderoos</w:t>
      </w:r>
      <w:proofErr w:type="spellEnd"/>
      <w:r>
        <w:rPr>
          <w:rFonts w:ascii="Arial" w:hAnsi="Arial"/>
          <w:b/>
          <w:i/>
          <w:color w:val="3DC3C6"/>
        </w:rPr>
        <w:t xml:space="preserve">» [regime de taxa </w:t>
      </w:r>
      <w:proofErr w:type="gramStart"/>
      <w:r>
        <w:rPr>
          <w:rFonts w:ascii="Arial" w:hAnsi="Arial"/>
          <w:b/>
          <w:i/>
          <w:color w:val="3DC3C6"/>
        </w:rPr>
        <w:t>reduzida]/</w:t>
      </w:r>
      <w:proofErr w:type="gramEnd"/>
      <w:r>
        <w:rPr>
          <w:rFonts w:ascii="Arial" w:hAnsi="Arial"/>
          <w:b/>
          <w:i/>
          <w:color w:val="3DC3C6"/>
        </w:rPr>
        <w:t xml:space="preserve"> Regime SCE</w:t>
      </w:r>
      <w:r>
        <w:rPr>
          <w:color w:val="3DC3C6"/>
        </w:rPr>
        <w:t xml:space="preserve"> </w:t>
      </w:r>
      <w:r>
        <w:br/>
        <w:t>O «</w:t>
      </w:r>
      <w:proofErr w:type="spellStart"/>
      <w:r>
        <w:rPr>
          <w:i/>
        </w:rPr>
        <w:t>Subsidieregeling</w:t>
      </w:r>
      <w:proofErr w:type="spellEnd"/>
      <w:r>
        <w:rPr>
          <w:i/>
        </w:rPr>
        <w:t xml:space="preserve"> </w:t>
      </w:r>
      <w:proofErr w:type="spellStart"/>
      <w:r>
        <w:rPr>
          <w:i/>
        </w:rPr>
        <w:t>Coöperatieve</w:t>
      </w:r>
      <w:proofErr w:type="spellEnd"/>
      <w:r>
        <w:rPr>
          <w:i/>
        </w:rPr>
        <w:t xml:space="preserve"> </w:t>
      </w:r>
      <w:proofErr w:type="spellStart"/>
      <w:r>
        <w:rPr>
          <w:i/>
        </w:rPr>
        <w:t>Energieopwekking</w:t>
      </w:r>
      <w:proofErr w:type="spellEnd"/>
      <w:r>
        <w:t xml:space="preserve">» [Regime Cooperativo de Subvenção à Produção de Energia] permite que vizinhos partilhem um projeto fotovoltaico instalado num telhado de grande dimensão.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EIA/MIA/VAMIL</w:t>
      </w:r>
      <w:r>
        <w:rPr>
          <w:rFonts w:ascii="Arial" w:hAnsi="Arial"/>
          <w:color w:val="3DC3C6"/>
        </w:rPr>
        <w:t xml:space="preserve"> </w:t>
      </w:r>
      <w:r>
        <w:br/>
      </w:r>
      <w:r>
        <w:rPr>
          <w:rFonts w:ascii="Arial" w:hAnsi="Arial"/>
        </w:rPr>
        <w:t>Estes regimes incentivam as empresas a tornarem-se mais sustentáveis através de incentivos fiscais, por exemplo através da amortização acelerada dos investimentos efetuados em medidas destinadas a melhorar a sustentabilidade.</w:t>
      </w:r>
      <w:r>
        <w:t xml:space="preserve"> </w:t>
      </w:r>
    </w:p>
    <w:p w14:paraId="279AD331" w14:textId="77777777" w:rsidR="004343AC" w:rsidRPr="004C0EBD" w:rsidRDefault="004343AC" w:rsidP="00A3595E"/>
    <w:p w14:paraId="63966417" w14:textId="2698432D" w:rsidR="006A5081" w:rsidRPr="004C0EBD" w:rsidRDefault="00444DFF" w:rsidP="009548F1">
      <w:pPr>
        <w:pStyle w:val="MH3"/>
      </w:pPr>
      <w:bookmarkStart w:id="61" w:name="_Toc180577265"/>
      <w:r>
        <w:t>5.2 Financiamento</w:t>
      </w:r>
      <w:bookmarkEnd w:id="61"/>
    </w:p>
    <w:p w14:paraId="6A71FF93" w14:textId="3DBBFC7F" w:rsidR="004A7C5B" w:rsidRPr="004C0EBD" w:rsidRDefault="005E16E5" w:rsidP="009F1963">
      <w:pPr>
        <w:pStyle w:val="BodyText1"/>
      </w:pPr>
      <w:r>
        <w:t>Para a maioria dos projetos de Sistemas Solares em Telhados, o proprietário ou o arrendatário do edifício também se torna proprietário do sistema fotovoltaico</w:t>
      </w:r>
      <w:r w:rsidRPr="004C0EBD">
        <w:rPr>
          <w:rStyle w:val="FootnoteReference"/>
        </w:rPr>
        <w:footnoteReference w:id="5"/>
      </w:r>
      <w:r>
        <w:t xml:space="preserve">. Levanta-se, então, a questão </w:t>
      </w:r>
      <w:r>
        <w:lastRenderedPageBreak/>
        <w:t xml:space="preserve">de saber como financiar o projeto: autofinanciamento total através de recursos próprios ou parcial através de financiadores externos. O apoio financeiro externo exige um modelo financeiro para o projeto fotovoltaico que defina as receitas e despesas, os saldos e os fluxos de caixa ao longo do período do projeto.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Há duas categorias de financiamento, cada uma com diferentes riscos e rendimentos: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Através de um empréstimo – baixo risco e baixo retorno</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Dependendo da dimensão do projeto e do financiador, 70 a 90 % podem ser contraídos sob a forma de empréstimos, muitas vezes a uma taxa de juro baixa (2 a 5 %). Quer isto dizer que, inicialmente, só tem de pagar 10 a 30 % dos custos do projeto. As receitas do projeto serão, em primeiro lugar, afetadas ao mutuante.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Condições típicas: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Montante mínimo: 1 milhão de EUR</w:t>
      </w:r>
    </w:p>
    <w:p w14:paraId="59AF5B5B" w14:textId="17384208"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 xml:space="preserve">Os financiadores exigem frequentemente uma dimensão mínima, para justificar a quantidade de trabalho envolvido num empréstimo para projetos fotovoltaicos. Todos os pormenores financeiros e técnicos têm de ser revistos e os contratos têm de ser avaliados. Não se trata de uma tarefa automatizada e continua a ser exigente em termos de mão de obra. É por esta razão que os financiadores aplicam uma dimensão mínima de empréstimo a um projeto (ou para vários projetos combinados do mesmo proprietário).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Requisitos adicionais</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A participação de financiadores externos significa muitas vezes que estes definem requisitos adicionais para minimizar os riscos. Por exemplo, alguns bancos financiarão apenas módulos fotovoltaicos de fornecedores de nível 1 da BNEF. O «nível 1» dá apenas uma indicação da situação financeira, mas nada diz sobre a qualidade ou a sustentabilidade [da instalação].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Enquanto acionista – capital de risco</w:t>
      </w:r>
    </w:p>
    <w:p w14:paraId="79BEA158" w14:textId="77777777" w:rsidR="007A5646" w:rsidRDefault="00CE2638" w:rsidP="007A5646">
      <w:pPr>
        <w:ind w:left="426" w:hanging="66"/>
        <w:jc w:val="both"/>
        <w:rPr>
          <w:rFonts w:ascii="Arial" w:hAnsi="Arial" w:cs="Arial"/>
        </w:rPr>
      </w:pPr>
      <w:r>
        <w:rPr>
          <w:rFonts w:ascii="Arial" w:hAnsi="Arial"/>
          <w:sz w:val="2"/>
        </w:rPr>
        <w:br/>
      </w:r>
      <w:r>
        <w:rPr>
          <w:rFonts w:ascii="Arial" w:hAnsi="Arial"/>
        </w:rPr>
        <w:t xml:space="preserve">Se um banco conceder um empréstimo, este cobre frequentemente 70 a 90 % dos custos do projeto.  </w:t>
      </w:r>
      <w:r>
        <w:rPr>
          <w:rFonts w:ascii="Arial" w:hAnsi="Arial"/>
        </w:rPr>
        <w:br/>
        <w:t xml:space="preserve">Os restantes 10 a 30 % são considerados capital de risco. Este será o primeiro a ser utilizado em caso de problemas ou se as receitas forem inferiores às expectativas. </w:t>
      </w:r>
    </w:p>
    <w:p w14:paraId="0843FA2F" w14:textId="2140A9BA" w:rsidR="007A5646" w:rsidRDefault="00CE2638" w:rsidP="007A5646">
      <w:pPr>
        <w:ind w:left="426" w:hanging="66"/>
        <w:jc w:val="both"/>
        <w:rPr>
          <w:rFonts w:ascii="Arial" w:hAnsi="Arial" w:cs="Arial"/>
        </w:rPr>
      </w:pPr>
      <w:r>
        <w:rPr>
          <w:rFonts w:ascii="Arial" w:hAnsi="Arial"/>
        </w:rPr>
        <w:t xml:space="preserve">  </w:t>
      </w:r>
      <w:r>
        <w:rPr>
          <w:rFonts w:ascii="Arial" w:hAnsi="Arial"/>
        </w:rPr>
        <w:br/>
        <w:t>Os promotores de projetos/EPC contribuem frequentemente com parte do capital próprio necessário, o que significa que também assumem o principal risco caso os resultados não sejam os esperados. Desta forma, conferem uma credibilidade suplementar ao facto de o projeto ter sido devidamente concluído.</w:t>
      </w:r>
    </w:p>
    <w:p w14:paraId="14563404" w14:textId="4A307488" w:rsidR="004176E3" w:rsidRPr="007A5646" w:rsidRDefault="00CE2638" w:rsidP="007A5646">
      <w:pPr>
        <w:ind w:left="426" w:hanging="66"/>
        <w:jc w:val="both"/>
        <w:rPr>
          <w:rFonts w:ascii="Arial" w:hAnsi="Arial" w:cs="Arial"/>
          <w:i/>
          <w:iCs/>
        </w:rPr>
      </w:pPr>
      <w:r>
        <w:rPr>
          <w:rFonts w:ascii="Arial" w:hAnsi="Arial"/>
        </w:rPr>
        <w:lastRenderedPageBreak/>
        <w:t xml:space="preserve">   </w:t>
      </w:r>
      <w:r>
        <w:rPr>
          <w:rFonts w:ascii="Arial" w:hAnsi="Arial"/>
        </w:rPr>
        <w:br/>
        <w:t xml:space="preserve">Para além dos promotores de projetos, existem também vários financiadores dispostos a ajudar, por exemplo através do financiamento colaborativo ou de determinados fundos de investimento. </w:t>
      </w:r>
    </w:p>
    <w:p w14:paraId="17A2033D" w14:textId="3E2545BE" w:rsidR="00077532" w:rsidRPr="007A5646" w:rsidRDefault="007A5646" w:rsidP="00A3595E">
      <w:pPr>
        <w:rPr>
          <w:rFonts w:ascii="Arial" w:hAnsi="Arial" w:cs="Arial"/>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Riscos significativos associados aos projetos fotovoltaicos: incêndio</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Os conectores são frequentemente uma causa de incêndio em instalações fotovoltaicas. Por exemplo, se os conectores macho e fêmea de um cabo de CC forem ambos do tipo MC4, mas fabricados por diferentes fabricantes, ou se um conector estiver mal instalado no cabo. Por vezes, a cobertura do telhado incendeia-se e o fumo ou o fogo podem causar danos no edifício e no conteúdo. Devido à corrente contínua nos cabos de CC (entre os painéis solares e o inversor), uma vez ocorrido um arco elétrico, este não se corrige rapidamente.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Um arco elétrico pode fazer com que os conectores atinjam temperaturas extremamente elevadas e se derretam, atingindo o revestimento do telhado e incendiando os materiais de isolamento inflamáveis (como a EPS). </w:t>
                            </w:r>
                            <w:r>
                              <w:rPr>
                                <w:rFonts w:ascii="Arial" w:hAnsi="Arial"/>
                              </w:rPr>
                              <w:t xml:space="preserve"> </w:t>
                            </w:r>
                            <w:r>
                              <w:rPr>
                                <w:rFonts w:ascii="Arial" w:hAnsi="Arial"/>
                              </w:rPr>
                              <w:br/>
                            </w:r>
                            <w:r>
                              <w:rPr>
                                <w:rFonts w:ascii="Arial" w:hAnsi="Arial"/>
                                <w:sz w:val="20"/>
                              </w:rPr>
                              <w:t xml:space="preserve">Os incêndios deste tipo em telhados são difíceis de extinguir, podendo perder-se todo o edifício.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Soluções possíveis incluem: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Detetor de arcos elétricos com paragem automática (enumerado no modelo dos requisitos)</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Folhas (por exemplo, Solardec) e revestimentos (por exemplo, Allshields) resistentes ao fogo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Invólucro dos conectores resistente ao fogo (por exemplo, ArcBox).</w:t>
                            </w:r>
                          </w:p>
                          <w:p w14:paraId="68E8D737" w14:textId="77777777" w:rsidR="007167EB" w:rsidRPr="007A5646" w:rsidRDefault="007167EB" w:rsidP="007167EB">
                            <w:pPr>
                              <w:jc w:val="both"/>
                              <w:rPr>
                                <w:rFonts w:ascii="Arial" w:hAnsi="Arial" w:cs="Arial"/>
                              </w:rPr>
                            </w:pPr>
                            <w:r>
                              <w:rPr>
                                <w:rFonts w:ascii="Arial" w:hAnsi="Arial"/>
                              </w:rPr>
                              <w:t>Há outras medidas igualmente importantes para minimizar o risco de incêndio: utilização dos conectores corretos; a correta instalação de conectores; a dimensão dos cabos; a gestão dos cabos; a manutenção e monitorização, etc.</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Riscos significativos associados aos projetos fotovoltaicos: incêndio</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Os conectores são frequentemente uma causa de incêndio em instalações fotovoltaicas. Por exemplo, se os conectores macho e fêmea de um cabo de CC forem ambos do tipo MC4, mas fabricados por diferentes fabricantes, ou se um conector estiver mal instalado no cabo. Por vezes, a cobertura do telhado incendeia-se e o fumo ou o fogo podem causar danos no edifício e no conteúdo. Devido à corrente contínua nos cabos de CC (entre os painéis solares e o inversor), uma vez ocorrido um arco elétrico, este não se corrige rapidamente.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Um arco elétrico pode fazer com que os conectores atinjam temperaturas extremamente elevadas e se derretam, atingindo o revestimento do telhado e incendiando os materiais de isolamento inflamáveis (como a EPS). </w:t>
                      </w:r>
                      <w:r>
                        <w:rPr>
                          <w:rFonts w:ascii="Arial" w:hAnsi="Arial"/>
                        </w:rPr>
                        <w:t xml:space="preserve"> </w:t>
                      </w:r>
                      <w:r>
                        <w:rPr>
                          <w:rFonts w:ascii="Arial" w:hAnsi="Arial"/>
                        </w:rPr>
                        <w:br/>
                      </w:r>
                      <w:r>
                        <w:rPr>
                          <w:rFonts w:ascii="Arial" w:hAnsi="Arial"/>
                          <w:sz w:val="20"/>
                        </w:rPr>
                        <w:t xml:space="preserve">Os incêndios deste tipo em telhados são difíceis de extinguir, podendo perder-se todo o edifício.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Soluções possíveis incluem: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Detetor de arcos elétricos com paragem automática (enumerado no modelo dos requisitos)</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Folhas (por exemplo, Solardec) e revestimentos (por exemplo, Allshields) resistentes ao fogo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Invólucro dos conectores resistente ao fogo (por exemplo, ArcBox).</w:t>
                      </w:r>
                    </w:p>
                    <w:p w14:paraId="68E8D737" w14:textId="77777777" w:rsidR="007167EB" w:rsidRPr="007A5646" w:rsidRDefault="007167EB" w:rsidP="007167EB">
                      <w:pPr>
                        <w:jc w:val="both"/>
                        <w:rPr>
                          <w:rFonts w:ascii="Arial" w:hAnsi="Arial" w:cs="Arial"/>
                        </w:rPr>
                      </w:pPr>
                      <w:r>
                        <w:rPr>
                          <w:rFonts w:ascii="Arial" w:hAnsi="Arial"/>
                        </w:rPr>
                        <w:t>Há outras medidas igualmente importantes para minimizar o risco de incêndio: utilização dos conectores corretos; a correta instalação de conectores; a dimensão dos cabos; a gestão dos cabos; a manutenção e monitorização, etc.</w:t>
                      </w:r>
                    </w:p>
                    <w:p w14:paraId="561BE267" w14:textId="479542B4" w:rsidR="007167EB" w:rsidRDefault="007167EB"/>
                  </w:txbxContent>
                </v:textbox>
                <w10:wrap type="topAndBottom"/>
              </v:shape>
            </w:pict>
          </mc:Fallback>
        </mc:AlternateContent>
      </w:r>
      <w:r>
        <w:rPr>
          <w:rStyle w:val="SubtleEmphasis"/>
          <w:rFonts w:ascii="Arial" w:hAnsi="Arial"/>
          <w:color w:val="3DC3C6"/>
        </w:rPr>
        <w:t xml:space="preserve">Resumo dos potenciais financiadores </w:t>
      </w:r>
      <w:r>
        <w:rPr>
          <w:rFonts w:ascii="Arial" w:hAnsi="Arial"/>
          <w:color w:val="3DC3C6"/>
        </w:rPr>
        <w:t xml:space="preserve"> </w:t>
      </w:r>
      <w:r>
        <w:rPr>
          <w:rFonts w:ascii="Arial" w:hAnsi="Arial"/>
        </w:rPr>
        <w:br/>
        <w:t xml:space="preserve">O </w:t>
      </w:r>
      <w:proofErr w:type="spellStart"/>
      <w:r>
        <w:rPr>
          <w:rFonts w:ascii="Arial" w:hAnsi="Arial"/>
        </w:rPr>
        <w:t>Triodos</w:t>
      </w:r>
      <w:proofErr w:type="spellEnd"/>
      <w:r>
        <w:rPr>
          <w:rFonts w:ascii="Arial" w:hAnsi="Arial"/>
        </w:rPr>
        <w:t xml:space="preserve"> e o ASN </w:t>
      </w:r>
      <w:proofErr w:type="spellStart"/>
      <w:r>
        <w:rPr>
          <w:rFonts w:ascii="Arial" w:hAnsi="Arial"/>
        </w:rPr>
        <w:t>Bank</w:t>
      </w:r>
      <w:proofErr w:type="spellEnd"/>
      <w:r>
        <w:rPr>
          <w:rFonts w:ascii="Arial" w:hAnsi="Arial"/>
        </w:rPr>
        <w:t xml:space="preserve">, grandes bancos comerciais, bancos estatais como o BNG, e muitos outros fundos especializados e financiadores: consulte o </w:t>
      </w:r>
      <w:r>
        <w:rPr>
          <w:rFonts w:ascii="Arial" w:hAnsi="Arial"/>
          <w:b/>
          <w:color w:val="3DC3C6"/>
          <w:u w:val="single"/>
        </w:rPr>
        <w:t>anexo 5</w:t>
      </w:r>
      <w:r>
        <w:rPr>
          <w:rFonts w:ascii="Arial" w:hAnsi="Arial"/>
          <w:color w:val="3DC3C6"/>
        </w:rPr>
        <w:t xml:space="preserve"> </w:t>
      </w:r>
      <w:r>
        <w:rPr>
          <w:rFonts w:ascii="Arial" w:hAnsi="Arial"/>
        </w:rPr>
        <w:t>para uma lista de financiadores</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9548F1">
      <w:pPr>
        <w:pStyle w:val="MH3"/>
      </w:pPr>
      <w:bookmarkStart w:id="62" w:name="_Toc180577266"/>
      <w:r>
        <w:t>5.3 Seguros</w:t>
      </w:r>
      <w:bookmarkEnd w:id="62"/>
    </w:p>
    <w:p w14:paraId="7D2C96C5" w14:textId="31310D6D" w:rsidR="00301A85" w:rsidRPr="007A5646" w:rsidRDefault="00681240" w:rsidP="006D0CA6">
      <w:pPr>
        <w:jc w:val="both"/>
        <w:rPr>
          <w:rFonts w:ascii="Arial" w:hAnsi="Arial" w:cs="Arial"/>
        </w:rPr>
      </w:pPr>
      <w:r>
        <w:rPr>
          <w:rFonts w:ascii="Arial" w:hAnsi="Arial"/>
        </w:rPr>
        <w:t>Consoante a situação, podem ser adequados vários seguros. Se pagar o projeto com os seus próprios recursos, pode ponderar esta questão individualmente. Se o projeto contar com a participação de bancos ou outros financiadores, estes quase sempre solicitam um</w:t>
      </w:r>
      <w:r>
        <w:rPr>
          <w:rFonts w:ascii="Arial" w:hAnsi="Arial"/>
          <w:i/>
        </w:rPr>
        <w:t xml:space="preserve"> </w:t>
      </w:r>
      <w:r>
        <w:rPr>
          <w:rFonts w:ascii="Arial" w:hAnsi="Arial"/>
        </w:rPr>
        <w:t>seguro contra todos os riscos operacionais</w:t>
      </w:r>
      <w:r>
        <w:rPr>
          <w:rFonts w:ascii="Arial" w:hAnsi="Arial"/>
          <w:i/>
        </w:rPr>
        <w:t xml:space="preserve"> </w:t>
      </w:r>
      <w:r>
        <w:rPr>
          <w:rFonts w:ascii="Arial" w:hAnsi="Arial"/>
        </w:rPr>
        <w:t>e que a parte contratante disponha de um seguro de responsabilidade civil empresarial adequado (</w:t>
      </w:r>
      <w:proofErr w:type="spellStart"/>
      <w:r>
        <w:rPr>
          <w:rFonts w:ascii="Arial" w:hAnsi="Arial"/>
          <w:i/>
        </w:rPr>
        <w:t>Bedrijfsaansprakelijkheidsverzekering</w:t>
      </w:r>
      <w:proofErr w:type="spellEnd"/>
      <w:r>
        <w:rPr>
          <w:rFonts w:ascii="Arial" w:hAnsi="Arial"/>
          <w:i/>
        </w:rPr>
        <w:t xml:space="preserve"> </w:t>
      </w:r>
      <w:r>
        <w:rPr>
          <w:rFonts w:ascii="Arial" w:hAnsi="Arial"/>
        </w:rPr>
        <w:t>– AVB).</w:t>
      </w:r>
    </w:p>
    <w:p w14:paraId="62A7F5F1" w14:textId="77777777" w:rsidR="00301A85" w:rsidRPr="004C0EBD" w:rsidRDefault="00301A85" w:rsidP="00A3595E"/>
    <w:p w14:paraId="48832CD2" w14:textId="57879E66" w:rsidR="00474598" w:rsidRPr="004C0EBD" w:rsidRDefault="00474598" w:rsidP="007A5646">
      <w:pPr>
        <w:pStyle w:val="BodyText1"/>
      </w:pPr>
      <w:r>
        <w:t xml:space="preserve">Segue-se uma breve descrição de quatro tipos relevantes de seguros.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Para Sistemas Solares em Telhados: seguro de incêndio </w:t>
      </w:r>
    </w:p>
    <w:p w14:paraId="4B57E2F5" w14:textId="74558B0F" w:rsidR="00293FAD" w:rsidRPr="007A5646" w:rsidRDefault="00681240" w:rsidP="00321C0F">
      <w:pPr>
        <w:jc w:val="both"/>
        <w:rPr>
          <w:rFonts w:ascii="Arial" w:hAnsi="Arial" w:cs="Arial"/>
        </w:rPr>
      </w:pPr>
      <w:r>
        <w:rPr>
          <w:rFonts w:ascii="Arial" w:hAnsi="Arial"/>
        </w:rPr>
        <w:t>Nos últimos anos, houve vários incêndios em edifícios causados por instalações fotovoltaicas. Os prémios de seguro de edifícios e de recheio aumentam frequentemente devido ao risco acrescido de incêndio após a instalação de um sistema fotovoltaico no telhado. Por vezes, a seguradora pode impor exigências adicionais (por exemplo, um detetor de arco elétrico). Estas exigências devem constar do convite à apresentação de propostas ou da descrição do contrato.</w:t>
      </w:r>
    </w:p>
    <w:p w14:paraId="17424A8A" w14:textId="094138F5" w:rsidR="00293FAD" w:rsidRPr="007A5646" w:rsidRDefault="007A5646" w:rsidP="00A3595E">
      <w:pPr>
        <w:rPr>
          <w:rFonts w:ascii="Arial" w:hAnsi="Arial" w:cs="Arial"/>
        </w:rPr>
      </w:pPr>
      <w:r>
        <w:rPr>
          <w:b/>
          <w:noProof/>
          <w:color w:val="104D54"/>
        </w:rPr>
        <w:lastRenderedPageBreak/>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Dica</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É importante inquirir sobre os custos das apólices de seguro novas ou adaptadas </w:t>
      </w:r>
      <w:r>
        <w:rPr>
          <w:rFonts w:ascii="Arial" w:hAnsi="Arial"/>
          <w:b/>
          <w:color w:val="104D54"/>
        </w:rPr>
        <w:t>numa fase precoce</w:t>
      </w:r>
      <w:r>
        <w:rPr>
          <w:rFonts w:ascii="Arial" w:hAnsi="Arial"/>
          <w:color w:val="104D54"/>
        </w:rPr>
        <w:t xml:space="preserve">. Em alguns casos, os prémios podem ser tão elevados, que o projeto fotovoltaico deixa de ter justificação económica. Esta situação esteve na origem da queda de vários </w:t>
      </w:r>
      <w:r>
        <w:rPr>
          <w:rFonts w:ascii="Arial" w:hAnsi="Arial"/>
          <w:color w:val="104D54"/>
        </w:rPr>
        <w:br/>
        <w:t>projetos fotovoltaicos.</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Seguro contra todos os riscos operacionais (OAR)</w:t>
      </w:r>
    </w:p>
    <w:p w14:paraId="7721E1ED" w14:textId="0B869916" w:rsidR="00474598" w:rsidRPr="007A5646" w:rsidRDefault="00293FAD" w:rsidP="00474598">
      <w:pPr>
        <w:rPr>
          <w:rFonts w:ascii="Arial" w:hAnsi="Arial" w:cs="Arial"/>
        </w:rPr>
      </w:pPr>
      <w:r>
        <w:rPr>
          <w:rFonts w:ascii="Arial" w:hAnsi="Arial"/>
        </w:rPr>
        <w:t>Este seguro é subscrito pelo próprio cliente. Protege contra:</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Danos na instalação do painel solar</w:t>
      </w:r>
      <w:r>
        <w:rPr>
          <w:rFonts w:ascii="Arial" w:hAnsi="Arial"/>
          <w:color w:val="3DC3C6"/>
        </w:rPr>
        <w:t xml:space="preserve"> </w:t>
      </w:r>
      <w:r>
        <w:rPr>
          <w:rFonts w:ascii="Arial" w:hAnsi="Arial"/>
        </w:rPr>
        <w:br/>
        <w:t>O seguro OAR cobre os danos causados à instalação fotovoltaica em consequência de imprevistos externos, tais como: incêndio, tempestade, queda de raio, furto ou vandalismo.</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Perda de produção</w:t>
      </w:r>
      <w:r>
        <w:rPr>
          <w:rFonts w:ascii="Arial" w:hAnsi="Arial"/>
          <w:color w:val="3DC3C6"/>
        </w:rPr>
        <w:t xml:space="preserve"> </w:t>
      </w:r>
      <w:r>
        <w:rPr>
          <w:rFonts w:ascii="Arial" w:hAnsi="Arial"/>
        </w:rPr>
        <w:br/>
        <w:t>Em caso de danos na instalação fotovoltaica, a sua reparação ou substituição pode demorar algum tempo, o que pode conduzir a uma perda de receitas. O seguro OAR cobre também a perda de receitas resultante de danos.</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Seguro de responsabilidade civil empresarial (AVB)</w:t>
      </w:r>
    </w:p>
    <w:p w14:paraId="5D96A310" w14:textId="220B64A7" w:rsidR="00B06E62" w:rsidRPr="007A5646" w:rsidRDefault="00B06E62" w:rsidP="00321C0F">
      <w:pPr>
        <w:jc w:val="both"/>
        <w:rPr>
          <w:rFonts w:ascii="Arial" w:hAnsi="Arial" w:cs="Arial"/>
        </w:rPr>
      </w:pPr>
      <w:r>
        <w:rPr>
          <w:rFonts w:ascii="Arial" w:hAnsi="Arial"/>
        </w:rPr>
        <w:t xml:space="preserve">Os requisitos dos projetos fotovoltaicos estipulam geralmente que a parte contratante tem de possuir um seguro de responsabilidade civil empresarial adequado para garantir uma compensação financeira caso seja considerada responsável por quaisquer danos ocorridos durante as obras.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Alguns exemplos de cobertura:</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Danos materiais</w:t>
      </w:r>
      <w:r>
        <w:rPr>
          <w:rFonts w:ascii="Arial" w:hAnsi="Arial"/>
          <w:i/>
          <w:color w:val="3DC3C6"/>
        </w:rPr>
        <w:t xml:space="preserve"> </w:t>
      </w:r>
      <w:r>
        <w:rPr>
          <w:rFonts w:ascii="Arial" w:hAnsi="Arial"/>
        </w:rPr>
        <w:t xml:space="preserve">Danos à propriedade do cliente (automóveis, edifícios, etc.) causados por um acidente ocorrido durante as obras.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 xml:space="preserve">Danos </w:t>
      </w:r>
      <w:proofErr w:type="gramStart"/>
      <w:r>
        <w:rPr>
          <w:rFonts w:ascii="Arial" w:hAnsi="Arial"/>
          <w:b/>
          <w:i/>
          <w:color w:val="3DC3C6"/>
        </w:rPr>
        <w:t>corporais</w:t>
      </w:r>
      <w:r>
        <w:rPr>
          <w:rFonts w:ascii="Arial" w:hAnsi="Arial"/>
          <w:i/>
          <w:color w:val="3DC3C6"/>
        </w:rPr>
        <w:t xml:space="preserve"> </w:t>
      </w:r>
      <w:r>
        <w:rPr>
          <w:rFonts w:ascii="Arial" w:hAnsi="Arial"/>
        </w:rPr>
        <w:t>Se</w:t>
      </w:r>
      <w:proofErr w:type="gramEnd"/>
      <w:r>
        <w:rPr>
          <w:rFonts w:ascii="Arial" w:hAnsi="Arial"/>
        </w:rPr>
        <w:t xml:space="preserve"> alguém sofrer uma lesão física em resultado das ações do contratante. Cobre as despesas médicas e eventuais indemnizações por danos.</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Despesas </w:t>
      </w:r>
      <w:proofErr w:type="gramStart"/>
      <w:r>
        <w:rPr>
          <w:rFonts w:ascii="Arial" w:hAnsi="Arial"/>
          <w:b/>
          <w:i/>
          <w:color w:val="3DC3C6"/>
        </w:rPr>
        <w:t xml:space="preserve">jurídicas </w:t>
      </w:r>
      <w:r>
        <w:rPr>
          <w:rFonts w:ascii="Arial" w:hAnsi="Arial"/>
        </w:rPr>
        <w:t>Cobrem</w:t>
      </w:r>
      <w:proofErr w:type="gramEnd"/>
      <w:r>
        <w:rPr>
          <w:rFonts w:ascii="Arial" w:hAnsi="Arial"/>
        </w:rPr>
        <w:t xml:space="preserve">, nomeadamente, os honorários de advogados e as custas judiciais, se a empresa estiver envolvida em processos judiciais. </w:t>
      </w:r>
    </w:p>
    <w:p w14:paraId="43930762" w14:textId="1E0C0EF2" w:rsidR="00B06E62" w:rsidRPr="007A5646" w:rsidRDefault="00B06E62" w:rsidP="00B06E62">
      <w:pPr>
        <w:rPr>
          <w:rStyle w:val="SubtleEmphasis"/>
          <w:rFonts w:ascii="Arial" w:hAnsi="Arial" w:cs="Arial"/>
        </w:rPr>
      </w:pPr>
      <w:r>
        <w:rPr>
          <w:rFonts w:ascii="Arial" w:hAnsi="Arial"/>
        </w:rPr>
        <w:t>A cobertura e as condições de um AVB variam consoante a companhia de seguros e consoante o tipo de empresa.</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Seguro contra todos os riscos de construção (STR)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Os instaladores/EPC devem subscrever e pagar um seguro STR com cobertura suficiente (por exemplo: 1 milhão de EUR/pelo menos igual ao valor do contrato). Enquanto cliente, também pode optar por subscrever o seu próprio seguro STR. Este oferece a mesma cobertura, mas é o cliente que tem o controlo. O seguro CAR cobre riscos diferentes dos cobertos pelo seguro AVB.</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t xml:space="preserve">O </w:t>
      </w:r>
      <w:r>
        <w:rPr>
          <w:rFonts w:ascii="Arial" w:hAnsi="Arial"/>
          <w:b/>
          <w:color w:val="3DC3C6"/>
          <w:u w:val="single"/>
        </w:rPr>
        <w:t>anexo 9</w:t>
      </w:r>
      <w:r>
        <w:rPr>
          <w:rFonts w:ascii="Arial" w:hAnsi="Arial"/>
        </w:rPr>
        <w:t xml:space="preserve"> apresenta um breve resumo das coberturas do seguro STR.</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9548F1">
      <w:pPr>
        <w:pStyle w:val="MH2"/>
      </w:pPr>
      <w:bookmarkStart w:id="63" w:name="_Toc180577267"/>
      <w:r>
        <w:lastRenderedPageBreak/>
        <w:t>Etapa 6. Aspetos de sustentabilidade</w:t>
      </w:r>
      <w:bookmarkEnd w:id="63"/>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O ponto 6.1 analisará sucintamente os aspetos de sustentabilidade dos painéis solares, enquanto o ponto 6.2 analisará brevemente os aspetos ambientais dos parques solares e das instalações fotovoltaicas flutuantes.  </w:t>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O presente documento não abordará os materiais de instalação nem os inversores. Os materiais de instalação são, na sua maioria, fabricados em alumínio ou aço, que podem ser facilmente reciclados. Muitas vezes, o alumínio já é fabricado a partir de alumínio reciclado. Até à data, não há muita informação sobre as diferenças em termos de vida útil e robustez. Os aspetos de sustentabilidade dos inversores e das subestruturas serão analisados numa futura versão deste documento.</w:t>
      </w:r>
    </w:p>
    <w:p w14:paraId="2B88D409" w14:textId="77777777" w:rsidR="00FA5774" w:rsidRPr="004C0EBD" w:rsidRDefault="00FA5774" w:rsidP="00A3595E"/>
    <w:p w14:paraId="2085671D" w14:textId="7A892BCC" w:rsidR="003430AD" w:rsidRPr="004C0EBD" w:rsidRDefault="00FA5774" w:rsidP="009548F1">
      <w:pPr>
        <w:pStyle w:val="MH3"/>
      </w:pPr>
      <w:bookmarkStart w:id="64" w:name="_Toc180577268"/>
      <w:r>
        <w:t>6.1 Aspetos de sustentabilidade dos painéis solares</w:t>
      </w:r>
      <w:bookmarkEnd w:id="64"/>
    </w:p>
    <w:p w14:paraId="1C1BEA61" w14:textId="313EB780" w:rsidR="009F3241" w:rsidRPr="004C0EBD" w:rsidRDefault="009F3241" w:rsidP="00162562">
      <w:pPr>
        <w:pStyle w:val="BodyText1"/>
      </w:pPr>
      <w:r>
        <w:t>Segue-se um resumo dos principais aspetos de sustentabilidade. Estes temas são amplamente abordados no documento «Aspetos de sustentabilidade e estudo de mercado dos painéis solares mais sustentáveis»,</w:t>
      </w:r>
      <w:r>
        <w:rPr>
          <w:i/>
        </w:rPr>
        <w:t xml:space="preserve"> </w:t>
      </w:r>
      <w:r>
        <w:t>que também analisa as opções de venda mais sustentáveis, indicando os custos adicionais.</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Dica</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Deve ponderar quais são os aspetos de sustentabilidade mais importantes para a sua organização na fase preliminar. O documento acima referido ajudará a estimar os custos adicionais de determinados requisitos e o impacto no número de fornecedores e na justificação económica.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1897"/>
        <w:gridCol w:w="4583"/>
        <w:gridCol w:w="2582"/>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Questão</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Explicação</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No modelo dos requisitos?</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Pegada de carbono dos painéis fotovoltaicos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Difere por um fator de 4 entre os 20 principais fabricantes mundiais de painéis fotovoltaicos: cerca de 300-1 200 kg de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w:t>
            </w:r>
            <w:r>
              <w:rPr>
                <w:rFonts w:ascii="Arial" w:hAnsi="Arial"/>
              </w:rPr>
              <w:t xml:space="preserve"> </w:t>
            </w:r>
            <w:r>
              <w:rPr>
                <w:rFonts w:ascii="Arial" w:hAnsi="Arial"/>
              </w:rPr>
              <w:br/>
            </w:r>
            <w:r>
              <w:rPr>
                <w:rFonts w:ascii="Arial" w:hAnsi="Arial"/>
                <w:sz w:val="20"/>
              </w:rPr>
              <w:t xml:space="preserve">Nos Países Baixos, para as instalações feitas em 2024, o tempo de retorno ambiental dos painéis solares convencionais é de oito a 20 anos (dependendo dos pressupostos). </w:t>
            </w:r>
            <w:r>
              <w:rPr>
                <w:rFonts w:ascii="Arial" w:hAnsi="Arial"/>
              </w:rPr>
              <w:t xml:space="preserve"> </w:t>
            </w:r>
            <w:r>
              <w:rPr>
                <w:rFonts w:ascii="Arial" w:hAnsi="Arial"/>
              </w:rPr>
              <w:br/>
            </w:r>
            <w:r>
              <w:rPr>
                <w:rFonts w:ascii="Arial" w:hAnsi="Arial"/>
                <w:sz w:val="20"/>
              </w:rPr>
              <w:t xml:space="preserve">Para os painéis </w:t>
            </w:r>
            <w:proofErr w:type="spellStart"/>
            <w:r>
              <w:rPr>
                <w:rFonts w:ascii="Arial" w:hAnsi="Arial"/>
                <w:sz w:val="20"/>
              </w:rPr>
              <w:t>hipocarbónicos</w:t>
            </w:r>
            <w:proofErr w:type="spellEnd"/>
            <w:r>
              <w:rPr>
                <w:rFonts w:ascii="Arial" w:hAnsi="Arial"/>
                <w:sz w:val="20"/>
              </w:rPr>
              <w:t xml:space="preserve">, é de dois a quatro anos.  </w:t>
            </w:r>
            <w:r>
              <w:rPr>
                <w:rFonts w:ascii="Arial" w:hAnsi="Arial"/>
              </w:rPr>
              <w:t xml:space="preserve"> </w:t>
            </w:r>
            <w:r>
              <w:rPr>
                <w:rFonts w:ascii="Arial" w:hAnsi="Arial"/>
              </w:rPr>
              <w:br/>
            </w:r>
            <w:r>
              <w:rPr>
                <w:rFonts w:ascii="Arial" w:hAnsi="Arial"/>
                <w:sz w:val="20"/>
              </w:rPr>
              <w:t>Os painéis com baixa pegada de carbono são 5-20 % mais caros.</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Requisito padrão:</w:t>
            </w:r>
            <w:r>
              <w:rPr>
                <w:rFonts w:ascii="Arial" w:hAnsi="Arial"/>
                <w:sz w:val="20"/>
              </w:rPr>
              <w:t xml:space="preserve"> 550 kg de CO</w:t>
            </w:r>
            <w:r>
              <w:rPr>
                <w:rFonts w:ascii="Arial" w:hAnsi="Arial"/>
                <w:sz w:val="20"/>
                <w:vertAlign w:val="subscript"/>
              </w:rPr>
              <w:t xml:space="preserve">2 </w:t>
            </w:r>
            <w:r>
              <w:rPr>
                <w:rFonts w:ascii="Arial" w:hAnsi="Arial"/>
                <w:sz w:val="20"/>
              </w:rPr>
              <w:t xml:space="preserve">por </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de acordo com a «Avaliação simplificada do carbono». </w:t>
            </w:r>
            <w:r>
              <w:rPr>
                <w:rFonts w:ascii="Arial" w:hAnsi="Arial"/>
              </w:rPr>
              <w:t xml:space="preserve"> </w:t>
            </w:r>
            <w:r>
              <w:rPr>
                <w:rFonts w:ascii="Arial" w:hAnsi="Arial"/>
              </w:rPr>
              <w:br/>
              <w:t xml:space="preserve"> </w:t>
            </w:r>
            <w:r>
              <w:rPr>
                <w:rFonts w:ascii="Arial" w:hAnsi="Arial"/>
              </w:rPr>
              <w:br/>
            </w:r>
            <w:r>
              <w:rPr>
                <w:rFonts w:ascii="Arial" w:hAnsi="Arial"/>
                <w:i/>
                <w:sz w:val="20"/>
              </w:rPr>
              <w:t xml:space="preserve">Pontos de bónus: </w:t>
            </w:r>
            <w:r>
              <w:rPr>
                <w:rFonts w:ascii="Arial" w:hAnsi="Arial"/>
                <w:sz w:val="20"/>
              </w:rPr>
              <w:t>por uma menor pegada de carbono.</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Materiais nocivos evitáveis</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A parte traseira de muitos painéis solares convencionais está inteiramente coberta por uma camada de PFAS, o que representa um risco de poluição do solo. Além disso, a solda </w:t>
            </w:r>
            <w:r>
              <w:rPr>
                <w:rFonts w:ascii="Arial" w:hAnsi="Arial"/>
                <w:sz w:val="20"/>
              </w:rPr>
              <w:lastRenderedPageBreak/>
              <w:t xml:space="preserve">contém frequentemente chumbo e existe antimónio no vidro.  </w:t>
            </w:r>
            <w:r>
              <w:rPr>
                <w:rFonts w:ascii="Arial" w:hAnsi="Arial"/>
              </w:rPr>
              <w:t xml:space="preserve"> </w:t>
            </w:r>
            <w:r>
              <w:rPr>
                <w:rFonts w:ascii="Arial" w:hAnsi="Arial"/>
              </w:rPr>
              <w:br/>
            </w:r>
            <w:r>
              <w:rPr>
                <w:rFonts w:ascii="Arial" w:hAnsi="Arial"/>
                <w:sz w:val="20"/>
              </w:rPr>
              <w:t xml:space="preserve">Os painéis solares sem PFAS estão amplamente disponíveis. Existe também um pequeno número de painéis solares que não contêm chumbo nem antimónio.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lastRenderedPageBreak/>
              <w:t xml:space="preserve">Requisito padrão: </w:t>
            </w:r>
            <w:r>
              <w:rPr>
                <w:rFonts w:ascii="Arial" w:hAnsi="Arial"/>
                <w:sz w:val="20"/>
              </w:rPr>
              <w:t>Sem PFAS.</w:t>
            </w:r>
            <w:r>
              <w:rPr>
                <w:rFonts w:ascii="Arial" w:hAnsi="Arial"/>
              </w:rPr>
              <w:t xml:space="preserve"> </w:t>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lastRenderedPageBreak/>
              <w:t xml:space="preserve">Pontos de bónus: </w:t>
            </w:r>
            <w:r>
              <w:rPr>
                <w:rFonts w:ascii="Arial" w:hAnsi="Arial"/>
              </w:rPr>
              <w:t xml:space="preserve"> </w:t>
            </w:r>
            <w:r>
              <w:rPr>
                <w:rFonts w:ascii="Arial" w:hAnsi="Arial"/>
              </w:rPr>
              <w:br/>
              <w:t>Solda sem chumbo, vidro sem antimónio.</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lastRenderedPageBreak/>
              <w:t xml:space="preserve">Vida útil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A vida técnica de muitos painéis solares, incluindo os dos fabricantes de «nível 1», é provavelmente de 10 a 15 anos. </w:t>
            </w:r>
            <w:r>
              <w:rPr>
                <w:rFonts w:ascii="Arial" w:hAnsi="Arial"/>
              </w:rPr>
              <w:t xml:space="preserve"> </w:t>
            </w:r>
            <w:r>
              <w:rPr>
                <w:rFonts w:ascii="Arial" w:hAnsi="Arial"/>
              </w:rPr>
              <w:br/>
            </w:r>
            <w:r>
              <w:rPr>
                <w:rFonts w:ascii="Arial" w:hAnsi="Arial"/>
                <w:sz w:val="20"/>
              </w:rPr>
              <w:t xml:space="preserve">No entanto, uma vida útil de, pelo menos, 30 anos é também uma boa possibilidade quando se utilizam materiais de alta qualidade e uma conceção sólida. </w:t>
            </w:r>
            <w:r>
              <w:rPr>
                <w:rFonts w:ascii="Arial" w:hAnsi="Arial"/>
              </w:rPr>
              <w:t xml:space="preserve"> </w:t>
            </w:r>
            <w:r>
              <w:rPr>
                <w:rFonts w:ascii="Arial" w:hAnsi="Arial"/>
              </w:rPr>
              <w:br/>
            </w:r>
            <w:r>
              <w:rPr>
                <w:rFonts w:ascii="Arial" w:hAnsi="Arial"/>
                <w:sz w:val="20"/>
              </w:rPr>
              <w:t xml:space="preserve">Estes painéis solares são 10 a 15 % mais caros.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Pontos de bónus: </w:t>
            </w:r>
            <w:r>
              <w:rPr>
                <w:rFonts w:ascii="Arial" w:hAnsi="Arial"/>
              </w:rPr>
              <w:t>Garantia do produto de 30 anos, comprovada por testes.</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Condições de trabalho na cadeia de abastecimento</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Foi documentado, em </w:t>
            </w:r>
            <w:proofErr w:type="spellStart"/>
            <w:r>
              <w:rPr>
                <w:rFonts w:ascii="Arial" w:hAnsi="Arial"/>
                <w:sz w:val="20"/>
              </w:rPr>
              <w:t>Xinjiang</w:t>
            </w:r>
            <w:proofErr w:type="spellEnd"/>
            <w:r>
              <w:rPr>
                <w:rFonts w:ascii="Arial" w:hAnsi="Arial"/>
                <w:sz w:val="20"/>
              </w:rPr>
              <w:t xml:space="preserve">, trabalho forçado no fabrico de células solares. Há várias iniciativas destinadas a identificar se um fabricante ou os seus fornecedores recorrem ao trabalho forçado [acordo do SER (Conselho Económico e Social dos Países Baixos) sobre conduta empresarial internacional responsável em matéria de direitos humanos; «Solar </w:t>
            </w:r>
            <w:proofErr w:type="spellStart"/>
            <w:r>
              <w:rPr>
                <w:rFonts w:ascii="Arial" w:hAnsi="Arial"/>
                <w:sz w:val="20"/>
              </w:rPr>
              <w:t>Stewardship</w:t>
            </w:r>
            <w:proofErr w:type="spellEnd"/>
            <w:r>
              <w:rPr>
                <w:rFonts w:ascii="Arial" w:hAnsi="Arial"/>
                <w:sz w:val="20"/>
              </w:rPr>
              <w:t xml:space="preserve"> </w:t>
            </w:r>
            <w:proofErr w:type="spellStart"/>
            <w:r>
              <w:rPr>
                <w:rFonts w:ascii="Arial" w:hAnsi="Arial"/>
                <w:sz w:val="20"/>
              </w:rPr>
              <w:t>Initiative</w:t>
            </w:r>
            <w:proofErr w:type="spellEnd"/>
            <w:r>
              <w:rPr>
                <w:rFonts w:ascii="Arial" w:hAnsi="Arial"/>
                <w:sz w:val="20"/>
              </w:rPr>
              <w:t xml:space="preserve">» da </w:t>
            </w:r>
            <w:proofErr w:type="spellStart"/>
            <w:r>
              <w:rPr>
                <w:rFonts w:ascii="Arial" w:hAnsi="Arial"/>
                <w:sz w:val="20"/>
              </w:rPr>
              <w:t>SolarPower</w:t>
            </w:r>
            <w:proofErr w:type="spellEnd"/>
            <w:r>
              <w:rPr>
                <w:rFonts w:ascii="Arial" w:hAnsi="Arial"/>
                <w:sz w:val="20"/>
              </w:rPr>
              <w:t xml:space="preserve"> </w:t>
            </w:r>
            <w:proofErr w:type="spellStart"/>
            <w:r>
              <w:rPr>
                <w:rFonts w:ascii="Arial" w:hAnsi="Arial"/>
                <w:sz w:val="20"/>
              </w:rPr>
              <w:t>Europe</w:t>
            </w:r>
            <w:proofErr w:type="spellEnd"/>
            <w:r>
              <w:rPr>
                <w:rFonts w:ascii="Arial" w:hAnsi="Arial"/>
                <w:sz w:val="20"/>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Ainda estão a ser desenvolvidos requisitos e critérios objetivos.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Durante a instalação dos painéis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A instalação de painéis solares nos Países Baixos implica, por vezes, a exploração de trabalhadores migrantes.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Requisito</w:t>
            </w:r>
            <w:r>
              <w:rPr>
                <w:rFonts w:ascii="Arial" w:hAnsi="Arial"/>
                <w:sz w:val="20"/>
              </w:rPr>
              <w:t>: código de conduta do fornecedor.</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Circularidade</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São desenvolvidas várias ideias e conceitos como «conceção para reciclagem», incluindo o compromisso de utilizar uma determinada percentagem de materiais reciclados.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Ainda estão a ser desenvolvidos requisitos e critérios objetivos.</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Fim de vida</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Substituição por outros painéis apenas em caso de defeito. A contribuição (obrigatória) para a eliminação tem de ser paga à Fundação OPEN [Organização Neerlandesa para a Responsabilidade do Produtor pelos Resíduos Eletrónicos].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Requisito: </w:t>
            </w:r>
            <w:r>
              <w:rPr>
                <w:rFonts w:ascii="Arial" w:hAnsi="Arial"/>
                <w:sz w:val="20"/>
              </w:rPr>
              <w:t>pagamento da contribuição para a eliminação.</w:t>
            </w:r>
          </w:p>
        </w:tc>
      </w:tr>
    </w:tbl>
    <w:p w14:paraId="3D4E6FCF" w14:textId="77777777" w:rsidR="00FA5774" w:rsidRPr="004C0EBD" w:rsidRDefault="00FA5774" w:rsidP="00A3595E"/>
    <w:p w14:paraId="1DD59982" w14:textId="77777777" w:rsidR="006A5081" w:rsidRDefault="006A5081" w:rsidP="009548F1">
      <w:pPr>
        <w:pStyle w:val="MH3"/>
      </w:pPr>
    </w:p>
    <w:p w14:paraId="16BF8B85" w14:textId="703AE0F9" w:rsidR="00F541A6" w:rsidRPr="004C0EBD" w:rsidRDefault="00FA5774" w:rsidP="009548F1">
      <w:pPr>
        <w:pStyle w:val="MH3"/>
      </w:pPr>
      <w:bookmarkStart w:id="65" w:name="_Toc180577269"/>
      <w:r>
        <w:lastRenderedPageBreak/>
        <w:t xml:space="preserve">6.2 Aspetos ambientais dos Sistemas Solares Terrestres e </w:t>
      </w:r>
      <w:r>
        <w:br/>
        <w:t>dos Sistemas Solares Flutuantes</w:t>
      </w:r>
      <w:bookmarkEnd w:id="65"/>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Sistemas Solares Terrestres</w:t>
      </w:r>
    </w:p>
    <w:p w14:paraId="19275623" w14:textId="77777777" w:rsidR="001F15A3" w:rsidRDefault="004E647C" w:rsidP="003869FC">
      <w:pPr>
        <w:jc w:val="both"/>
        <w:rPr>
          <w:rFonts w:ascii="Arial" w:hAnsi="Arial" w:cs="Arial"/>
        </w:rPr>
      </w:pPr>
      <w:r>
        <w:rPr>
          <w:rFonts w:ascii="Arial" w:hAnsi="Arial"/>
        </w:rPr>
        <w:t>Os painéis solares em instalações fotovoltaicas situadas em terrenos com orientação este-oeste são, por vezes, instalados tão próximos uns dos outros que mal permitem a passagem de luz e água até ao solo. Esta disposição faz desaparecer a vida dos solos sob os painéis. Deixar um pouco mais de espaço para permitir a entrada de luz e de chuva faz uma enorme diferença. Para mais pormenores, consultar:</w:t>
      </w:r>
    </w:p>
    <w:p w14:paraId="048EB9A9" w14:textId="0A6CE6E4" w:rsidR="00B04952" w:rsidRPr="001F15A3" w:rsidRDefault="00A77B5C" w:rsidP="003869FC">
      <w:pPr>
        <w:jc w:val="both"/>
        <w:rPr>
          <w:rFonts w:ascii="Arial" w:hAnsi="Arial" w:cs="Arial"/>
          <w:color w:val="3DC3C6"/>
        </w:rPr>
      </w:pPr>
      <w:hyperlink r:id="rId18" w:history="1">
        <w:r w:rsidR="0039686D">
          <w:rPr>
            <w:rStyle w:val="Hyperlink"/>
            <w:rFonts w:ascii="Arial" w:hAnsi="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A TNO desenvolveu um teste do solo que analisa a possibilidade de existência de vida suficiente no solo em função da localização, da orientação e da distância entre as filas de painéis solares. Os painéis de vidro duplo também ajudam em certa medida, se a luz solar puder passar através dos bordos dos painéis até ao solo. O modelo estipula agora também que, para projetos de menor envergadura, o rácio de cobertura do solo deve ser inferior a 70 % e que deve haver intervalos de, pelo menos, 2 cm entre os painéis (para a passagem das águas pluviais). Os projetos de maior envergadura devem cumprir o teste de solo da TNO.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A biodiversidade pode ser promovida através da utilização de determinadas ervas, plantas ou gramíneas, através de uma política de corte ou da instalação de um hotel de insetos.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Nota: o consórcio dos Sistemas Solares Terrestres está a trabalhar num rótulo ecológico para os parques solares (</w:t>
      </w:r>
      <w:proofErr w:type="spellStart"/>
      <w:r>
        <w:rPr>
          <w:rFonts w:ascii="Arial" w:hAnsi="Arial"/>
        </w:rPr>
        <w:t>EcoCertified</w:t>
      </w:r>
      <w:proofErr w:type="spellEnd"/>
      <w:r>
        <w:rPr>
          <w:rFonts w:ascii="Arial" w:hAnsi="Arial"/>
        </w:rPr>
        <w:t xml:space="preserve">) e definirá em breve uma série de orientações.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r>
        <w:rPr>
          <w:rFonts w:ascii="Arial" w:hAnsi="Arial"/>
          <w:b/>
          <w:color w:val="3DC3C6"/>
          <w:sz w:val="24"/>
        </w:rPr>
        <w:t xml:space="preserve">Sistemas </w:t>
      </w:r>
      <w:proofErr w:type="spellStart"/>
      <w:r>
        <w:rPr>
          <w:rFonts w:ascii="Arial" w:hAnsi="Arial"/>
          <w:b/>
          <w:color w:val="3DC3C6"/>
          <w:sz w:val="24"/>
        </w:rPr>
        <w:t>agrovoltaicos</w:t>
      </w:r>
      <w:proofErr w:type="spellEnd"/>
      <w:r>
        <w:rPr>
          <w:rFonts w:ascii="Arial" w:hAnsi="Arial"/>
          <w:b/>
          <w:color w:val="3DC3C6"/>
          <w:sz w:val="24"/>
        </w:rPr>
        <w:t xml:space="preserve"> (ou </w:t>
      </w:r>
      <w:proofErr w:type="spellStart"/>
      <w:r>
        <w:rPr>
          <w:rFonts w:ascii="Arial" w:hAnsi="Arial"/>
          <w:b/>
          <w:color w:val="3DC3C6"/>
          <w:sz w:val="24"/>
        </w:rPr>
        <w:t>agrofotovoltaicos</w:t>
      </w:r>
      <w:proofErr w:type="spellEnd"/>
      <w:r>
        <w:rPr>
          <w:rFonts w:ascii="Arial" w:hAnsi="Arial"/>
          <w:b/>
          <w:color w:val="3DC3C6"/>
          <w:sz w:val="24"/>
        </w:rPr>
        <w:t>)</w:t>
      </w:r>
    </w:p>
    <w:p w14:paraId="2A5586AB" w14:textId="18B85BD4" w:rsidR="00B04952" w:rsidRPr="001F15A3" w:rsidRDefault="00B04952" w:rsidP="00B04952">
      <w:pPr>
        <w:jc w:val="both"/>
        <w:rPr>
          <w:rFonts w:ascii="Arial" w:hAnsi="Arial" w:cs="Arial"/>
        </w:rPr>
      </w:pPr>
      <w:r>
        <w:rPr>
          <w:rFonts w:ascii="Arial" w:hAnsi="Arial"/>
        </w:rPr>
        <w:t xml:space="preserve">Está também a ser desenvolvida experiência na combinação da agricultura com a produção fotovoltaica («sistemas </w:t>
      </w:r>
      <w:proofErr w:type="spellStart"/>
      <w:r>
        <w:rPr>
          <w:rFonts w:ascii="Arial" w:hAnsi="Arial"/>
        </w:rPr>
        <w:t>agrovoltaicos</w:t>
      </w:r>
      <w:proofErr w:type="spellEnd"/>
      <w:r>
        <w:rPr>
          <w:rFonts w:ascii="Arial" w:hAnsi="Arial"/>
        </w:rPr>
        <w:t xml:space="preserve">»). São utilizadas várias soluções: desde filas de painéis solares de orientação vertical até copas de painéis solares acima das árvores de fruto. Os sistemas </w:t>
      </w:r>
      <w:proofErr w:type="spellStart"/>
      <w:r>
        <w:rPr>
          <w:rFonts w:ascii="Arial" w:hAnsi="Arial"/>
        </w:rPr>
        <w:t>agrovoltaicos</w:t>
      </w:r>
      <w:proofErr w:type="spellEnd"/>
      <w:r>
        <w:rPr>
          <w:rFonts w:ascii="Arial" w:hAnsi="Arial"/>
        </w:rPr>
        <w:t xml:space="preserve"> estão ainda numa fase relativamente precoce do seu desenvolvimento.</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Sistemas Solares Flutuantes</w:t>
      </w:r>
    </w:p>
    <w:p w14:paraId="5C81225C" w14:textId="6168F99E" w:rsidR="009722F8" w:rsidRPr="001F15A3" w:rsidRDefault="00B04952" w:rsidP="00CD5D92">
      <w:pPr>
        <w:jc w:val="both"/>
        <w:rPr>
          <w:rFonts w:ascii="Arial" w:hAnsi="Arial" w:cs="Arial"/>
        </w:rPr>
      </w:pPr>
      <w:r>
        <w:rPr>
          <w:rFonts w:ascii="Arial" w:hAnsi="Arial"/>
        </w:rPr>
        <w:t xml:space="preserve">No âmbito do consórcio dos Sistemas Solares Flutuantes, organizações como a </w:t>
      </w:r>
      <w:proofErr w:type="spellStart"/>
      <w:r>
        <w:rPr>
          <w:rFonts w:ascii="Arial" w:hAnsi="Arial"/>
        </w:rPr>
        <w:t>Deltares</w:t>
      </w:r>
      <w:proofErr w:type="spellEnd"/>
      <w:r>
        <w:rPr>
          <w:rFonts w:ascii="Arial" w:hAnsi="Arial"/>
        </w:rPr>
        <w:t xml:space="preserve"> e a Associação das Autoridades Regionais para os Recursos Hídricos (</w:t>
      </w:r>
      <w:proofErr w:type="spellStart"/>
      <w:r>
        <w:rPr>
          <w:rFonts w:ascii="Arial" w:hAnsi="Arial"/>
          <w:i/>
        </w:rPr>
        <w:t>Unie</w:t>
      </w:r>
      <w:proofErr w:type="spellEnd"/>
      <w:r>
        <w:rPr>
          <w:rFonts w:ascii="Arial" w:hAnsi="Arial"/>
          <w:i/>
        </w:rPr>
        <w:t xml:space="preserve"> van </w:t>
      </w:r>
      <w:proofErr w:type="spellStart"/>
      <w:r>
        <w:rPr>
          <w:rFonts w:ascii="Arial" w:hAnsi="Arial"/>
          <w:i/>
        </w:rPr>
        <w:t>Waterschaison</w:t>
      </w:r>
      <w:proofErr w:type="spellEnd"/>
      <w:r>
        <w:rPr>
          <w:rFonts w:ascii="Arial" w:hAnsi="Arial"/>
        </w:rPr>
        <w:t xml:space="preserve">) estão também a examinar os aspetos ambientais das instalações fotovoltaicas flutuantes. Estes estudos encontram-se ainda numa fase inicial e não é claro se é ou não necessário definir requisitos em termos ambientais. Para mais pormenores, consultar:  </w:t>
      </w:r>
      <w:hyperlink r:id="rId19" w:history="1">
        <w:r>
          <w:rPr>
            <w:rStyle w:val="Hyperlink"/>
            <w:rFonts w:ascii="Arial" w:hAnsi="Arial"/>
            <w:color w:val="3DC3C6"/>
          </w:rPr>
          <w:t>www.zonopwater.nl</w:t>
        </w:r>
      </w:hyperlink>
    </w:p>
    <w:p w14:paraId="247C88DC" w14:textId="77777777" w:rsidR="00B04952" w:rsidRPr="004C0EBD" w:rsidRDefault="00B04952" w:rsidP="00A3595E"/>
    <w:p w14:paraId="735367AE" w14:textId="027EC848" w:rsidR="00F541A6" w:rsidRPr="004C0EBD" w:rsidRDefault="004D365E" w:rsidP="009548F1">
      <w:pPr>
        <w:pStyle w:val="MH2"/>
      </w:pPr>
      <w:bookmarkStart w:id="66" w:name="_Toc180577270"/>
      <w:r>
        <w:t>Etapa 7. Execução e entrega</w:t>
      </w:r>
      <w:bookmarkEnd w:id="66"/>
      <w:r>
        <w:t xml:space="preserve"> </w:t>
      </w:r>
    </w:p>
    <w:p w14:paraId="387172F1" w14:textId="77777777" w:rsidR="00F541A6" w:rsidRPr="004C0EBD" w:rsidRDefault="00F541A6" w:rsidP="00A3595E"/>
    <w:p w14:paraId="63EF63FE" w14:textId="5DEB918C" w:rsidR="00F7042B" w:rsidRPr="004C0EBD" w:rsidRDefault="00F7042B" w:rsidP="009548F1">
      <w:pPr>
        <w:pStyle w:val="MH3"/>
        <w:rPr>
          <w:rFonts w:asciiTheme="minorHAnsi" w:hAnsiTheme="minorHAnsi"/>
        </w:rPr>
      </w:pPr>
      <w:bookmarkStart w:id="67" w:name="_Toc180577271"/>
      <w:r>
        <w:t>7.1 Prazos</w:t>
      </w:r>
      <w:bookmarkEnd w:id="67"/>
      <w:r>
        <w:t xml:space="preserve"> </w:t>
      </w:r>
    </w:p>
    <w:p w14:paraId="0FEAFB5E" w14:textId="0E30AF90" w:rsidR="00E63743" w:rsidRPr="001F15A3" w:rsidRDefault="002C7DD6" w:rsidP="00B7557D">
      <w:pPr>
        <w:jc w:val="both"/>
        <w:rPr>
          <w:rFonts w:ascii="Arial" w:hAnsi="Arial" w:cs="Arial"/>
        </w:rPr>
      </w:pPr>
      <w:r>
        <w:rPr>
          <w:rFonts w:ascii="Arial" w:hAnsi="Arial"/>
        </w:rPr>
        <w:lastRenderedPageBreak/>
        <w:t xml:space="preserve">Decida, com a sua organização, quando podem começar os trabalhos para o projeto fotovoltaico. Existem quaisquer outros trabalhos que têm de ser tidos em consideração?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Além disso, defina com um consultor uma data de entrega realista. Esta deve ter em conta o tempo necessário para o concurso e a adjudicação do contrato, bem como para a construção da instalação.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9548F1">
      <w:pPr>
        <w:pStyle w:val="MH3"/>
      </w:pPr>
      <w:bookmarkStart w:id="68" w:name="_Toc180577272"/>
      <w:r>
        <w:t>7.2 Inspeções e inspeção final</w:t>
      </w:r>
      <w:bookmarkEnd w:id="68"/>
      <w:r>
        <w:t xml:space="preserve"> </w:t>
      </w:r>
    </w:p>
    <w:p w14:paraId="19C5700F" w14:textId="77777777" w:rsidR="00260AB9" w:rsidRPr="001F15A3" w:rsidRDefault="00260AB9" w:rsidP="009548F1">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Inspeção SCIOS Scope 12</w:t>
      </w:r>
    </w:p>
    <w:p w14:paraId="4B361ACB" w14:textId="470085FD" w:rsidR="007518EB" w:rsidRPr="001F15A3" w:rsidRDefault="007518EB" w:rsidP="00C42EE6">
      <w:pPr>
        <w:jc w:val="both"/>
        <w:rPr>
          <w:rFonts w:ascii="Arial" w:hAnsi="Arial" w:cs="Arial"/>
        </w:rPr>
      </w:pPr>
      <w:r>
        <w:rPr>
          <w:rFonts w:ascii="Arial" w:hAnsi="Arial"/>
        </w:rPr>
        <w:t>Após a entrega de todos os projetos, sejam eles grandes ou pequenos, em telhados, terrestres ou flutuantes, é importante que uma entidade independente realize uma inspeção de segurança em conformidade com o protocolo SCIOS Scope 12 (norma IEC62446).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Esta inspeção «Scope 12» verifica a segurança da instalação e comunica eventuais lacunas relacionadas, nomeadamente, com a segurança elétrica, a segurança mecânica contra o vento e a neve e a proteção contra raios. Está indicado como requisito no modelo que a parte contratante corrigirá posteriormente quaisquer lacunas identificadas («não conformidades»).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Recomendamos que peça atempadamente propostas de inspeção SCIOS Scope 12. Poderá ser difícil encontrar um inspetor próximo da data de entrega e as tarifas podem ser mais elevadas.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Dica</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Deve ser sempre o cliente a solicitar a inspeção SCIOS Scope 12. O </w:t>
      </w:r>
      <w:r>
        <w:rPr>
          <w:rFonts w:ascii="Arial" w:hAnsi="Arial"/>
          <w:b/>
          <w:color w:val="104D54"/>
          <w:u w:val="single"/>
        </w:rPr>
        <w:t>anexo 6</w:t>
      </w:r>
      <w:r>
        <w:rPr>
          <w:rFonts w:ascii="Arial" w:hAnsi="Arial"/>
          <w:color w:val="104D54"/>
        </w:rPr>
        <w:t xml:space="preserve"> contém uma lista das organizações que podem realizar uma inspeção SCIOS Scope 12. </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Projetos de grande envergadura:</w:t>
      </w:r>
      <w:r>
        <w:rPr>
          <w:rStyle w:val="SubtleEmphasis"/>
          <w:rFonts w:ascii="Arial" w:hAnsi="Arial"/>
          <w:i/>
          <w:color w:val="3DC3C6"/>
          <w:sz w:val="24"/>
        </w:rPr>
        <w:t xml:space="preserve"> </w:t>
      </w:r>
      <w:r>
        <w:rPr>
          <w:rStyle w:val="SubtleEmphasis"/>
          <w:rFonts w:ascii="Arial" w:hAnsi="Arial"/>
          <w:color w:val="3DC3C6"/>
          <w:sz w:val="24"/>
        </w:rPr>
        <w:t>testes por amostragem aos painéis solares e auditorias a fábricas</w:t>
      </w:r>
    </w:p>
    <w:p w14:paraId="7F0CC378" w14:textId="2F41FA56" w:rsidR="00E63743" w:rsidRPr="001F15A3" w:rsidRDefault="00E63743" w:rsidP="00C42EE6">
      <w:pPr>
        <w:jc w:val="both"/>
        <w:rPr>
          <w:rFonts w:ascii="Arial" w:hAnsi="Arial" w:cs="Arial"/>
        </w:rPr>
      </w:pPr>
      <w:r>
        <w:rPr>
          <w:rFonts w:ascii="Arial" w:hAnsi="Arial"/>
        </w:rPr>
        <w:t xml:space="preserve">Os projetos de grande envergadura (superiores a 1 MW) também são, por vezes, sujeitos a testes por amostragem e </w:t>
      </w:r>
      <w:r>
        <w:rPr>
          <w:rFonts w:ascii="Arial" w:hAnsi="Arial"/>
        </w:rPr>
        <w:br/>
        <w:t xml:space="preserve">auditorias às fábricas. </w:t>
      </w:r>
    </w:p>
    <w:p w14:paraId="718FF494" w14:textId="4F812901" w:rsidR="00CD76B5" w:rsidRPr="001F15A3" w:rsidRDefault="00CD76B5" w:rsidP="00C42EE6">
      <w:pPr>
        <w:jc w:val="both"/>
        <w:rPr>
          <w:rFonts w:ascii="Arial" w:hAnsi="Arial" w:cs="Arial"/>
        </w:rPr>
      </w:pPr>
      <w:r>
        <w:rPr>
          <w:rFonts w:ascii="Arial" w:hAnsi="Arial"/>
        </w:rPr>
        <w:t xml:space="preserve">Deve ponderar a sua inclusão no concurso, ficando a parte contratante responsável pela sua organização, ou pode mantê-los fora do concurso e organizá-los por si próprio.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 xml:space="preserve">Testes por </w:t>
      </w:r>
      <w:proofErr w:type="gramStart"/>
      <w:r>
        <w:rPr>
          <w:rFonts w:ascii="Arial" w:hAnsi="Arial"/>
          <w:i/>
        </w:rPr>
        <w:t>amostragem</w:t>
      </w:r>
      <w:r>
        <w:rPr>
          <w:rFonts w:ascii="Arial" w:hAnsi="Arial"/>
        </w:rPr>
        <w:t xml:space="preserve"> Os</w:t>
      </w:r>
      <w:proofErr w:type="gramEnd"/>
      <w:r>
        <w:rPr>
          <w:rFonts w:ascii="Arial" w:hAnsi="Arial"/>
        </w:rPr>
        <w:t xml:space="preserve"> painéis solares são, ocasionalmente, alimentados com uma potência inferior à indicada na documentação que os acompanha. Por vezes, há danos visíveis ou invisíveis ocorridos na fábrica ou durante o transporte. Estes podem acabar por custar muito dinheiro em projetos de grande envergadura.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Em grandes projetos, é testado um número muito pequeno de painéis solares após a chegada aos Países Baixos e antes de serem libertados para instalação. Estes testes por amostragem verificam a qualidade dos painéis solares entregues.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lastRenderedPageBreak/>
        <w:t>Os testes examinam aspetos como:</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 xml:space="preserve">se a potência de pico declarada em watts corresponde ao valor declarado – utilizando um </w:t>
      </w:r>
      <w:r>
        <w:rPr>
          <w:rFonts w:ascii="Arial" w:hAnsi="Arial"/>
          <w:i/>
          <w:iCs/>
        </w:rPr>
        <w:t xml:space="preserve">flash </w:t>
      </w:r>
      <w:proofErr w:type="spellStart"/>
      <w:r>
        <w:rPr>
          <w:rFonts w:ascii="Arial" w:hAnsi="Arial"/>
          <w:i/>
          <w:iCs/>
        </w:rPr>
        <w:t>test</w:t>
      </w:r>
      <w:proofErr w:type="spellEnd"/>
      <w:r>
        <w:rPr>
          <w:rFonts w:ascii="Arial" w:hAnsi="Arial"/>
        </w:rPr>
        <w:t>;</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se existem demasiadas microfissuras, aumentando a probabilidade de degradação rápida – através de ensaios de eletroluminescência;</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inspeção visual do módulo – verificação da montagem e do acabamento;</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realização de uma inspeção dos materiais utilizados no módulo – verificação da especificação. </w:t>
      </w:r>
    </w:p>
    <w:p w14:paraId="2886CBF0" w14:textId="328B15DC" w:rsidR="007518EB" w:rsidRPr="001F15A3" w:rsidRDefault="007518EB" w:rsidP="00B7557D">
      <w:pPr>
        <w:jc w:val="both"/>
        <w:rPr>
          <w:rFonts w:ascii="Arial" w:hAnsi="Arial" w:cs="Arial"/>
        </w:rPr>
      </w:pPr>
      <w:r>
        <w:rPr>
          <w:rFonts w:ascii="Arial" w:hAnsi="Arial"/>
        </w:rPr>
        <w:t>Muitas vezes, é realizada também uma auditoria às fábricas em projetos de muito grande dimensão (superiores a 20 </w:t>
      </w:r>
      <w:proofErr w:type="spellStart"/>
      <w:r>
        <w:rPr>
          <w:rFonts w:ascii="Arial" w:hAnsi="Arial"/>
        </w:rPr>
        <w:t>MWp</w:t>
      </w:r>
      <w:proofErr w:type="spellEnd"/>
      <w:r>
        <w:rPr>
          <w:rFonts w:ascii="Arial" w:hAnsi="Arial"/>
        </w:rPr>
        <w:t xml:space="preserve">). Esta implica uma verificação independente da qualidade do lote de painéis solares encomendados </w:t>
      </w:r>
      <w:r>
        <w:rPr>
          <w:rFonts w:ascii="Arial" w:hAnsi="Arial"/>
          <w:i/>
        </w:rPr>
        <w:t>durante o processo de produção na fábrica</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Os testes por amostragem e as auditorias às fábricas (frequentemente na China) são dispendiosos. Para um projeto de 10 MW, podem significar 4 000 a 6 000 EUR para os testes por amostragem e 5 000 a 8 000 EUR para a auditoria às fábricas.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rPr>
        <w:t xml:space="preserve">O </w:t>
      </w:r>
      <w:r>
        <w:rPr>
          <w:rFonts w:ascii="Arial" w:hAnsi="Arial"/>
          <w:b/>
          <w:color w:val="3DC3C6"/>
          <w:u w:val="single"/>
        </w:rPr>
        <w:t>anexo 7</w:t>
      </w:r>
      <w:r>
        <w:rPr>
          <w:rFonts w:ascii="Arial" w:hAnsi="Arial"/>
          <w:b/>
          <w:color w:val="92D050"/>
        </w:rPr>
        <w:t xml:space="preserve"> </w:t>
      </w:r>
      <w:r>
        <w:rPr>
          <w:rFonts w:ascii="Arial" w:hAnsi="Arial"/>
        </w:rPr>
        <w:t>apresenta uma lista das organizações que podem realizar testes por amostragem ou auditorias a fábricas</w:t>
      </w:r>
      <w:r>
        <w:rPr>
          <w:rStyle w:val="FootnoteReference"/>
          <w:rFonts w:ascii="Arial" w:hAnsi="Arial"/>
        </w:rPr>
        <w:t>2</w:t>
      </w:r>
      <w:r>
        <w:rPr>
          <w:rFonts w:ascii="Arial" w:hAnsi="Arial"/>
        </w:rPr>
        <w:t xml:space="preserve">.  </w:t>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No caso dos projetos de menor envergadura, os custos adicionais geralmente não compensam, tendo em conta o risco.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Além disso, é possível e habitual incluir no contrato ou no concurso uma garantia de rendimento fixo para os primeiros dois a quatro anos.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9548F1">
      <w:pPr>
        <w:pStyle w:val="MH2"/>
        <w:rPr>
          <w:rFonts w:eastAsiaTheme="majorEastAsia"/>
          <w:color w:val="92D050"/>
        </w:rPr>
      </w:pPr>
      <w:bookmarkStart w:id="69" w:name="_Toc180577273"/>
      <w:r>
        <w:t>Etapa 8. Manutenção, monitorização e fim de vida</w:t>
      </w:r>
      <w:bookmarkEnd w:id="69"/>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A fase operacional tem início quando o projeto fotovoltaico é entregue e começa a produzir eletricidade. As escolhas relativas a esta fase são feitas na fase preliminar, de modo que os requisitos em causa sejam ou não incluídos no calendário dos requisitos.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Solicita-se frequentemente ao instalador/EPC que concluiu a instalação fotovoltaica que ofereça 2 a 4 anos de manutenção e monitorização. Esta oferta constitui um incentivo para o contratante fornecer uma instalação de boa qualidade com um elevado rácio de desempenho. </w:t>
      </w:r>
    </w:p>
    <w:p w14:paraId="7D3418EB" w14:textId="77777777" w:rsidR="00961DD0" w:rsidRPr="001F15A3" w:rsidRDefault="00961DD0" w:rsidP="00C42EE6">
      <w:pPr>
        <w:jc w:val="both"/>
        <w:rPr>
          <w:rFonts w:ascii="Arial" w:hAnsi="Arial" w:cs="Arial"/>
        </w:rPr>
      </w:pPr>
      <w:r>
        <w:rPr>
          <w:rFonts w:ascii="Arial" w:hAnsi="Arial"/>
        </w:rPr>
        <w:t xml:space="preserve">A manutenção e a monitorização também podem ser encomendadas separadamente. Por vezes, também são realizados pelo departamento técnico interno. </w:t>
      </w:r>
    </w:p>
    <w:p w14:paraId="2C9CF9CA" w14:textId="6FEE291B" w:rsidR="00961DD0" w:rsidRPr="001F15A3" w:rsidRDefault="001E4615" w:rsidP="00C42EE6">
      <w:pPr>
        <w:jc w:val="both"/>
        <w:rPr>
          <w:rFonts w:ascii="Arial" w:hAnsi="Arial" w:cs="Arial"/>
        </w:rPr>
      </w:pPr>
      <w:r>
        <w:rPr>
          <w:rFonts w:ascii="Arial" w:hAnsi="Arial"/>
        </w:rPr>
        <w:t xml:space="preserve">O </w:t>
      </w:r>
      <w:r>
        <w:rPr>
          <w:rFonts w:ascii="Arial" w:hAnsi="Arial"/>
          <w:b/>
          <w:color w:val="3DC3C6"/>
          <w:u w:val="single"/>
        </w:rPr>
        <w:t>anexo 8</w:t>
      </w:r>
      <w:r>
        <w:rPr>
          <w:rFonts w:ascii="Arial" w:hAnsi="Arial"/>
          <w:b/>
          <w:color w:val="92D050"/>
        </w:rPr>
        <w:t xml:space="preserve"> </w:t>
      </w:r>
      <w:r>
        <w:rPr>
          <w:rFonts w:ascii="Arial" w:hAnsi="Arial"/>
        </w:rPr>
        <w:t>contém uma lista</w:t>
      </w:r>
      <w:r>
        <w:rPr>
          <w:rFonts w:ascii="Arial" w:hAnsi="Arial"/>
          <w:vertAlign w:val="superscript"/>
        </w:rPr>
        <w:t>2</w:t>
      </w:r>
      <w:r>
        <w:rPr>
          <w:rFonts w:ascii="Arial" w:hAnsi="Arial"/>
        </w:rPr>
        <w:t xml:space="preserve"> de organizações envolvidas na manutenção e monitorização.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lastRenderedPageBreak/>
        <w:t>Manutenção e reparações</w:t>
      </w:r>
    </w:p>
    <w:p w14:paraId="7DFCBCD1" w14:textId="77777777" w:rsidR="00C4096C" w:rsidRPr="001F15A3" w:rsidRDefault="00C4096C" w:rsidP="00C4096C">
      <w:pPr>
        <w:rPr>
          <w:rFonts w:ascii="Arial" w:hAnsi="Arial" w:cs="Arial"/>
        </w:rPr>
      </w:pPr>
      <w:r>
        <w:rPr>
          <w:rFonts w:ascii="Arial" w:hAnsi="Arial"/>
        </w:rPr>
        <w:t xml:space="preserve">Incluem, nomeadamente: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Verificar o inversor e limpá-lo, se necessário</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Verificar os cabos e as condutas de cabos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Verificar a construção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Substituir eventuais painéis solares defeituosos, se necessário</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Limpeza</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Os painéis solares raramente são limpos nos Países Baixos – a chuva enxagua-os. Salvo em casos excecionais (por exemplo, bandos de aves nas proximidades), o rendimento adicional não justifica o custo da limpeza.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Monitorização</w:t>
      </w:r>
    </w:p>
    <w:p w14:paraId="2BCA5E34" w14:textId="4B4CC2C5" w:rsidR="00972B11" w:rsidRPr="001F15A3" w:rsidRDefault="00B160CC" w:rsidP="00C42EE6">
      <w:pPr>
        <w:jc w:val="both"/>
        <w:rPr>
          <w:rFonts w:ascii="Arial" w:hAnsi="Arial" w:cs="Arial"/>
        </w:rPr>
      </w:pPr>
      <w:r>
        <w:rPr>
          <w:rFonts w:ascii="Arial" w:hAnsi="Arial"/>
        </w:rPr>
        <w:t xml:space="preserve">A fase operacional implica a deteção e a resolução rápida de eventuais problemas. Os proprietários de imóveis utilizam frequentemente uma aplicação para telemóveis inteligentes para verificar se o inversor ou a instalação fotovoltaica estão a funcionar corretamente. No caso de projetos de menor dimensão, o departamento técnico ou a empresa de instalação habitual poderão fazê-lo. No caso de grandes projetos, pode revelar-se rentável contratar uma empresa especializada para o efeito.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A monitorização inclui, nomeadamente, a leitura à distância:</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do inversor e dos contadores de eletricidade,</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e a comparação do rendimento dos sistemas próximos várias vezes por ano,</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para projetos de maior dimensão, a utilização de um </w:t>
      </w:r>
      <w:proofErr w:type="spellStart"/>
      <w:r>
        <w:rPr>
          <w:rFonts w:ascii="Arial" w:hAnsi="Arial"/>
        </w:rPr>
        <w:t>drone</w:t>
      </w:r>
      <w:proofErr w:type="spellEnd"/>
      <w:r>
        <w:rPr>
          <w:rFonts w:ascii="Arial" w:hAnsi="Arial"/>
        </w:rPr>
        <w:t xml:space="preserve"> com uma câmara infravermelha para inspecionar os painéis solares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Contribuição para a eliminação e substituição dos painéis solares</w:t>
      </w:r>
    </w:p>
    <w:p w14:paraId="1649F90E" w14:textId="2343532A" w:rsidR="00961DD0" w:rsidRPr="001F15A3" w:rsidRDefault="0007474D" w:rsidP="00961DD0">
      <w:pPr>
        <w:jc w:val="both"/>
        <w:rPr>
          <w:rFonts w:ascii="Arial" w:hAnsi="Arial" w:cs="Arial"/>
        </w:rPr>
      </w:pPr>
      <w:r>
        <w:rPr>
          <w:rFonts w:ascii="Arial" w:hAnsi="Arial"/>
        </w:rPr>
        <w:t>O modelo dos requisitos estipula que o cliente paga à Fundação OPEN a contribuição obrigatória para a eliminação dos painéis solares. Além disso, os painéis solares devem permanecer operacionais o máximo de tempo possível, a fim de abrandar as alterações climáticas. Afinal, a produção dos painéis gera uma quantidade significativa de CO</w:t>
      </w:r>
      <w:r>
        <w:rPr>
          <w:rFonts w:ascii="Arial" w:hAnsi="Arial"/>
          <w:vertAlign w:val="subscript"/>
        </w:rPr>
        <w:t>2</w:t>
      </w:r>
      <w:r>
        <w:rPr>
          <w:rFonts w:ascii="Arial" w:hAnsi="Arial"/>
        </w:rPr>
        <w:t xml:space="preserve">, o que pode fazer com que o retorno ambiental dos painéis solares </w:t>
      </w:r>
      <w:r>
        <w:rPr>
          <w:rFonts w:ascii="Arial" w:hAnsi="Arial"/>
        </w:rPr>
        <w:br/>
        <w:t>seja de vários anos.</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É por esta razão que se recomenda a remoção dos painéis solares só quando produzem menos de 80 % do seu rendimento inicial. Os painéis solares de alta qualidade gerarão mais de 80 % do seu rendimento inicial durante, pelo menos, 25 a 30 anos. </w:t>
      </w:r>
    </w:p>
    <w:p w14:paraId="0AD18F62" w14:textId="77777777" w:rsidR="008A2C89" w:rsidRPr="004C0EBD" w:rsidRDefault="003509F6" w:rsidP="009548F1">
      <w:pPr>
        <w:pStyle w:val="MH1"/>
      </w:pPr>
      <w:r>
        <w:br w:type="page"/>
      </w:r>
      <w:bookmarkStart w:id="70" w:name="_Toc180577274"/>
      <w:r>
        <w:lastRenderedPageBreak/>
        <w:t>Abreviaturas e acrónimos</w:t>
      </w:r>
      <w:bookmarkEnd w:id="70"/>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Engenharia, aquisições e construção</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PPM</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Ponto de potência máxima</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Operações e manutenção</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SVCOE</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Seguidor de valor de conversão ótima de energia</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Tensão em circuito aberto</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CAE</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Contrato de aquisição de energia</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CNTPE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Custos normalizados totais de produção de energia</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quilowatt</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AT</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Alta tensão</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quilowatt-hora</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BT</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Baixa tensão</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FV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Fotovoltaico</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CA</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Corrente alternada</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RD</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Rácio de desempenho</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CC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Corrente contínua</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Norma europeia</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Corrente de curto-circuito</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Silício cristalino</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Graus centígrados</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Plano do arranjo</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Conformidade com as normas europeias</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PAC</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Pronto a construir</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IHG</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Irradiação horizontal global</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EFE</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Entidade de finalidade especial – entidade jurídica utilizada no financiamento de construções</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STR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Seguro contra todos os riscos de construção</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EE</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Ensaio de eletroluminescência – Revela microfissuras e células partidas</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CAP</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Critérios de aceitação provisórios</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CAF</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Critérios de aceitação finais</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r>
              <w:rPr>
                <w:rFonts w:ascii="Arial" w:hAnsi="Arial"/>
              </w:rPr>
              <w:t>kVA</w:t>
            </w:r>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quilovolt-ampere potência; semelhante ao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Megawatt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DIP</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Degradação induzida por potencial</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GP</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Gestor de projeto</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Sistema de Informação Geográfica Fotovoltaica</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Perguntas e respostas</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Pedido de apresentação de propostas</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Condições de ensaio normalizadas </w:t>
            </w:r>
            <w:r>
              <w:rPr>
                <w:rFonts w:ascii="Arial" w:hAnsi="Arial"/>
              </w:rPr>
              <w:br/>
              <w:t>(25 C, irradiação 1 000 W/m</w:t>
            </w:r>
            <w:r>
              <w:rPr>
                <w:rFonts w:ascii="Arial" w:hAnsi="Arial"/>
                <w:vertAlign w:val="superscript"/>
              </w:rPr>
              <w:t>2</w:t>
            </w:r>
            <w:r>
              <w:rPr>
                <w:rFonts w:ascii="Arial" w:hAnsi="Arial"/>
              </w:rPr>
              <w:t>)</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Ultravioleta</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AMT</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Ano meteorológico típico</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Corrente no ponto de potência máxima</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Tensão no ponto de potência máxima</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IV</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 xml:space="preserve">Infravermelho — por exemplo, os </w:t>
            </w:r>
            <w:proofErr w:type="spellStart"/>
            <w:r>
              <w:rPr>
                <w:rFonts w:ascii="Arial" w:hAnsi="Arial"/>
              </w:rPr>
              <w:t>drones</w:t>
            </w:r>
            <w:proofErr w:type="spellEnd"/>
            <w:r>
              <w:rPr>
                <w:rFonts w:ascii="Arial" w:hAnsi="Arial"/>
              </w:rPr>
              <w:t xml:space="preserve"> utilizam câmaras IV para inspeções de qualidade</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FL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r>
              <w:rPr>
                <w:rFonts w:ascii="Arial" w:hAnsi="Arial"/>
              </w:rPr>
              <w:t>Fotoluminescência</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lastRenderedPageBreak/>
              <w:t>ASG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Pr>
                <w:rFonts w:ascii="Arial" w:hAnsi="Arial"/>
              </w:rPr>
              <w:t>Fatores ambientais, sociais e de governação</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NQA</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Nível de qualidade aceitável</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RaP</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Requisitos aplicáveis à produção</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PAC</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Pronto a construir</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MPD</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Melhor proposta definitiva</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9548F1">
      <w:pPr>
        <w:pStyle w:val="MH1"/>
        <w:rPr>
          <w:rFonts w:eastAsiaTheme="majorEastAsia"/>
          <w:color w:val="92D050"/>
          <w:sz w:val="40"/>
          <w:szCs w:val="40"/>
        </w:rPr>
      </w:pPr>
      <w:r>
        <w:br w:type="page"/>
      </w:r>
      <w:bookmarkStart w:id="71" w:name="_Toc180577275"/>
      <w:r>
        <w:lastRenderedPageBreak/>
        <w:t>Anexo 1 – Consultores técnicos</w:t>
      </w:r>
      <w:r>
        <w:rPr>
          <w:rStyle w:val="FootnoteReference"/>
        </w:rPr>
        <w:t>2</w:t>
      </w:r>
      <w:bookmarkEnd w:id="71"/>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Nota: </w:t>
      </w:r>
      <w:r>
        <w:t xml:space="preserve">A lista que se segue não é exaustiva. Não efetuámos qualquer pesquisa sobre a experiência, a qualidade ou as tarifas dos consultores a seguir indicados.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Empresa</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Local de estabelecimento</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Contacto</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Correio eletrónico</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Pr>
                <w:rFonts w:ascii="Arial" w:hAnsi="Arial"/>
                <w:sz w:val="20"/>
              </w:rPr>
              <w:t>Nijmegen, NL</w:t>
            </w:r>
          </w:p>
        </w:tc>
        <w:tc>
          <w:tcPr>
            <w:tcW w:w="2268" w:type="dxa"/>
            <w:tcMar>
              <w:top w:w="28" w:type="dxa"/>
              <w:bottom w:w="28" w:type="dxa"/>
            </w:tcMar>
          </w:tcPr>
          <w:p w14:paraId="1FA2EDB0" w14:textId="51723601"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66F44955"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Pr>
                <w:rFonts w:ascii="Arial" w:hAnsi="Arial"/>
                <w:sz w:val="20"/>
              </w:rPr>
              <w:t xml:space="preserve">Straight </w:t>
            </w:r>
            <w:proofErr w:type="spellStart"/>
            <w:r>
              <w:rPr>
                <w:rFonts w:ascii="Arial" w:hAnsi="Arial"/>
                <w:sz w:val="20"/>
              </w:rPr>
              <w:t>Forward</w:t>
            </w:r>
            <w:proofErr w:type="spellEnd"/>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w:t>
            </w:r>
            <w:proofErr w:type="spellEnd"/>
            <w:r>
              <w:rPr>
                <w:rFonts w:ascii="Arial" w:hAnsi="Arial"/>
                <w:sz w:val="20"/>
              </w:rPr>
              <w:t>, NL</w:t>
            </w:r>
          </w:p>
        </w:tc>
        <w:tc>
          <w:tcPr>
            <w:tcW w:w="2268" w:type="dxa"/>
            <w:tcMar>
              <w:top w:w="28" w:type="dxa"/>
              <w:bottom w:w="28" w:type="dxa"/>
            </w:tcMar>
          </w:tcPr>
          <w:p w14:paraId="658643B2" w14:textId="258EA65F"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677AA40C"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 xml:space="preserve">Pulsar </w:t>
            </w:r>
            <w:proofErr w:type="spellStart"/>
            <w:r>
              <w:rPr>
                <w:rFonts w:ascii="Arial" w:hAnsi="Arial"/>
                <w:sz w:val="20"/>
              </w:rPr>
              <w:t>Power</w:t>
            </w:r>
            <w:proofErr w:type="spellEnd"/>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w:t>
            </w:r>
            <w:proofErr w:type="spellEnd"/>
            <w:r>
              <w:rPr>
                <w:rFonts w:ascii="Arial" w:hAnsi="Arial"/>
                <w:sz w:val="20"/>
              </w:rPr>
              <w:t>, BE</w:t>
            </w:r>
          </w:p>
        </w:tc>
        <w:tc>
          <w:tcPr>
            <w:tcW w:w="2268" w:type="dxa"/>
            <w:tcMar>
              <w:top w:w="28" w:type="dxa"/>
              <w:bottom w:w="28" w:type="dxa"/>
            </w:tcMar>
          </w:tcPr>
          <w:p w14:paraId="025CE506" w14:textId="6C915477"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0C2AF80C"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Bruxelas, BE</w:t>
            </w:r>
          </w:p>
        </w:tc>
        <w:tc>
          <w:tcPr>
            <w:tcW w:w="2268" w:type="dxa"/>
            <w:tcMar>
              <w:top w:w="28" w:type="dxa"/>
              <w:bottom w:w="28" w:type="dxa"/>
            </w:tcMar>
          </w:tcPr>
          <w:p w14:paraId="71F1D7AA" w14:textId="3E6BD61D"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0629C9AF"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1E623DC9"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44AE2E13"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Roterdão, NL</w:t>
            </w:r>
          </w:p>
        </w:tc>
        <w:tc>
          <w:tcPr>
            <w:tcW w:w="2268" w:type="dxa"/>
            <w:tcMar>
              <w:top w:w="28" w:type="dxa"/>
              <w:bottom w:w="28" w:type="dxa"/>
            </w:tcMar>
          </w:tcPr>
          <w:p w14:paraId="27E8DE7A" w14:textId="39E918DE"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74AC0431"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 xml:space="preserve">Solar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proofErr w:type="spellStart"/>
            <w:r>
              <w:rPr>
                <w:rFonts w:ascii="Arial" w:hAnsi="Arial"/>
                <w:sz w:val="20"/>
              </w:rPr>
              <w:t>Haarlem</w:t>
            </w:r>
            <w:proofErr w:type="spellEnd"/>
            <w:r>
              <w:rPr>
                <w:rFonts w:ascii="Arial" w:hAnsi="Arial"/>
                <w:sz w:val="20"/>
              </w:rPr>
              <w:t>, NL</w:t>
            </w:r>
          </w:p>
        </w:tc>
        <w:tc>
          <w:tcPr>
            <w:tcW w:w="2268" w:type="dxa"/>
            <w:tcMar>
              <w:top w:w="28" w:type="dxa"/>
              <w:bottom w:w="28" w:type="dxa"/>
            </w:tcMar>
          </w:tcPr>
          <w:p w14:paraId="6CB0A123" w14:textId="4A01EBBA"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1EA680E8"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proofErr w:type="spellStart"/>
            <w:r>
              <w:rPr>
                <w:rFonts w:ascii="Arial" w:hAnsi="Arial"/>
                <w:sz w:val="20"/>
              </w:rPr>
              <w:t>Zaandam</w:t>
            </w:r>
            <w:proofErr w:type="spellEnd"/>
            <w:r>
              <w:rPr>
                <w:rFonts w:ascii="Arial" w:hAnsi="Arial"/>
                <w:sz w:val="20"/>
              </w:rPr>
              <w:t>, NL</w:t>
            </w:r>
          </w:p>
        </w:tc>
        <w:tc>
          <w:tcPr>
            <w:tcW w:w="2268" w:type="dxa"/>
            <w:tcMar>
              <w:top w:w="28" w:type="dxa"/>
              <w:bottom w:w="28" w:type="dxa"/>
            </w:tcMar>
          </w:tcPr>
          <w:p w14:paraId="1A047144" w14:textId="46BD2C91"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62638307"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9548F1">
      <w:pPr>
        <w:pStyle w:val="MH1"/>
      </w:pPr>
      <w:bookmarkStart w:id="72" w:name="_Toc180577276"/>
      <w:r>
        <w:lastRenderedPageBreak/>
        <w:t>Anexo 2 – Consultores de física dos edifícios, engenheiros de estruturas especializados em carga no telhado</w:t>
      </w:r>
      <w:r>
        <w:rPr>
          <w:rStyle w:val="FootnoteReference"/>
        </w:rPr>
        <w:t>2</w:t>
      </w:r>
      <w:bookmarkEnd w:id="72"/>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Nota: </w:t>
      </w:r>
      <w:r>
        <w:t xml:space="preserve">A lista que se segue não é exaustiva. Não efetuámos qualquer pesquisa sobre a experiência, a qualidade ou as tarifas dos consultores a seguir indicados.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16"/>
        <w:gridCol w:w="2097"/>
        <w:gridCol w:w="1819"/>
        <w:gridCol w:w="2830"/>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Empresa</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Local de estabelecimento</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Contacto</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Correio eletrónico</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NL</w:t>
            </w:r>
          </w:p>
        </w:tc>
        <w:tc>
          <w:tcPr>
            <w:tcW w:w="1873" w:type="dxa"/>
            <w:tcMar>
              <w:top w:w="28" w:type="dxa"/>
              <w:bottom w:w="28" w:type="dxa"/>
            </w:tcMar>
          </w:tcPr>
          <w:p w14:paraId="56C4C3C4" w14:textId="53EC47DF"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6A0A33C4"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NL</w:t>
            </w:r>
          </w:p>
        </w:tc>
        <w:tc>
          <w:tcPr>
            <w:tcW w:w="1873" w:type="dxa"/>
            <w:tcMar>
              <w:top w:w="28" w:type="dxa"/>
              <w:bottom w:w="28" w:type="dxa"/>
            </w:tcMar>
          </w:tcPr>
          <w:p w14:paraId="773F72CB" w14:textId="1CAA7F8F"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2470D0D4"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proofErr w:type="spellStart"/>
            <w:r>
              <w:rPr>
                <w:rFonts w:ascii="Arial" w:hAnsi="Arial"/>
                <w:sz w:val="20"/>
              </w:rPr>
              <w:t>Delft</w:t>
            </w:r>
            <w:proofErr w:type="spellEnd"/>
            <w:r>
              <w:rPr>
                <w:rFonts w:ascii="Arial" w:hAnsi="Arial"/>
                <w:sz w:val="20"/>
              </w:rPr>
              <w:t>, NL</w:t>
            </w:r>
          </w:p>
        </w:tc>
        <w:tc>
          <w:tcPr>
            <w:tcW w:w="1873" w:type="dxa"/>
            <w:tcMar>
              <w:top w:w="28" w:type="dxa"/>
              <w:bottom w:w="28" w:type="dxa"/>
            </w:tcMar>
          </w:tcPr>
          <w:p w14:paraId="123F0BED" w14:textId="692A73D4"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4DC07FCF"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2A8E1552"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6CF40FAC"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r>
              <w:rPr>
                <w:rFonts w:ascii="Arial" w:hAnsi="Arial"/>
                <w:sz w:val="20"/>
              </w:rPr>
              <w:t xml:space="preserve">Buro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681554" w:rsidRDefault="5FA5399C" w:rsidP="00A3595E">
            <w:pPr>
              <w:rPr>
                <w:rFonts w:ascii="Arial" w:hAnsi="Arial" w:cs="Arial"/>
                <w:sz w:val="20"/>
                <w:szCs w:val="20"/>
                <w:lang w:val="fr-BE"/>
              </w:rPr>
            </w:pPr>
            <w:proofErr w:type="spellStart"/>
            <w:r w:rsidRPr="00681554">
              <w:rPr>
                <w:rFonts w:ascii="Arial" w:hAnsi="Arial"/>
                <w:sz w:val="20"/>
                <w:lang w:val="fr-BE"/>
              </w:rPr>
              <w:t>Cappelle</w:t>
            </w:r>
            <w:proofErr w:type="spellEnd"/>
            <w:r w:rsidRPr="00681554">
              <w:rPr>
                <w:rFonts w:ascii="Arial" w:hAnsi="Arial"/>
                <w:sz w:val="20"/>
                <w:lang w:val="fr-BE"/>
              </w:rPr>
              <w:t xml:space="preserve"> </w:t>
            </w:r>
            <w:proofErr w:type="spellStart"/>
            <w:r w:rsidRPr="00681554">
              <w:rPr>
                <w:rFonts w:ascii="Arial" w:hAnsi="Arial"/>
                <w:sz w:val="20"/>
                <w:lang w:val="fr-BE"/>
              </w:rPr>
              <w:t>aan</w:t>
            </w:r>
            <w:proofErr w:type="spellEnd"/>
            <w:r w:rsidRPr="00681554">
              <w:rPr>
                <w:rFonts w:ascii="Arial" w:hAnsi="Arial"/>
                <w:sz w:val="20"/>
                <w:lang w:val="fr-BE"/>
              </w:rPr>
              <w:t xml:space="preserve"> de Ijssel, NL</w:t>
            </w:r>
          </w:p>
        </w:tc>
        <w:tc>
          <w:tcPr>
            <w:tcW w:w="1873" w:type="dxa"/>
            <w:tcMar>
              <w:top w:w="28" w:type="dxa"/>
              <w:bottom w:w="28" w:type="dxa"/>
            </w:tcMar>
          </w:tcPr>
          <w:p w14:paraId="7CBF9C09" w14:textId="27D4C66E"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42CD5F9C"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proofErr w:type="spellStart"/>
            <w:r>
              <w:rPr>
                <w:rFonts w:ascii="Arial" w:hAnsi="Arial"/>
                <w:sz w:val="20"/>
              </w:rPr>
              <w:t>Tritium</w:t>
            </w:r>
            <w:proofErr w:type="spellEnd"/>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28CD230F"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60C6B9A9"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9548F1">
      <w:pPr>
        <w:pStyle w:val="MH1"/>
      </w:pPr>
      <w:bookmarkStart w:id="73" w:name="_Toc180577277"/>
      <w:r>
        <w:lastRenderedPageBreak/>
        <w:t xml:space="preserve">Anexo 3 – Empresas de instalação, </w:t>
      </w:r>
      <w:r>
        <w:br/>
        <w:t xml:space="preserve">EPC e promotores de projetos </w:t>
      </w:r>
      <w:r>
        <w:br/>
        <w:t>para as empresas fotovoltaicas</w:t>
      </w:r>
      <w:r>
        <w:rPr>
          <w:rStyle w:val="FootnoteReference"/>
        </w:rPr>
        <w:t>2</w:t>
      </w:r>
      <w:bookmarkEnd w:id="73"/>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Nota: </w:t>
      </w:r>
      <w:r>
        <w:t xml:space="preserve">A lista que se segue não é exaustiva. Não efetuámos qualquer pesquisa sobre a experiência, a qualidade ou as tarifas dos consultores a seguir indicados.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Tipo de empresa</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Empresa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Sítio Web</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Correio eletrónico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Grandes empresas de instalações elétricas e técnicas</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17081AB4"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2CF51C05"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5240C13C"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Pr>
                <w:rFonts w:ascii="Arial" w:hAnsi="Arial"/>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1941F756"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12BDDBEC"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Grandes empresas de instalações solares/</w:t>
            </w:r>
            <w:r>
              <w:rPr>
                <w:rFonts w:ascii="Arial" w:hAnsi="Arial"/>
                <w:b/>
                <w:color w:val="104D54"/>
                <w:sz w:val="24"/>
              </w:rPr>
              <w:br/>
              <w:t>EPC</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12BA5E3C"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18AAA216"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proofErr w:type="spellStart"/>
            <w:r>
              <w:rPr>
                <w:rFonts w:ascii="Arial" w:hAnsi="Arial"/>
                <w:sz w:val="20"/>
              </w:rPr>
              <w:t>Eigen</w:t>
            </w:r>
            <w:proofErr w:type="spellEnd"/>
            <w:r>
              <w:rPr>
                <w:rFonts w:ascii="Arial" w:hAnsi="Arial"/>
                <w:sz w:val="20"/>
              </w:rPr>
              <w:t xml:space="preserve"> </w:t>
            </w:r>
            <w:proofErr w:type="spellStart"/>
            <w:r>
              <w:rPr>
                <w:rFonts w:ascii="Arial" w:hAnsi="Arial"/>
                <w:sz w:val="20"/>
              </w:rPr>
              <w:t>Energie</w:t>
            </w:r>
            <w:proofErr w:type="spellEnd"/>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6518E60E"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073E8C8B"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05A261BA"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418BDD02"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 xml:space="preserve">Solar </w:t>
            </w:r>
            <w:proofErr w:type="spellStart"/>
            <w:r>
              <w:rPr>
                <w:rFonts w:ascii="Arial" w:hAnsi="Arial"/>
                <w:sz w:val="20"/>
              </w:rPr>
              <w:t>Partners</w:t>
            </w:r>
            <w:proofErr w:type="spellEnd"/>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2DAA77A9"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1FDB8A4E"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4455891C"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7FBD5160"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1CE7DEEA"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065F8769"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19DA76CD"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6D0C5E07"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0E801E4B"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6416DE83"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5C633B6D"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Promotores de projetos</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65EBBDC1"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7B0F605F"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2079C88C"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17F12196"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18A241C0"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w:t>
            </w:r>
            <w:proofErr w:type="spellStart"/>
            <w:r>
              <w:rPr>
                <w:rFonts w:ascii="Arial" w:hAnsi="Arial"/>
                <w:sz w:val="20"/>
              </w:rPr>
              <w:t>Energy</w:t>
            </w:r>
            <w:proofErr w:type="spellEnd"/>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23C11674"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4187205B"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r>
              <w:rPr>
                <w:rFonts w:ascii="Arial" w:hAnsi="Arial"/>
                <w:sz w:val="20"/>
              </w:rPr>
              <w:t>Nara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77F11015"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7602EB57"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proofErr w:type="spellStart"/>
            <w:r>
              <w:rPr>
                <w:rFonts w:ascii="Arial" w:hAnsi="Arial"/>
                <w:sz w:val="20"/>
              </w:rPr>
              <w:t>Pure</w:t>
            </w:r>
            <w:proofErr w:type="spellEnd"/>
            <w:r>
              <w:rPr>
                <w:rFonts w:ascii="Arial" w:hAnsi="Arial"/>
                <w:sz w:val="20"/>
              </w:rPr>
              <w:t xml:space="preserve"> </w:t>
            </w:r>
            <w:proofErr w:type="spellStart"/>
            <w:r>
              <w:rPr>
                <w:rFonts w:ascii="Arial" w:hAnsi="Arial"/>
                <w:sz w:val="20"/>
              </w:rPr>
              <w:t>Energie</w:t>
            </w:r>
            <w:proofErr w:type="spellEnd"/>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690B503B"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 xml:space="preserve">LC </w:t>
            </w:r>
            <w:proofErr w:type="spellStart"/>
            <w:r>
              <w:rPr>
                <w:rFonts w:ascii="Arial" w:hAnsi="Arial"/>
                <w:sz w:val="20"/>
              </w:rPr>
              <w:t>Energy</w:t>
            </w:r>
            <w:proofErr w:type="spellEnd"/>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7211C95D"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2F66DE23"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1864A72E"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69BDF27A"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686E479B"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proofErr w:type="spellStart"/>
            <w:r>
              <w:rPr>
                <w:rFonts w:ascii="Arial" w:hAnsi="Arial"/>
                <w:sz w:val="20"/>
              </w:rPr>
              <w:t>Vattenfall</w:t>
            </w:r>
            <w:proofErr w:type="spellEnd"/>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7AE6E10B"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06545ACF"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6D2C7BC2"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5E94A308"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073F56EE"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23F6A6F4"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 xml:space="preserve">IB </w:t>
            </w:r>
            <w:proofErr w:type="spellStart"/>
            <w:r>
              <w:rPr>
                <w:rFonts w:ascii="Arial" w:hAnsi="Arial"/>
                <w:sz w:val="20"/>
              </w:rPr>
              <w:t>Vogt</w:t>
            </w:r>
            <w:proofErr w:type="spellEnd"/>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486FA4D9"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9548F1">
      <w:pPr>
        <w:pStyle w:val="MH1"/>
      </w:pPr>
      <w:bookmarkStart w:id="74" w:name="_Toc180577278"/>
      <w:r>
        <w:lastRenderedPageBreak/>
        <w:t>Anexo 4 – Consultores e fornecedores especializados em sistemas de gestão da energia, baterias e gestão da procura</w:t>
      </w:r>
      <w:r>
        <w:rPr>
          <w:rStyle w:val="FootnoteReference"/>
        </w:rPr>
        <w:t>2</w:t>
      </w:r>
      <w:bookmarkEnd w:id="74"/>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Nota: </w:t>
      </w:r>
      <w:r>
        <w:t xml:space="preserve">A lista que se segue não é exaustiva. Não efetuámos qualquer pesquisa sobre a experiência, a qualidade ou as tarifas dos consultores a seguir indicados.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1825"/>
      </w:tblGrid>
      <w:tr w:rsidR="00830EE2" w:rsidRPr="00830EE2" w14:paraId="5293B041" w14:textId="77777777" w:rsidTr="007A7469">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Empresa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Local de estabelecimento</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Contacto </w:t>
            </w:r>
          </w:p>
        </w:tc>
        <w:tc>
          <w:tcPr>
            <w:tcW w:w="1825"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Correio eletrónico </w:t>
            </w:r>
          </w:p>
        </w:tc>
      </w:tr>
      <w:tr w:rsidR="0052536B" w:rsidRPr="004C0EBD" w14:paraId="564EA913" w14:textId="77777777" w:rsidTr="007A7469">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Roterdão</w:t>
            </w:r>
          </w:p>
        </w:tc>
        <w:tc>
          <w:tcPr>
            <w:tcW w:w="2194" w:type="dxa"/>
            <w:tcMar>
              <w:top w:w="28" w:type="dxa"/>
              <w:bottom w:w="28" w:type="dxa"/>
            </w:tcMar>
            <w:vAlign w:val="center"/>
          </w:tcPr>
          <w:p w14:paraId="68F190C0" w14:textId="7E13FA3C" w:rsidR="0052536B" w:rsidRPr="00830EE2" w:rsidRDefault="0052536B" w:rsidP="5FA5399C">
            <w:pPr>
              <w:rPr>
                <w:rFonts w:ascii="Arial" w:eastAsiaTheme="minorEastAsia" w:hAnsi="Arial" w:cs="Arial"/>
                <w:sz w:val="20"/>
                <w:szCs w:val="20"/>
              </w:rPr>
            </w:pPr>
          </w:p>
        </w:tc>
        <w:tc>
          <w:tcPr>
            <w:tcW w:w="1825" w:type="dxa"/>
            <w:tcMar>
              <w:top w:w="28" w:type="dxa"/>
              <w:bottom w:w="28" w:type="dxa"/>
            </w:tcMar>
            <w:vAlign w:val="center"/>
          </w:tcPr>
          <w:p w14:paraId="164B0013" w14:textId="2C9FC2C2" w:rsidR="0052536B" w:rsidRPr="00830EE2" w:rsidRDefault="0052536B" w:rsidP="5FA5399C">
            <w:pPr>
              <w:rPr>
                <w:rFonts w:ascii="Arial" w:eastAsiaTheme="minorEastAsia" w:hAnsi="Arial" w:cs="Arial"/>
                <w:sz w:val="20"/>
                <w:szCs w:val="20"/>
              </w:rPr>
            </w:pPr>
          </w:p>
        </w:tc>
      </w:tr>
      <w:tr w:rsidR="00527969" w:rsidRPr="004C0EBD" w14:paraId="55CCA169" w14:textId="77777777" w:rsidTr="007A7469">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p>
        </w:tc>
        <w:tc>
          <w:tcPr>
            <w:tcW w:w="2194" w:type="dxa"/>
            <w:tcMar>
              <w:top w:w="28" w:type="dxa"/>
              <w:bottom w:w="28" w:type="dxa"/>
            </w:tcMar>
            <w:vAlign w:val="center"/>
          </w:tcPr>
          <w:p w14:paraId="0A8A826F" w14:textId="22A19A0E" w:rsidR="00527969" w:rsidRPr="00830EE2" w:rsidRDefault="00527969" w:rsidP="5FA5399C">
            <w:pPr>
              <w:rPr>
                <w:rFonts w:ascii="Arial" w:eastAsiaTheme="minorEastAsia" w:hAnsi="Arial" w:cs="Arial"/>
                <w:sz w:val="20"/>
                <w:szCs w:val="20"/>
              </w:rPr>
            </w:pPr>
          </w:p>
        </w:tc>
        <w:tc>
          <w:tcPr>
            <w:tcW w:w="1825" w:type="dxa"/>
            <w:tcMar>
              <w:top w:w="28" w:type="dxa"/>
              <w:bottom w:w="28" w:type="dxa"/>
            </w:tcMar>
            <w:vAlign w:val="center"/>
          </w:tcPr>
          <w:p w14:paraId="7EBA8D53" w14:textId="55889B9C" w:rsidR="00527969" w:rsidRPr="00830EE2" w:rsidRDefault="00527969" w:rsidP="5FA5399C">
            <w:pPr>
              <w:rPr>
                <w:rFonts w:ascii="Arial" w:eastAsiaTheme="minorEastAsia" w:hAnsi="Arial" w:cs="Arial"/>
                <w:sz w:val="20"/>
                <w:szCs w:val="20"/>
              </w:rPr>
            </w:pPr>
          </w:p>
        </w:tc>
      </w:tr>
      <w:tr w:rsidR="0052536B" w:rsidRPr="004C0EBD" w14:paraId="4F173FF9" w14:textId="77777777" w:rsidTr="007A7469">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sz w:val="20"/>
              </w:rPr>
              <w:t>European</w:t>
            </w:r>
            <w:proofErr w:type="spellEnd"/>
            <w:r>
              <w:rPr>
                <w:rFonts w:ascii="Arial" w:hAnsi="Arial"/>
                <w:sz w:val="20"/>
              </w:rPr>
              <w:t xml:space="preserve">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Pr>
                <w:rFonts w:ascii="Arial" w:hAnsi="Arial"/>
                <w:sz w:val="20"/>
              </w:rPr>
              <w:t>Heerenveen</w:t>
            </w:r>
            <w:proofErr w:type="spellEnd"/>
          </w:p>
        </w:tc>
        <w:tc>
          <w:tcPr>
            <w:tcW w:w="2194" w:type="dxa"/>
            <w:tcMar>
              <w:top w:w="28" w:type="dxa"/>
              <w:bottom w:w="28" w:type="dxa"/>
            </w:tcMar>
            <w:vAlign w:val="center"/>
          </w:tcPr>
          <w:p w14:paraId="1280BF28" w14:textId="79C2D8F3" w:rsidR="0052536B" w:rsidRPr="00830EE2" w:rsidRDefault="0052536B" w:rsidP="5FA5399C">
            <w:pPr>
              <w:rPr>
                <w:rFonts w:ascii="Arial" w:eastAsiaTheme="minorEastAsia" w:hAnsi="Arial" w:cs="Arial"/>
                <w:sz w:val="20"/>
                <w:szCs w:val="20"/>
              </w:rPr>
            </w:pPr>
          </w:p>
        </w:tc>
        <w:tc>
          <w:tcPr>
            <w:tcW w:w="1825" w:type="dxa"/>
            <w:tcMar>
              <w:top w:w="28" w:type="dxa"/>
              <w:bottom w:w="28" w:type="dxa"/>
            </w:tcMar>
            <w:vAlign w:val="center"/>
          </w:tcPr>
          <w:p w14:paraId="70322736" w14:textId="07FF64BF" w:rsidR="0052536B" w:rsidRPr="00830EE2" w:rsidRDefault="0052536B" w:rsidP="5FA5399C">
            <w:pPr>
              <w:rPr>
                <w:rFonts w:ascii="Arial" w:eastAsiaTheme="minorEastAsia" w:hAnsi="Arial" w:cs="Arial"/>
                <w:sz w:val="20"/>
                <w:szCs w:val="20"/>
              </w:rPr>
            </w:pPr>
          </w:p>
        </w:tc>
      </w:tr>
      <w:tr w:rsidR="5FA5399C" w:rsidRPr="004C0EBD" w14:paraId="469AD225" w14:textId="77777777" w:rsidTr="007A7469">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4309DD4F" w:rsidR="5FA5399C" w:rsidRPr="00830EE2" w:rsidRDefault="5FA5399C" w:rsidP="5FA5399C">
            <w:pPr>
              <w:rPr>
                <w:rFonts w:ascii="Arial" w:eastAsiaTheme="minorEastAsia" w:hAnsi="Arial" w:cs="Arial"/>
                <w:sz w:val="20"/>
                <w:szCs w:val="20"/>
              </w:rPr>
            </w:pPr>
          </w:p>
        </w:tc>
        <w:tc>
          <w:tcPr>
            <w:tcW w:w="1825" w:type="dxa"/>
            <w:tcMar>
              <w:top w:w="28" w:type="dxa"/>
              <w:bottom w:w="28" w:type="dxa"/>
            </w:tcMar>
            <w:vAlign w:val="center"/>
          </w:tcPr>
          <w:p w14:paraId="4899A413" w14:textId="6BC8A5D0" w:rsidR="5FA5399C" w:rsidRPr="00830EE2" w:rsidRDefault="5FA5399C" w:rsidP="5FA5399C">
            <w:pPr>
              <w:rPr>
                <w:rFonts w:ascii="Arial" w:eastAsiaTheme="minorEastAsia" w:hAnsi="Arial" w:cs="Arial"/>
                <w:sz w:val="20"/>
                <w:szCs w:val="20"/>
              </w:rPr>
            </w:pPr>
          </w:p>
        </w:tc>
      </w:tr>
      <w:tr w:rsidR="5FA5399C" w:rsidRPr="004C0EBD" w14:paraId="4989B929" w14:textId="77777777" w:rsidTr="007A7469">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6C7C036D" w:rsidR="5FA5399C" w:rsidRPr="00830EE2" w:rsidRDefault="5FA5399C" w:rsidP="5FA5399C">
            <w:pPr>
              <w:rPr>
                <w:rFonts w:ascii="Arial" w:eastAsiaTheme="minorEastAsia" w:hAnsi="Arial" w:cs="Arial"/>
                <w:sz w:val="20"/>
                <w:szCs w:val="20"/>
              </w:rPr>
            </w:pPr>
          </w:p>
        </w:tc>
        <w:tc>
          <w:tcPr>
            <w:tcW w:w="1825" w:type="dxa"/>
            <w:tcMar>
              <w:top w:w="28" w:type="dxa"/>
              <w:bottom w:w="28" w:type="dxa"/>
            </w:tcMar>
            <w:vAlign w:val="center"/>
          </w:tcPr>
          <w:p w14:paraId="00FBA627" w14:textId="0B8DFFC5" w:rsidR="5FA5399C" w:rsidRPr="00830EE2" w:rsidRDefault="5FA5399C" w:rsidP="5FA5399C">
            <w:pPr>
              <w:rPr>
                <w:rFonts w:ascii="Arial" w:eastAsiaTheme="minorEastAsia" w:hAnsi="Arial" w:cs="Arial"/>
                <w:sz w:val="20"/>
                <w:szCs w:val="20"/>
              </w:rPr>
            </w:pPr>
          </w:p>
        </w:tc>
      </w:tr>
      <w:tr w:rsidR="0052536B" w:rsidRPr="004C0EBD" w14:paraId="2F25F258" w14:textId="77777777" w:rsidTr="007A7469">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Schiedam</w:t>
            </w:r>
            <w:proofErr w:type="spellEnd"/>
          </w:p>
        </w:tc>
        <w:tc>
          <w:tcPr>
            <w:tcW w:w="2194" w:type="dxa"/>
            <w:tcMar>
              <w:top w:w="28" w:type="dxa"/>
              <w:bottom w:w="28" w:type="dxa"/>
            </w:tcMar>
            <w:vAlign w:val="center"/>
          </w:tcPr>
          <w:p w14:paraId="69DE1BE3" w14:textId="6C9C63BB" w:rsidR="0052536B" w:rsidRPr="00830EE2" w:rsidRDefault="0052536B" w:rsidP="5FA5399C">
            <w:pPr>
              <w:rPr>
                <w:rFonts w:ascii="Arial" w:eastAsiaTheme="minorEastAsia" w:hAnsi="Arial" w:cs="Arial"/>
                <w:sz w:val="20"/>
                <w:szCs w:val="20"/>
              </w:rPr>
            </w:pPr>
          </w:p>
        </w:tc>
        <w:tc>
          <w:tcPr>
            <w:tcW w:w="1825" w:type="dxa"/>
            <w:tcMar>
              <w:top w:w="28" w:type="dxa"/>
              <w:bottom w:w="28" w:type="dxa"/>
            </w:tcMar>
            <w:vAlign w:val="center"/>
          </w:tcPr>
          <w:p w14:paraId="08E0B254" w14:textId="6199EEEC" w:rsidR="0052536B" w:rsidRPr="00830EE2" w:rsidRDefault="0052536B" w:rsidP="5FA5399C">
            <w:pPr>
              <w:rPr>
                <w:rFonts w:ascii="Arial" w:eastAsiaTheme="minorEastAsia" w:hAnsi="Arial" w:cs="Arial"/>
                <w:sz w:val="20"/>
                <w:szCs w:val="20"/>
              </w:rPr>
            </w:pPr>
          </w:p>
        </w:tc>
      </w:tr>
      <w:tr w:rsidR="0052536B" w:rsidRPr="004C0EBD" w14:paraId="7E879F35" w14:textId="77777777" w:rsidTr="007A7469">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p>
        </w:tc>
        <w:tc>
          <w:tcPr>
            <w:tcW w:w="2194" w:type="dxa"/>
            <w:tcMar>
              <w:top w:w="28" w:type="dxa"/>
              <w:bottom w:w="28" w:type="dxa"/>
            </w:tcMar>
            <w:vAlign w:val="center"/>
          </w:tcPr>
          <w:p w14:paraId="22548B1A" w14:textId="46AAF5F1" w:rsidR="0052536B" w:rsidRPr="00830EE2" w:rsidRDefault="0052536B" w:rsidP="00A3595E">
            <w:pPr>
              <w:rPr>
                <w:rFonts w:ascii="Arial" w:hAnsi="Arial" w:cs="Arial"/>
                <w:sz w:val="20"/>
                <w:szCs w:val="20"/>
              </w:rPr>
            </w:pPr>
          </w:p>
        </w:tc>
        <w:tc>
          <w:tcPr>
            <w:tcW w:w="1825" w:type="dxa"/>
            <w:tcMar>
              <w:top w:w="28" w:type="dxa"/>
              <w:bottom w:w="28" w:type="dxa"/>
            </w:tcMar>
            <w:vAlign w:val="center"/>
          </w:tcPr>
          <w:p w14:paraId="206930F3" w14:textId="696FC313" w:rsidR="0052536B" w:rsidRPr="00830EE2" w:rsidRDefault="0052536B" w:rsidP="00A3595E">
            <w:pPr>
              <w:rPr>
                <w:rFonts w:ascii="Arial" w:hAnsi="Arial" w:cs="Arial"/>
                <w:sz w:val="20"/>
                <w:szCs w:val="20"/>
              </w:rPr>
            </w:pPr>
          </w:p>
        </w:tc>
      </w:tr>
      <w:tr w:rsidR="5FA5399C" w:rsidRPr="004C0EBD" w14:paraId="6B67DA41" w14:textId="77777777" w:rsidTr="007A7469">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27AA05E1" w:rsidR="5FA5399C" w:rsidRPr="00830EE2" w:rsidRDefault="5FA5399C" w:rsidP="5FA5399C">
            <w:pPr>
              <w:rPr>
                <w:rFonts w:ascii="Arial" w:hAnsi="Arial" w:cs="Arial"/>
                <w:sz w:val="20"/>
                <w:szCs w:val="20"/>
              </w:rPr>
            </w:pPr>
          </w:p>
        </w:tc>
        <w:tc>
          <w:tcPr>
            <w:tcW w:w="1825" w:type="dxa"/>
            <w:tcMar>
              <w:top w:w="28" w:type="dxa"/>
              <w:bottom w:w="28" w:type="dxa"/>
            </w:tcMar>
            <w:vAlign w:val="center"/>
          </w:tcPr>
          <w:p w14:paraId="64147A1A" w14:textId="7F9BACF4" w:rsidR="5FA5399C" w:rsidRPr="00830EE2" w:rsidRDefault="5FA5399C" w:rsidP="5FA5399C">
            <w:pPr>
              <w:rPr>
                <w:rFonts w:ascii="Arial" w:hAnsi="Arial" w:cs="Arial"/>
                <w:sz w:val="20"/>
                <w:szCs w:val="20"/>
              </w:rPr>
            </w:pPr>
          </w:p>
        </w:tc>
      </w:tr>
      <w:tr w:rsidR="5FA5399C" w:rsidRPr="004C0EBD" w14:paraId="00D67DD7" w14:textId="77777777" w:rsidTr="007A7469">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proofErr w:type="spellStart"/>
            <w:r>
              <w:rPr>
                <w:rFonts w:ascii="Arial" w:hAnsi="Arial"/>
                <w:sz w:val="20"/>
              </w:rPr>
              <w:t>Zwolle</w:t>
            </w:r>
            <w:proofErr w:type="spellEnd"/>
          </w:p>
        </w:tc>
        <w:tc>
          <w:tcPr>
            <w:tcW w:w="2194" w:type="dxa"/>
            <w:tcMar>
              <w:top w:w="28" w:type="dxa"/>
              <w:bottom w:w="28" w:type="dxa"/>
            </w:tcMar>
            <w:vAlign w:val="center"/>
          </w:tcPr>
          <w:p w14:paraId="73C755F4" w14:textId="40B04EB9" w:rsidR="5FA5399C" w:rsidRPr="00830EE2" w:rsidRDefault="5FA5399C" w:rsidP="5FA5399C">
            <w:pPr>
              <w:rPr>
                <w:rFonts w:ascii="Arial" w:hAnsi="Arial" w:cs="Arial"/>
                <w:sz w:val="20"/>
                <w:szCs w:val="20"/>
              </w:rPr>
            </w:pPr>
          </w:p>
        </w:tc>
        <w:tc>
          <w:tcPr>
            <w:tcW w:w="1825" w:type="dxa"/>
            <w:tcMar>
              <w:top w:w="28" w:type="dxa"/>
              <w:bottom w:w="28" w:type="dxa"/>
            </w:tcMar>
            <w:vAlign w:val="center"/>
          </w:tcPr>
          <w:p w14:paraId="0A535D25" w14:textId="124712EA" w:rsidR="5FA5399C" w:rsidRPr="00830EE2" w:rsidRDefault="5FA5399C" w:rsidP="5FA5399C">
            <w:pPr>
              <w:rPr>
                <w:rFonts w:ascii="Arial" w:hAnsi="Arial" w:cs="Arial"/>
                <w:sz w:val="20"/>
                <w:szCs w:val="20"/>
              </w:rPr>
            </w:pPr>
          </w:p>
        </w:tc>
      </w:tr>
      <w:tr w:rsidR="00C81F79" w:rsidRPr="004C0EBD" w14:paraId="0656996A" w14:textId="77777777" w:rsidTr="007A7469">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Pr>
                <w:rFonts w:ascii="Arial" w:hAnsi="Arial"/>
                <w:sz w:val="20"/>
              </w:rPr>
              <w:t>Nijmegen, NL</w:t>
            </w:r>
          </w:p>
        </w:tc>
        <w:tc>
          <w:tcPr>
            <w:tcW w:w="2194" w:type="dxa"/>
            <w:tcMar>
              <w:top w:w="28" w:type="dxa"/>
              <w:bottom w:w="28" w:type="dxa"/>
            </w:tcMar>
            <w:vAlign w:val="center"/>
          </w:tcPr>
          <w:p w14:paraId="6628BE06" w14:textId="46C8DBB5" w:rsidR="00C81F79" w:rsidRPr="00830EE2" w:rsidRDefault="00C81F79" w:rsidP="00C81F79">
            <w:pPr>
              <w:rPr>
                <w:rFonts w:ascii="Arial" w:hAnsi="Arial" w:cs="Arial"/>
                <w:sz w:val="20"/>
                <w:szCs w:val="20"/>
              </w:rPr>
            </w:pPr>
          </w:p>
        </w:tc>
        <w:tc>
          <w:tcPr>
            <w:tcW w:w="1825" w:type="dxa"/>
            <w:tcMar>
              <w:top w:w="28" w:type="dxa"/>
              <w:bottom w:w="28" w:type="dxa"/>
            </w:tcMar>
            <w:vAlign w:val="center"/>
          </w:tcPr>
          <w:p w14:paraId="440EC98A" w14:textId="74C69C3D"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bookmarkStart w:id="75" w:name="_Toc176878245"/>
    <w:bookmarkStart w:id="76" w:name="_Toc176879276"/>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bookmarkEnd w:id="75"/>
      <w:bookmarkEnd w:id="76"/>
    </w:p>
    <w:p w14:paraId="554A8BB8" w14:textId="30668E91" w:rsidR="5FA5399C" w:rsidRPr="004C0EBD" w:rsidRDefault="5FA5399C">
      <w:r>
        <w:br w:type="page"/>
      </w:r>
    </w:p>
    <w:p w14:paraId="6FA05133" w14:textId="77777777" w:rsidR="006A5081" w:rsidRDefault="5FA5399C" w:rsidP="009548F1">
      <w:pPr>
        <w:pStyle w:val="MH1"/>
      </w:pPr>
      <w:bookmarkStart w:id="77" w:name="_Toc176878246"/>
      <w:bookmarkStart w:id="78" w:name="_Toc176879277"/>
      <w:bookmarkStart w:id="79" w:name="_Toc180577279"/>
      <w:r>
        <w:lastRenderedPageBreak/>
        <w:t>Anexo 5 – Financiadores de capital de empréstimo</w:t>
      </w:r>
      <w:bookmarkEnd w:id="77"/>
      <w:bookmarkEnd w:id="78"/>
      <w:bookmarkEnd w:id="79"/>
      <w:r>
        <w:t xml:space="preserve"> </w:t>
      </w:r>
    </w:p>
    <w:p w14:paraId="0F9716BC" w14:textId="72422C09" w:rsidR="00077532" w:rsidRPr="004C0EBD" w:rsidRDefault="5FA5399C" w:rsidP="009548F1">
      <w:pPr>
        <w:pStyle w:val="MH1"/>
      </w:pPr>
      <w:bookmarkStart w:id="80" w:name="_Toc180577280"/>
      <w:r>
        <w:t>e de capital próprio</w:t>
      </w:r>
      <w:r>
        <w:rPr>
          <w:rStyle w:val="FootnoteReference"/>
        </w:rPr>
        <w:t>2</w:t>
      </w:r>
      <w:bookmarkEnd w:id="80"/>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Nota: </w:t>
      </w:r>
      <w:r>
        <w:t xml:space="preserve">A lista que se segue não é exaustiva. Não efetuámos qualquer pesquisa sobre a experiência, a qualidade ou as tarifas dos consultores a seguir indicados.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Tipo de financiamento</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Empresa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Sítio Web</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Correio eletrónico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Capital de empréstimo</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proofErr w:type="spellStart"/>
            <w:r>
              <w:rPr>
                <w:rFonts w:ascii="Arial" w:hAnsi="Arial"/>
                <w:sz w:val="20"/>
              </w:rPr>
              <w:t>Commerzbank</w:t>
            </w:r>
            <w:proofErr w:type="spellEnd"/>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30CDE7D3"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sz w:val="20"/>
              </w:rPr>
              <w:t>KfW</w:t>
            </w:r>
            <w:proofErr w:type="spellEnd"/>
            <w:r>
              <w:rPr>
                <w:rFonts w:ascii="Arial" w:hAnsi="Arial"/>
                <w:sz w:val="20"/>
              </w:rPr>
              <w:t xml:space="preserve"> </w:t>
            </w:r>
            <w:proofErr w:type="spellStart"/>
            <w:r>
              <w:rPr>
                <w:rFonts w:ascii="Arial" w:hAnsi="Arial"/>
                <w:sz w:val="20"/>
              </w:rPr>
              <w:t>Bank</w:t>
            </w:r>
            <w:proofErr w:type="spellEnd"/>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70E5470B"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26E36895"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7D2FF211"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73CD94AF"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 xml:space="preserve">ASN </w:t>
            </w:r>
            <w:proofErr w:type="spellStart"/>
            <w:r>
              <w:rPr>
                <w:rFonts w:ascii="Arial" w:hAnsi="Arial"/>
                <w:sz w:val="20"/>
              </w:rPr>
              <w:t>Bank</w:t>
            </w:r>
            <w:proofErr w:type="spellEnd"/>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3366837E"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 xml:space="preserve">BNG </w:t>
            </w:r>
            <w:proofErr w:type="spellStart"/>
            <w:r>
              <w:rPr>
                <w:rFonts w:ascii="Arial" w:hAnsi="Arial"/>
                <w:sz w:val="20"/>
              </w:rPr>
              <w:t>Bank</w:t>
            </w:r>
            <w:proofErr w:type="spellEnd"/>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7ECF426D"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Financiamento colaborativo</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w:t>
            </w:r>
            <w:proofErr w:type="spellStart"/>
            <w:r>
              <w:rPr>
                <w:rFonts w:ascii="Arial" w:hAnsi="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70343EA4"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1F53FAEA"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9548F1">
      <w:pPr>
        <w:pStyle w:val="MH1"/>
      </w:pPr>
      <w:bookmarkStart w:id="81" w:name="_Toc180577281"/>
      <w:r>
        <w:lastRenderedPageBreak/>
        <w:t>Anexo 6 – Inspeções SCIOS Scope 12</w:t>
      </w:r>
      <w:r>
        <w:rPr>
          <w:rStyle w:val="FootnoteReference"/>
        </w:rPr>
        <w:t>2</w:t>
      </w:r>
      <w:bookmarkEnd w:id="81"/>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Nota: </w:t>
      </w:r>
      <w:r>
        <w:t xml:space="preserve">A lista que se segue não é exaustiva. Não efetuámos qualquer pesquisa sobre a experiência, a qualidade ou as tarifas dos consultores a seguir indicados.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051"/>
        <w:gridCol w:w="1881"/>
        <w:gridCol w:w="2675"/>
        <w:gridCol w:w="2455"/>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Empresa</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Local de estabelecimento</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Sítio Web</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Correio eletrónico</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Omega </w:t>
            </w:r>
            <w:proofErr w:type="spellStart"/>
            <w:r>
              <w:rPr>
                <w:rFonts w:asciiTheme="majorHAnsi" w:hAnsiTheme="majorHAnsi"/>
                <w:sz w:val="20"/>
              </w:rPr>
              <w:t>Energie</w:t>
            </w:r>
            <w:proofErr w:type="spellEnd"/>
            <w:r>
              <w:rPr>
                <w:rFonts w:asciiTheme="majorHAnsi" w:hAnsiTheme="majorHAnsi"/>
                <w:sz w:val="20"/>
              </w:rPr>
              <w:t xml:space="preserv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66435301"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Best</w:t>
            </w:r>
            <w:proofErr w:type="spellEnd"/>
            <w:r>
              <w:rPr>
                <w:rFonts w:asciiTheme="majorHAnsi" w:hAnsiTheme="majorHAnsi"/>
                <w:sz w:val="20"/>
              </w:rPr>
              <w: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3FD446E6"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30656A80"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0E7DB075"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w:t>
            </w:r>
            <w:proofErr w:type="spellStart"/>
            <w:r>
              <w:rPr>
                <w:rFonts w:asciiTheme="majorHAnsi" w:hAnsiTheme="majorHAnsi"/>
                <w:sz w:val="20"/>
              </w:rPr>
              <w:t>en</w:t>
            </w:r>
            <w:proofErr w:type="spellEnd"/>
            <w:r>
              <w:rPr>
                <w:rFonts w:asciiTheme="majorHAnsi" w:hAnsiTheme="majorHAnsi"/>
                <w:sz w:val="20"/>
              </w:rPr>
              <w:t xml:space="preserve">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Dronten</w:t>
            </w:r>
            <w:proofErr w:type="spellEnd"/>
            <w:r>
              <w:rPr>
                <w:rFonts w:asciiTheme="majorHAnsi" w:hAnsiTheme="majorHAnsi"/>
                <w:sz w:val="20"/>
              </w:rPr>
              <w:t>,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06E72564"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6C92193C"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3BDEFD92"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TUV </w:t>
            </w:r>
            <w:proofErr w:type="spellStart"/>
            <w:r>
              <w:rPr>
                <w:rFonts w:asciiTheme="majorHAnsi" w:hAnsiTheme="majorHAnsi"/>
                <w:sz w:val="20"/>
              </w:rPr>
              <w:t>Nord</w:t>
            </w:r>
            <w:proofErr w:type="spellEnd"/>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Son</w:t>
            </w:r>
            <w:proofErr w:type="spellEnd"/>
            <w:r>
              <w:rPr>
                <w:rFonts w:asciiTheme="majorHAnsi" w:hAnsiTheme="majorHAnsi"/>
                <w:sz w:val="20"/>
              </w:rPr>
              <w:t>,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74B29DBB"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035A0B05"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9548F1">
      <w:pPr>
        <w:pStyle w:val="MH1"/>
      </w:pPr>
      <w:bookmarkStart w:id="82" w:name="_Toc180577282"/>
      <w:r>
        <w:lastRenderedPageBreak/>
        <w:t xml:space="preserve">Anexo 7 – Auditorias a fábricas </w:t>
      </w:r>
      <w:r>
        <w:br/>
        <w:t>e testes por amostragem</w:t>
      </w:r>
      <w:r>
        <w:rPr>
          <w:rStyle w:val="FootnoteReference"/>
        </w:rPr>
        <w:t>2</w:t>
      </w:r>
      <w:bookmarkEnd w:id="82"/>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Nota: </w:t>
      </w:r>
      <w:r>
        <w:t xml:space="preserve">A lista que se segue não é exaustiva. Não efetuámos qualquer pesquisa sobre a experiência, a qualidade ou as tarifas dos consultores a seguir indicados.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23"/>
        <w:gridCol w:w="2097"/>
        <w:gridCol w:w="2615"/>
        <w:gridCol w:w="2227"/>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Empresa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Local de estabelecimento</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Sítio Web</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Correio eletrónico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 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3DB3865E"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proofErr w:type="spellStart"/>
            <w:r>
              <w:rPr>
                <w:rFonts w:ascii="Arial" w:hAnsi="Arial"/>
                <w:sz w:val="20"/>
              </w:rPr>
              <w:t>Odin</w:t>
            </w:r>
            <w:proofErr w:type="spellEnd"/>
            <w:r>
              <w:rPr>
                <w:rFonts w:ascii="Arial" w:hAnsi="Arial"/>
                <w:sz w:val="20"/>
              </w:rPr>
              <w:t xml:space="preserve">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Roterdão,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4AA972A1"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Xangai,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2B36A422"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 xml:space="preserve">Solar </w:t>
            </w:r>
            <w:proofErr w:type="spellStart"/>
            <w:r>
              <w:rPr>
                <w:rFonts w:ascii="Arial" w:hAnsi="Arial"/>
                <w:sz w:val="20"/>
              </w:rPr>
              <w:t>Tester</w:t>
            </w:r>
            <w:proofErr w:type="spellEnd"/>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Pr>
                <w:rFonts w:ascii="Arial" w:hAnsi="Arial"/>
                <w:sz w:val="20"/>
              </w:rPr>
              <w:t>Schinnen</w:t>
            </w:r>
            <w:proofErr w:type="spellEnd"/>
            <w:r>
              <w:rPr>
                <w:rFonts w:ascii="Arial" w:hAnsi="Arial"/>
                <w:sz w:val="20"/>
              </w:rPr>
              <w:t>,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77211181"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Xangai,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39AB4C8E"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Berlim,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7BA4AA2A"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9548F1">
      <w:pPr>
        <w:pStyle w:val="MH1"/>
      </w:pPr>
      <w:bookmarkStart w:id="83" w:name="_Toc180577283"/>
      <w:r>
        <w:lastRenderedPageBreak/>
        <w:t xml:space="preserve">Anexo 8 – Monitorização, manutenção </w:t>
      </w:r>
      <w:r>
        <w:br/>
        <w:t>e reparações</w:t>
      </w:r>
      <w:r>
        <w:rPr>
          <w:rStyle w:val="FootnoteReference"/>
        </w:rPr>
        <w:t>2</w:t>
      </w:r>
      <w:bookmarkEnd w:id="83"/>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Nota: </w:t>
      </w:r>
      <w:r>
        <w:t xml:space="preserve">A lista que se segue não é exaustiva. Não efetuámos qualquer pesquisa sobre a experiência, a qualidade ou as tarifas dos consultores a seguir indicados.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Empresa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Local de estabelecimento</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Sítio Web</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Correio eletrónico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w:t>
            </w:r>
            <w:proofErr w:type="spellStart"/>
            <w:r>
              <w:rPr>
                <w:rFonts w:ascii="Arial" w:hAnsi="Arial"/>
                <w:sz w:val="20"/>
              </w:rPr>
              <w:t>Services</w:t>
            </w:r>
            <w:proofErr w:type="spellEnd"/>
            <w:r>
              <w:rPr>
                <w:rFonts w:ascii="Arial" w:hAnsi="Arial"/>
                <w:sz w:val="20"/>
              </w:rPr>
              <w:t xml:space="preserve">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619F7290"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proofErr w:type="spellStart"/>
            <w:r>
              <w:rPr>
                <w:rFonts w:ascii="Arial" w:hAnsi="Arial"/>
                <w:sz w:val="20"/>
              </w:rPr>
              <w:t>Hilversum</w:t>
            </w:r>
            <w:proofErr w:type="spellEnd"/>
            <w:r>
              <w:rPr>
                <w:rFonts w:ascii="Arial" w:hAnsi="Arial"/>
                <w:sz w:val="20"/>
              </w:rPr>
              <w:t>,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3CFAE39E"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7FFAEE0D"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 xml:space="preserve">Stern </w:t>
            </w:r>
            <w:proofErr w:type="spellStart"/>
            <w:r>
              <w:rPr>
                <w:rFonts w:ascii="Arial" w:hAnsi="Arial"/>
                <w:sz w:val="20"/>
              </w:rPr>
              <w:t>Energy</w:t>
            </w:r>
            <w:proofErr w:type="spellEnd"/>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proofErr w:type="spellStart"/>
            <w:r>
              <w:rPr>
                <w:rFonts w:ascii="Arial" w:hAnsi="Arial"/>
                <w:sz w:val="20"/>
              </w:rPr>
              <w:t>n.a</w:t>
            </w:r>
            <w:proofErr w:type="spellEnd"/>
            <w:r>
              <w:rPr>
                <w:rFonts w:ascii="Arial" w:hAnsi="Arial"/>
                <w:sz w:val="20"/>
              </w:rPr>
              <w:t>.</w:t>
            </w:r>
          </w:p>
        </w:tc>
        <w:tc>
          <w:tcPr>
            <w:tcW w:w="2266" w:type="dxa"/>
            <w:tcMar>
              <w:top w:w="28" w:type="dxa"/>
              <w:bottom w:w="28" w:type="dxa"/>
            </w:tcMar>
            <w:vAlign w:val="center"/>
          </w:tcPr>
          <w:p w14:paraId="0808A1C5" w14:textId="588B57C4"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9548F1">
      <w:pPr>
        <w:pStyle w:val="MH1"/>
      </w:pPr>
      <w:bookmarkStart w:id="84" w:name="_Toc180577284"/>
      <w:r>
        <w:lastRenderedPageBreak/>
        <w:t>Anexo 9 – Síntese das coberturas do seguro STR</w:t>
      </w:r>
      <w:bookmarkEnd w:id="84"/>
    </w:p>
    <w:p w14:paraId="6661C4AB" w14:textId="77777777" w:rsidR="00027167" w:rsidRPr="004C0EBD" w:rsidRDefault="00027167" w:rsidP="00027167"/>
    <w:p w14:paraId="163D15A6" w14:textId="1FF9D596" w:rsidR="00DE7E3C" w:rsidRPr="00536BD4" w:rsidRDefault="00DE7E3C" w:rsidP="009548F1">
      <w:pPr>
        <w:pStyle w:val="MH3"/>
        <w:rPr>
          <w:szCs w:val="24"/>
        </w:rPr>
      </w:pPr>
      <w:bookmarkStart w:id="85" w:name="_Toc180577285"/>
      <w:r>
        <w:t>Secção I: As obras</w:t>
      </w:r>
      <w:bookmarkEnd w:id="85"/>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As obras são as acordadas no contrato de construção. O montante seguro para as obras de construção é constituído pelos custos das reparações para o restauro ao estado anterior aos danos.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Riscos cobertos por uma apólice STR: inundações, vento, sismos, danos causados pela água e bolores, defeitos de construção e negligência.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O seguro não cobre o desgaste normal nem a negligência deliberada.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Interrupção antecipada das operações (facultativo)</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Esta cobertura abrange qualquer perda financeira do segurado resultante da interrupção do trabalho contratado, que cause atrasos no início programado das operações comerciais.</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Secção II: Responsabilidade civil</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A cláusula de responsabilidade civil abrange a responsabilidade do segurado </w:t>
      </w:r>
      <w:r>
        <w:rPr>
          <w:rFonts w:ascii="Arial" w:hAnsi="Arial"/>
          <w:b/>
          <w:color w:val="104D54"/>
        </w:rPr>
        <w:t>e de outras partes</w:t>
      </w:r>
      <w:r>
        <w:rPr>
          <w:rFonts w:ascii="Arial" w:hAnsi="Arial"/>
          <w:color w:val="104D54"/>
        </w:rPr>
        <w:t xml:space="preserve"> </w:t>
      </w:r>
      <w:r>
        <w:rPr>
          <w:rFonts w:ascii="Arial" w:hAnsi="Arial"/>
          <w:color w:val="000000" w:themeColor="text1"/>
        </w:rPr>
        <w:t>– por exemplo, os contratantes – perante terceiros por acontecimentos relacionados com a execução do trabalho, tais como:</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danos pessoais;</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perda, dano ou destruição de bens materiais.</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Além disso, existe também a responsabilidade dos segurados em relação uns aos outros. Se uma parte contratante causar danos ao cliente (ambos segurados ao abrigo da apólice), essa parte contratante pode apresentar um pedido de indemnização ao abrigo da apólice, uma vez que a sua responsabilidade perante o cliente está coberta.</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Secção III: Propriedade existente do cliente</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Danos nos bens existentes do cliente resultantes das obras seguradas. Por conseguinte, os danos devem ser uma consequência direta dos trabalhos realizados.</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Secção IV: Materiais do contratante</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Danos nos equipamentos do contratante causados por acontecimentos externos, como tempestades, incêndio e roubo. Este equipamento inclui andaimes, estruturas, contentores, abrigos, ferramentas, etc., que têm de estar no estaleiro como parte das obras.</w:t>
      </w:r>
      <w:r>
        <w:rPr>
          <w:rFonts w:ascii="Arial" w:hAnsi="Arial"/>
          <w:color w:val="000000" w:themeColor="text1"/>
          <w:sz w:val="27"/>
        </w:rPr>
        <w:t xml:space="preserve"> </w:t>
      </w:r>
      <w:r>
        <w:rPr>
          <w:rFonts w:ascii="Arial" w:hAnsi="Arial"/>
          <w:color w:val="000000" w:themeColor="text1"/>
        </w:rPr>
        <w:t xml:space="preserve">Excluem-se: estruturas de vela e flutuação, dragas, </w:t>
      </w:r>
      <w:r>
        <w:rPr>
          <w:rFonts w:ascii="Arial" w:hAnsi="Arial"/>
          <w:i/>
          <w:iCs/>
          <w:color w:val="000000" w:themeColor="text1"/>
        </w:rPr>
        <w:t>bulldozers</w:t>
      </w:r>
      <w:r>
        <w:rPr>
          <w:rFonts w:ascii="Arial" w:hAnsi="Arial"/>
          <w:color w:val="000000" w:themeColor="text1"/>
        </w:rPr>
        <w:t xml:space="preserve">, gruas e outros meios de transporte com propulsão mecânica.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Secção V: Bens da administração e do pessoal</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Danos em bens pessoais pertencentes à direção e ao pessoal do segurado, ocorridos no local e causados por acontecimentos externos, como tempestades e furtos.</w:t>
      </w:r>
      <w:r>
        <w:rPr>
          <w:rFonts w:ascii="Arial" w:hAnsi="Arial"/>
          <w:color w:val="000000" w:themeColor="text1"/>
          <w:sz w:val="27"/>
        </w:rPr>
        <w:t xml:space="preserve"> </w:t>
      </w:r>
      <w:r>
        <w:rPr>
          <w:rFonts w:ascii="Arial" w:hAnsi="Arial"/>
          <w:color w:val="000000" w:themeColor="text1"/>
        </w:rPr>
        <w:t>Excluem-se:</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dinheiro e documentos valiosos, etc.,</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veículos com propulsão mecânica.</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Secção VI: Transportes</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lastRenderedPageBreak/>
        <w:t>Esta secção abrange os danos ou roubos de materiais de construção durante o transporte.</w:t>
      </w:r>
      <w:r>
        <w:rPr>
          <w:rFonts w:ascii="Arial" w:hAnsi="Arial"/>
        </w:rPr>
        <w:br/>
      </w:r>
      <w:r>
        <w:rPr>
          <w:rFonts w:ascii="Arial" w:hAnsi="Arial"/>
          <w:color w:val="000000" w:themeColor="text1"/>
        </w:rPr>
        <w:t>Os fatores importantes para a cobertura nesta secção são os seguintes:</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o transporte deve ser realizado por conta e risco do segurado;</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0"/>
          <w:headerReference w:type="default" r:id="rId21"/>
          <w:footerReference w:type="even" r:id="rId22"/>
          <w:footerReference w:type="default" r:id="rId23"/>
          <w:headerReference w:type="first" r:id="rId24"/>
          <w:footerReference w:type="first" r:id="rId25"/>
          <w:pgSz w:w="11906" w:h="16838" w:code="9"/>
          <w:pgMar w:top="1417" w:right="1417" w:bottom="1417" w:left="1417" w:header="709" w:footer="709" w:gutter="0"/>
          <w:pgNumType w:start="0"/>
          <w:cols w:space="708"/>
          <w:titlePg/>
          <w:docGrid w:linePitch="360"/>
        </w:sectPr>
      </w:pPr>
      <w:r>
        <w:rPr>
          <w:rFonts w:ascii="Arial" w:hAnsi="Arial"/>
          <w:color w:val="000000" w:themeColor="text1"/>
        </w:rPr>
        <w:t>a cobertura deve abranger o período desde a carga até à descarga no local.</w:t>
      </w:r>
      <w:bookmarkEnd w:id="0"/>
    </w:p>
    <w:p w14:paraId="3B1999A5" w14:textId="2CD3DCE2" w:rsidR="00026952" w:rsidRPr="007061E0" w:rsidRDefault="00026952" w:rsidP="00A77B5C">
      <w:pPr>
        <w:pStyle w:val="MH1"/>
        <w:rPr>
          <w:rFonts w:eastAsia="Aptos"/>
          <w:kern w:val="2"/>
          <w:sz w:val="16"/>
          <w:szCs w:val="16"/>
          <w14:ligatures w14:val="standardContextual"/>
        </w:rPr>
      </w:pPr>
    </w:p>
    <w:sectPr w:rsidR="00026952" w:rsidRPr="007061E0" w:rsidSect="005E0F9F">
      <w:headerReference w:type="even" r:id="rId26"/>
      <w:headerReference w:type="default" r:id="rId27"/>
      <w:headerReference w:type="first" r:id="rId28"/>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O presente relatório é a versão 1.0, podendo vir a ser acrescentados nomes adicionais.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Ver também: </w:t>
      </w:r>
      <w:hyperlink r:id="rId1" w:history="1">
        <w:r>
          <w:rPr>
            <w:rFonts w:ascii="Arial" w:hAnsi="Arial"/>
            <w:color w:val="3DC3C6"/>
            <w:u w:val="single"/>
          </w:rPr>
          <w:t>UvW 2021-XX Praktische handreiking ZOW sjabloon UvW versie jan 2022.pdf (stowa.nl)</w:t>
        </w:r>
      </w:hyperlink>
      <w:r>
        <w:rPr>
          <w:rFonts w:ascii="Arial" w:hAnsi="Arial"/>
          <w:color w:val="3DC3C6"/>
        </w:rPr>
        <w:t xml:space="preserve">  </w:t>
      </w:r>
      <w:r>
        <w:rPr>
          <w:rFonts w:ascii="Arial" w:hAnsi="Arial"/>
        </w:rPr>
        <w:br/>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Por exemplo: Tibber, ANWB Energy, NextEnergy,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Por exemplo: Edmij, Energypool, Scholt, Sympower</w:t>
      </w:r>
    </w:p>
  </w:footnote>
  <w:footnote w:id="5">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Se alugar um telhado ou um terreno a um promotor de um projeto fotovoltaico, essa parte será responsável pelo financiamento.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28776BC6"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458502722" name="Picture 458502722" descr="Retângulo azul com rebordo branc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COMUNIDADE DE ADQUIRENTES PÚBLICOS</w:t>
    </w:r>
    <w:r>
      <w:rPr>
        <w:rFonts w:ascii="Arial" w:hAnsi="Arial"/>
        <w:color w:val="104D55"/>
      </w:rPr>
      <w:tab/>
      <w:t xml:space="preserve">                           </w:t>
    </w:r>
    <w:r>
      <w:rPr>
        <w:rFonts w:ascii="Arial" w:hAnsi="Arial"/>
        <w:b/>
        <w:color w:val="DDE3E2"/>
      </w:rPr>
      <w:t>FASES PRELIMINARES DE UM PROJETO FOTOVOLTAICO</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991436859" name="Picture 991436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COMUNIDADE DE ADQUIRENTES PÚBLICOS</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FASES PRELIMINARES DE UM PROJETO FOTOVOLTAICO</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pt-PT" w:vendorID="64" w:dllVersion="0" w:nlCheck="1" w:checkStyle="0"/>
  <w:activeWritingStyle w:appName="MSWord" w:lang="fr-BE"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17D9E"/>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D6E95"/>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2438F"/>
    <w:rsid w:val="00635E05"/>
    <w:rsid w:val="00643D1E"/>
    <w:rsid w:val="00647B2F"/>
    <w:rsid w:val="006612B9"/>
    <w:rsid w:val="00666E79"/>
    <w:rsid w:val="006678CB"/>
    <w:rsid w:val="006776DF"/>
    <w:rsid w:val="00681240"/>
    <w:rsid w:val="00681554"/>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A7469"/>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22C4"/>
    <w:rsid w:val="00853D94"/>
    <w:rsid w:val="00854620"/>
    <w:rsid w:val="00861113"/>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548F1"/>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77B5C"/>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3A67"/>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t-P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9548F1"/>
  </w:style>
  <w:style w:type="character" w:customStyle="1" w:styleId="Style2Char">
    <w:name w:val="Style2 Char"/>
    <w:basedOn w:val="Heading1Char"/>
    <w:link w:val="Style2"/>
    <w:rsid w:val="009548F1"/>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9548F1"/>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9548F1"/>
    <w:pPr>
      <w:ind w:left="-851"/>
    </w:pPr>
  </w:style>
  <w:style w:type="character" w:customStyle="1" w:styleId="SUB1Char">
    <w:name w:val="SUB1 Char"/>
    <w:basedOn w:val="DefaultParagraphFont"/>
    <w:link w:val="SUB1"/>
    <w:rsid w:val="009548F1"/>
    <w:rPr>
      <w:rFonts w:ascii="Arial" w:eastAsia="Times New Roman" w:hAnsi="Arial" w:cs="Arial"/>
      <w:b/>
      <w:color w:val="104D54"/>
      <w:sz w:val="36"/>
      <w:szCs w:val="36"/>
      <w:lang w:eastAsia="nl-NL"/>
    </w:rPr>
  </w:style>
  <w:style w:type="character" w:customStyle="1" w:styleId="MH2Char">
    <w:name w:val="MH2 Char"/>
    <w:basedOn w:val="SUB1Char"/>
    <w:link w:val="MH2"/>
    <w:rsid w:val="009548F1"/>
    <w:rPr>
      <w:rFonts w:ascii="Arial" w:eastAsia="Times New Roman" w:hAnsi="Arial" w:cs="Arial"/>
      <w:b/>
      <w:color w:val="104D54"/>
      <w:sz w:val="36"/>
      <w:szCs w:val="36"/>
      <w:lang w:eastAsia="nl-NL"/>
    </w:rPr>
  </w:style>
  <w:style w:type="paragraph" w:customStyle="1" w:styleId="MH3">
    <w:name w:val="MH3"/>
    <w:basedOn w:val="SUB2"/>
    <w:link w:val="MH3Char"/>
    <w:qFormat/>
    <w:rsid w:val="009548F1"/>
  </w:style>
  <w:style w:type="character" w:customStyle="1" w:styleId="SUB2Char">
    <w:name w:val="SUB2 Char"/>
    <w:basedOn w:val="DefaultParagraphFont"/>
    <w:link w:val="SUB2"/>
    <w:rsid w:val="009548F1"/>
    <w:rPr>
      <w:rFonts w:ascii="Arial" w:eastAsia="Times New Roman" w:hAnsi="Arial" w:cs="Arial"/>
      <w:b/>
      <w:color w:val="104D54"/>
      <w:sz w:val="28"/>
      <w:szCs w:val="28"/>
      <w:lang w:eastAsia="nl-NL"/>
    </w:rPr>
  </w:style>
  <w:style w:type="character" w:customStyle="1" w:styleId="MH3Char">
    <w:name w:val="MH3 Char"/>
    <w:basedOn w:val="SUB2Char"/>
    <w:link w:val="MH3"/>
    <w:rsid w:val="009548F1"/>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9548F1"/>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eader" Target="header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footer" Target="footer2.xml"/><Relationship Id="rId28" Type="http://schemas.openxmlformats.org/officeDocument/2006/relationships/header" Target="header6.xml"/><Relationship Id="rId10" Type="http://schemas.openxmlformats.org/officeDocument/2006/relationships/diagramData" Target="diagrams/data1.xml"/><Relationship Id="rId19" Type="http://schemas.openxmlformats.org/officeDocument/2006/relationships/hyperlink" Target="http://www.zonopwater.nl/"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footer" Target="footer1.xml"/><Relationship Id="rId27" Type="http://schemas.openxmlformats.org/officeDocument/2006/relationships/header" Target="header5.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pt-PT" sz="1000"/>
            <a:t>I. </a:t>
          </a:r>
          <a:br>
            <a:rPr lang="pt-PT" sz="1000"/>
          </a:br>
          <a:r>
            <a:rPr lang="pt-PT" sz="1000"/>
            <a:t>Estudo preliminar</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pt-PT" sz="1000"/>
            <a:t>II.  </a:t>
          </a:r>
          <a:br>
            <a:rPr lang="pt-PT" sz="1000"/>
          </a:br>
          <a:r>
            <a:rPr lang="pt-PT" sz="1000"/>
            <a:t>Concurso público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pt-PT" sz="1000"/>
            <a:t>III.        Execução do projeto fotovoltaico</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pt-PT" sz="1000"/>
            <a:t>IV. </a:t>
          </a:r>
          <a:br>
            <a:rPr lang="pt-PT" sz="1000"/>
          </a:br>
          <a:r>
            <a:rPr lang="pt-PT" sz="900"/>
            <a:t>Fase </a:t>
          </a:r>
          <a:r>
            <a:rPr lang="pt-PT" sz="1000"/>
            <a:t>operacional</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pt-PT" sz="1000"/>
            <a:t>V.</a:t>
          </a:r>
          <a:br>
            <a:rPr lang="pt-PT" sz="1000"/>
          </a:br>
          <a:r>
            <a:rPr lang="pt-PT" sz="1000"/>
            <a:t>Fim de vida/desmantelamento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pt-PT" sz="1000" kern="1200"/>
            <a:t>I. </a:t>
          </a:r>
          <a:br>
            <a:rPr lang="pt-PT" sz="1000" kern="1200"/>
          </a:br>
          <a:r>
            <a:rPr lang="pt-PT" sz="1000" kern="1200"/>
            <a:t>Estudo preliminar</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pt-PT" sz="1000" kern="1200"/>
            <a:t>II.  </a:t>
          </a:r>
          <a:br>
            <a:rPr lang="pt-PT" sz="1000" kern="1200"/>
          </a:br>
          <a:r>
            <a:rPr lang="pt-PT" sz="1000" kern="1200"/>
            <a:t>Concurso público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pt-PT" sz="1000" kern="1200"/>
            <a:t>III.        Execução do projeto fotovoltaico</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pt-PT" sz="1000" kern="1200"/>
            <a:t>IV. </a:t>
          </a:r>
          <a:br>
            <a:rPr lang="pt-PT" sz="1000" kern="1200"/>
          </a:br>
          <a:r>
            <a:rPr lang="pt-PT" sz="900" kern="1200"/>
            <a:t>Fase </a:t>
          </a:r>
          <a:r>
            <a:rPr lang="pt-PT" sz="1000" kern="1200"/>
            <a:t>operacional</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pt-PT" sz="1000" kern="1200"/>
            <a:t>V.</a:t>
          </a:r>
          <a:br>
            <a:rPr lang="pt-PT" sz="1000" kern="1200"/>
          </a:br>
          <a:r>
            <a:rPr lang="pt-PT" sz="1000" kern="1200"/>
            <a:t>Fim de vida/desmantelamento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40</Pages>
  <Words>9250</Words>
  <Characters>51709</Characters>
  <Application>Microsoft Office Word</Application>
  <DocSecurity>0</DocSecurity>
  <Lines>3041</Lines>
  <Paragraphs>999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59960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2024-09-17T13:25:00Z</dcterms:created>
  <dcterms:modified xsi:type="dcterms:W3CDTF">2024-10-23T10:00:00Z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