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487ABE">
      <w:pPr>
        <w:pStyle w:val="MH1"/>
      </w:pPr>
      <w:bookmarkStart w:id="0" w:name="_Toc177480150"/>
      <w:r>
        <w:t>Liite 10 – Vaatimukset</w:t>
      </w:r>
      <w:bookmarkEnd w:id="0"/>
    </w:p>
    <w:p w14:paraId="245D9095" w14:textId="77777777" w:rsidR="007061E0" w:rsidRDefault="007061E0" w:rsidP="007061E0">
      <w:pPr>
        <w:rPr>
          <w:lang w:val="el-GR"/>
        </w:rPr>
      </w:pPr>
    </w:p>
    <w:p w14:paraId="7F7E8800" w14:textId="7D985EFF" w:rsidR="007061E0" w:rsidRPr="007061E0" w:rsidRDefault="007061E0" w:rsidP="00487ABE">
      <w:pPr>
        <w:pStyle w:val="MH2"/>
      </w:pPr>
      <w:bookmarkStart w:id="1" w:name="_Toc177480151"/>
      <w:r>
        <w:t>10.1 – Yleiset vaatimukset</w:t>
      </w:r>
      <w:bookmarkEnd w:id="1"/>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487ABE">
            <w:pPr>
              <w:pStyle w:val="MH3"/>
            </w:pPr>
            <w:bookmarkStart w:id="2" w:name="_Toc177480152"/>
            <w:r>
              <w:t>Vaatimukset – Yleistä</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Ohjeet hankkeen tilaajalle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Aurinkosähköhankkeiden vaatimusten ja hankintasopimuksen malli</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Muuta sinistä tekstiä keltaisissa kentissä.</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Valinnaiset vaatimukset vaaleanpunaisissa kentissä: poista kysymysmerkki sarakkeesta C, jos vaatimusta ei sisällytetä hankkeeseen. Muussa tapauksessa kirjoita ’kyllä’ tai ’1’. Vaatimuksen numero poistetaan, ja seuraavien vaatimusten numerointi muuttuu automaattisesti.</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Kun olet valmis, piilota sarakkeet D ja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Nro</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Kuvaus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Arvo</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Sisältyykö?</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Selitys tilaajalle</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Selitys tarjoajalle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Tarkistus /vahvistus</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Jos jätetään noudattamatta</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Hankkeen kohde ja kesto</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Kuvaus kohteesta / kohteista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Ks. liite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Laadi erillinen liite kunkin kohteen tiedoista: osoite, katon / maa-alueen tunnus, kohteen valokuvat, arvioitu DC-teho, verkkoliittymä, kattojen kantavuus jne.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Ensisijaiset tavoitteet: aurinkosähkölaitteisto</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Aurinkopaneelien DC-tehon on oltava suurempi kuin: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Ks. toteutettavuustutkimus</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Kaikkien asennettavien aurinkopaneelien yhteenlaskettu teho (wP), perustuen (yksipuolisten) paneelien etuosan tietolomakkeessa </w:t>
            </w:r>
            <w:r>
              <w:rPr>
                <w:rFonts w:ascii="Arial" w:hAnsi="Arial"/>
                <w:sz w:val="18"/>
              </w:rPr>
              <w:lastRenderedPageBreak/>
              <w:t xml:space="preserve">ilmoitettuun tehoon standarditestiolosuhteissa.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aurinkopaneelin tietolomake 2) laitteiston simulointiraportti, joka on tehty yleisesti </w:t>
            </w:r>
            <w:r>
              <w:rPr>
                <w:rFonts w:ascii="Arial" w:hAnsi="Arial"/>
                <w:sz w:val="18"/>
              </w:rPr>
              <w:lastRenderedPageBreak/>
              <w:t>hyväksytyllä ohjelmistolla (esim. PVsyst tai PV*SOL)</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Tarjous ei kelpaa</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Aurinkosähkölaitteiston tuottaman sähkön (kWh) on ensimmäisenä vuonna oltava enemmän kuin:</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Ks. toteutettavuustutkimus, jossa käytetään P50-arvoa (keskimääräinen tuotto pitkällä aikavälillä) simulointijaksolla 2010–2020.</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P50-arvo simulointijaksolla 2010–2020. Ehdotetun aurinkosähkölaitteiston ensimmäisen vuoden simulointiraportti, joka perustuu nimelliseen säteilyyn = keskimääräinen pitkän aikavälin odottama, P50, tehty yleisesti hyväksytyllä ohjelmistolla (PVsyst, PV*SOL tai vastaava).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Ehdotetun aurinkosähkölaitteiston simulointiraportti</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Aurinkosähkölaitteiston AC-tehon tulee olla alle: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vaatimus esimerkiksi tilanteissa, joissa tulee huomioida olemassa olevan verkkoliitännän koko. Huomautus: SDE++-hankkeissa sähköverkkoon voidaan kytkeä enintään 50 prosenttia paneelien DC-tehosta.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Onnistuu rajoittamalla vaihtosuuntaajat tiettyyn tehoon.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Laitteiston kunnossapito ja seuranta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Ensimmäisten 2–4 vuoden ajan</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Valinnainen vaatimus (usein sovellettu ja suositeltava), jonka mukaan asentaja vastaa kunnossapidosta ja seurannasta ensimmäisten 2–4 vuoden ajan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lastRenderedPageBreak/>
              <w:t>Turvallisuus</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Sähköasennuksen suunnittelu ja toteutus NEN 1010 -standardin (pienjännitesähköasennukset) mukaisesti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Urakoitsija varmistaa kohtuullisessa ajassa, että laitteisto on standardin mukainen. Muussa tapauksessa tämän tekee tilaaja urakoitsijan kustannuksella.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Urakoitsijan työturvallisuustodistus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Yrityksillä on oltava työturvallisuustodistus (Alankomaissa urakoitsijoiden turvallisuustodistus SCC), jos ne asentavat kiinnitysjärjestelmiä tai aurinkopaneeleita tai tekevät sähköteknisiä töitä.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Vastaava työnjohtaja esittää työturvallisuustodistuksen rakennusvaiheessa tilaajan pyynnöstä.</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keskeytys ja vaihto työnjohtajaan, jolla on vaadittava todistus, jolloin urakoitsija vastaa kaikista lisäkustannuksista.</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Turvallisuus – turvallinen työskentely korkealla (yli 2,5 metrissä) on varmistettava. </w:t>
            </w:r>
            <w:r>
              <w:rPr>
                <w:rFonts w:ascii="Arial" w:hAnsi="Arial"/>
                <w:color w:val="000000"/>
                <w:sz w:val="18"/>
              </w:rPr>
              <w:t>Jotta työntekijät voivat liikkua turvallisesti, paneeleja ei saa sijoittaa alle kahden metrin päähän katon reunasta. Riittävistä turvatoimista huolehditaan aina korkealla työskenneltäessä.</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SCC-järjestelmän SOS-todistus (työnjohtajien turvallisuustodistus). Työoloja koskevan Alankomaiden lain 3.16 §:n mukaan työntekijä ja työnantaja ovat yhdessä vastuussa turvallisesta työskentelystä korkealla.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Laitteiston asennussuunnitelma (sijoittelupiirustukset)</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Turvallisuus – voimassa olevia työterveyttä ja -turvallisuutta koskevia säädöksiä ja direktiivejä tulee noudattaa.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Näitä ovat muun muassa:</w:t>
            </w:r>
            <w:r>
              <w:rPr>
                <w:rFonts w:ascii="Arial" w:hAnsi="Arial"/>
                <w:color w:val="000000"/>
                <w:sz w:val="18"/>
              </w:rPr>
              <w:t xml:space="preserve"> 1) kansalliset työoloja koskevat lait, asetukset ja määräykset 2) EU:n direktiivit, jotka koskevat työntekijöiden terveyttä ja turvallisuutta (89/391/ETY), turvallisuutta tilapäisillä tai liikkuvilla rakennustyömailla (92/57/ETY), taakkojen käsittelyä (90/269/ETY), henkilönsuojaimia (89/656/ETY), työvälineitä (2009/104/EY), tärinästä aiheutuvia riskejä (2002/44/EY), koneita (2006/42/EY).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Sähköturvallisuus – turvallinen työskentely sähköasennuksen parissa: standardin NEN 3140</w:t>
            </w:r>
            <w:r>
              <w:rPr>
                <w:rFonts w:ascii="Arial" w:hAnsi="Arial"/>
                <w:color w:val="000000"/>
                <w:sz w:val="18"/>
              </w:rPr>
              <w:t xml:space="preserve"> (alle 1,5 kV DC ja alle 1 kV AC) </w:t>
            </w:r>
            <w:r>
              <w:rPr>
                <w:rFonts w:ascii="Arial" w:hAnsi="Arial"/>
                <w:b/>
                <w:color w:val="000000"/>
                <w:sz w:val="18"/>
              </w:rPr>
              <w:t>tai NEN 3840</w:t>
            </w:r>
            <w:r>
              <w:rPr>
                <w:rFonts w:ascii="Arial" w:hAnsi="Arial"/>
                <w:color w:val="000000"/>
                <w:sz w:val="18"/>
              </w:rPr>
              <w:t xml:space="preserve"> (yli 1,5 kV DC ja yli1 kV AC) </w:t>
            </w:r>
            <w:r>
              <w:rPr>
                <w:rFonts w:ascii="Arial" w:hAnsi="Arial"/>
                <w:b/>
                <w:color w:val="000000"/>
                <w:sz w:val="18"/>
              </w:rPr>
              <w:t>mukaisesti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Pienjännitelaitteistojen toimintaa koskevat vaatimukset. </w:t>
            </w:r>
            <w:r>
              <w:rPr>
                <w:rFonts w:ascii="Arial" w:hAnsi="Arial"/>
                <w:color w:val="000000"/>
                <w:sz w:val="18"/>
              </w:rPr>
              <w:t>NEN 3840:</w:t>
            </w:r>
            <w:r>
              <w:rPr>
                <w:rFonts w:ascii="Arial" w:hAnsi="Arial"/>
                <w:i/>
                <w:color w:val="000000"/>
                <w:sz w:val="18"/>
              </w:rPr>
              <w:t xml:space="preserve"> Suurjännitelaitteistojen toimintaa koskevat vaatimukset.</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Sähköturvallisuus </w:t>
            </w:r>
            <w:r>
              <w:rPr>
                <w:rFonts w:ascii="Arial" w:hAnsi="Arial"/>
                <w:color w:val="000000"/>
                <w:sz w:val="18"/>
              </w:rPr>
              <w:t xml:space="preserve">Sähköliitäntöjen parissa työskentelevien henkilöiden tulee olla pätevöityjä sähköasentajia.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Vastaavalla työnjohtajalla tulee olla riittävä ammattitaito ja tarvittavat todistukset. Urakoitsija nimeää asennuspäällikön, jolla on tarvittavat todistukset ja jonka nimi ja yhteystiedot </w:t>
            </w:r>
            <w:r>
              <w:rPr>
                <w:rFonts w:ascii="Arial" w:hAnsi="Arial"/>
                <w:sz w:val="18"/>
              </w:rPr>
              <w:lastRenderedPageBreak/>
              <w:t xml:space="preserve">ilmoitetaan tilaajalle. Tilaajan on toimitettava urakoitsijalle kytkentä- ja irtikytkentämenettelyt sekä muut työmenettelyt.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Urakoitsijan kokemus ja asiantuntemus</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Kokemus aurinkosähköhankkeista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Kolme vastaavaa hanketta, jotka on toteutettu tyydyttävästi</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Urakoitsija on neljän viime vuoden aikana toteuttanut kolme hanketta, jotka ovat olleet kooltaan vähintään 30 prosenttia haettavan urakan koosta (aurinkopaneelien määrästä).</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Urakoitsijan osoitus aiemmista hankkeista ja asiakastyytyväisyydestä (referenssit tai riippumattoman osapuolen laatima raportti käyttöönottotarkastuksesta)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Urakoitsijan vakuutus</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Rakennustyövakuutus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miljoonaa euroa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Rakennustyövakuutus kattaa urakkatöiden aikana aiheutuneet vahingot. Vakuutettu määrä on vähintään miljoona euroa ja vähintään yhtä suuri kuin sopimuksen arvioitu arvo. Joissakin tapauksissa vakuutetut määrät sisältyvät yleisiin ostoehtoihin. Jos näin on, samaa määrää voidaan käyttää myös tässä. Huomautus: tilaaja voi halutessaan ottaa oman rakennustyövakuutuksen. Katso myös yleiset ostoehdot.</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Vakuutustodistus esitetään ennen urakan aloittamista tilaajan pyynnöstä.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välitön keskeytys ja jatkaminen vasta, kun vakuutus on otettu</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Yrityksen vastuuvakuutus</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miljoonaa euroa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Kattaa urakoitsijan työntekijöiden tai tuotteiden aiheuttamat vahingot. Voi sisältää sekä vähäisiä että suuria vahinkoja (esim. henkilövahingot).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Vakuutustodistus esitetään ennen urakan aloittamista tilaajan pyynnöstä.</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välitön keskeytys ja jatkaminen vasta, kun vakuutus on otettu</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Laatu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Järjestelmän suunnittelu ja toteutus ISSO:n aurinkoenergiaa koskevan ohjekirjan viimeisimmän version (Handboek Zonne-energie, Hbze, esim. 2022) mukaisesti</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Vaatimus voidaan sisällyttää alle 1 MWp:n hankkeisiin. Se ei ole tarpeen erityisissä tai laajamittaisissa hankkeissa, joiden toteuttaja on suuri ja/tai kansainvälinen EPC-palvelu.</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Kierrätysmaksu ja käyttöiän päättyminen</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Kun aurinkopaneelien käyttöikä päättyy, niiden kierrätysmaksu maksetaan OPEN-säätiölle paneelien toimittajan kautta.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Kierrätysmaksu mainitaan 1. heinäkuuta 2023 alkaen alankomaisten tukkukauppiaiden ja muiden tuojien laskuissa.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Aurinkopaneeleita maahan tuovasta urakoitsijasta tulee Alankomaiden lain mukaan ”tuottaja”. Tässä tapauksessa tilaaja tekee rekisteröinti-ilmoituksen OPEN-säätiöön, jonka jälkeen hoidetaan hallinnolliset velvoitteet eli tuottajailmoitus ja kierrätysmaksun maksaminen. Jos urakoitsija hankkii aurinkopaneeleja alankomaalaiselta taholta, kuten tukkukauppiaalta, tämän on selvitettävä, onko kyseinen taho liittynyt OPEN-säätiöön. Yleiskatsaus kaikista rekisteröidyistä tuotteista on saatavilla OPEN-säätiön verkkosivustolla.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Jälkikäteen, valinnainen: tarkista toimitettujen aurinkopaneelien laskusta.</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Työolot, sääntöjen noudattaminen</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Aurinkopaneelien, vaihtosuuntaajien ja kiinnittimien toimittajien tai valmistajien antamia </w:t>
            </w:r>
            <w:r>
              <w:rPr>
                <w:rFonts w:ascii="Arial" w:hAnsi="Arial"/>
                <w:b/>
                <w:color w:val="000000"/>
                <w:sz w:val="18"/>
              </w:rPr>
              <w:t>asennusohjeita on noudatettava</w:t>
            </w:r>
            <w:r>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Kansallista työlainsäädäntöä</w:t>
            </w:r>
            <w:r>
              <w:rPr>
                <w:rFonts w:ascii="Arial" w:hAnsi="Arial"/>
                <w:color w:val="000000"/>
                <w:sz w:val="18"/>
              </w:rPr>
              <w:t xml:space="preserve"> on noudatettava, myös siirtotyöläisten osalta.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Jos työmaalla työskentelee siirtotyöläisiä, tilaajan on taattava näille riittävä majoitus ja palkka, eikä laissa säädettyjä työaikoja saa ylittää. </w:t>
            </w:r>
            <w:r>
              <w:rPr>
                <w:rFonts w:ascii="Arial" w:hAnsi="Arial"/>
                <w:color w:val="000000"/>
                <w:sz w:val="16"/>
              </w:rPr>
              <w:t>Majoitus: siirtotyöläisten ja tilaajan välillä ei saa olla suoraa tai välillistä taloudellista riippuvuutta, joka koskee majoitusta. Jos siirtotyöläiset palkataan työvoiman vuokrausyrityksen kautta, vuokrausyrityksen ja työntekijöiden välillä ei saa olla taloudellista riippuvuutta majoituksesta.</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Valinnaiset yleiset vaatimukset</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Emoyhtiön takaus: jos urakoitsijalla on enemmistöosakas, sen on toimittava urakoitsijan taloudellisena takaajana.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Kuuluu toisinaan jo tavanomaisiin ostoehtoihin. Emoyhtiön takauksen vaihtoehtona on käyttää vähäriskisiä maksuehtoja.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Kolmannen osapuolen .PAN-tiedosto</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suurissa hankkeissa (yli 20 MW). Digitaalinen versio tiedoista, joita PVsystin ja PV*SOLin kaltaiset ohjelmistot käyttävät aurinkopuiston tuotannon ennustamiseen. Riippumattomat .PAN-tiedostot mahdollistavat hankkeen suorituskykysuhteen ja tuoton tarkistamisen.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Turvallisuuskulttuuri: ISO 45001 tai Safety Culture Ladder -asteikko, vähintään taso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laajamittaisissa hankkeissa (yli 20 MWp), </w:t>
            </w:r>
            <w:r>
              <w:rPr>
                <w:rFonts w:ascii="Arial" w:hAnsi="Arial"/>
                <w:sz w:val="18"/>
              </w:rPr>
              <w:lastRenderedPageBreak/>
              <w:t xml:space="preserve">joissa on mukana suuria toteuttavia organisaatioita.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18052FEC" w14:textId="77777777" w:rsidR="002E2075" w:rsidRDefault="002E2075" w:rsidP="00E175BF">
      <w:pPr>
        <w:ind w:left="-810"/>
      </w:pPr>
    </w:p>
    <w:p w14:paraId="621D5786" w14:textId="77777777" w:rsidR="002E2075" w:rsidRDefault="002E2075" w:rsidP="00E175BF">
      <w:pPr>
        <w:ind w:left="-810"/>
      </w:pPr>
    </w:p>
    <w:p w14:paraId="78419BDC" w14:textId="77777777" w:rsidR="002E2075" w:rsidRDefault="002E2075" w:rsidP="00E175BF">
      <w:pPr>
        <w:ind w:left="-810"/>
      </w:pPr>
    </w:p>
    <w:p w14:paraId="4C8973C1" w14:textId="77777777" w:rsidR="002E2075" w:rsidRDefault="002E2075" w:rsidP="00E175BF">
      <w:pPr>
        <w:ind w:left="-810"/>
      </w:pPr>
    </w:p>
    <w:p w14:paraId="09437747" w14:textId="77777777" w:rsidR="002E2075" w:rsidRDefault="002E2075" w:rsidP="00E175BF">
      <w:pPr>
        <w:ind w:left="-810"/>
      </w:pPr>
    </w:p>
    <w:p w14:paraId="45B4253B" w14:textId="77777777" w:rsidR="002E2075" w:rsidRDefault="002E2075" w:rsidP="00E175BF">
      <w:pPr>
        <w:ind w:left="-810"/>
      </w:pPr>
    </w:p>
    <w:p w14:paraId="010611D4" w14:textId="77777777" w:rsidR="002E2075" w:rsidRDefault="002E2075"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D50D33" w:rsidRDefault="00B32DA3" w:rsidP="00E175BF">
      <w:pPr>
        <w:ind w:left="-810"/>
      </w:pPr>
    </w:p>
    <w:p w14:paraId="070C99C5" w14:textId="2A6B018F" w:rsidR="00CE1B5F" w:rsidRPr="00D50D33" w:rsidRDefault="00CE1B5F" w:rsidP="00E175BF">
      <w:pPr>
        <w:ind w:left="-810"/>
      </w:pPr>
    </w:p>
    <w:p w14:paraId="61116120" w14:textId="646CBE17" w:rsidR="00CE1B5F" w:rsidRPr="00D50D33"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487ABE">
      <w:pPr>
        <w:pStyle w:val="MH2"/>
      </w:pPr>
      <w:bookmarkStart w:id="4" w:name="_Toc177480153"/>
      <w:r>
        <w:lastRenderedPageBreak/>
        <w:t>10.2 – Yleiset vaatimukset</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487ABE">
            <w:pPr>
              <w:pStyle w:val="MH3"/>
            </w:pPr>
            <w:bookmarkStart w:id="5" w:name="_Toc177480154"/>
            <w:r>
              <w:t>Vaatimukset – Työ</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Ohjeet hankkeen tilaajalle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Aurinkosähköhankkeiden vaatimusten ja hankintasopimuksen malli  </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Muuta sinistä tekstiä keltaisissa kentissä.</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D50D33" w:rsidRDefault="000D5D07" w:rsidP="000D5D07">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D50D33" w:rsidRDefault="000D5D07" w:rsidP="000D5D07">
            <w:pPr>
              <w:spacing w:line="240" w:lineRule="auto"/>
              <w:rPr>
                <w:rFonts w:ascii="Calibri" w:hAnsi="Calibri" w:cs="Calibri"/>
                <w:lang w:val="en-IE"/>
              </w:rPr>
            </w:pPr>
            <w:r w:rsidRPr="00D50D33">
              <w:rPr>
                <w:rFonts w:ascii="Calibri" w:hAnsi="Calibri"/>
                <w:lang w:val="en-IE"/>
              </w:rPr>
              <w:t> </w:t>
            </w:r>
          </w:p>
        </w:tc>
        <w:tc>
          <w:tcPr>
            <w:tcW w:w="1027" w:type="dxa"/>
            <w:gridSpan w:val="2"/>
            <w:tcBorders>
              <w:top w:val="nil"/>
              <w:left w:val="nil"/>
              <w:bottom w:val="nil"/>
              <w:right w:val="nil"/>
            </w:tcBorders>
            <w:shd w:val="clear" w:color="000000" w:fill="FFFFFF"/>
            <w:hideMark/>
          </w:tcPr>
          <w:p w14:paraId="6F57326F" w14:textId="77777777" w:rsidR="000D5D07" w:rsidRPr="00D50D33" w:rsidRDefault="000D5D07" w:rsidP="000D5D07">
            <w:pPr>
              <w:spacing w:line="240" w:lineRule="auto"/>
              <w:rPr>
                <w:rFonts w:ascii="Arial" w:hAnsi="Arial" w:cs="Arial"/>
                <w:lang w:val="en-IE"/>
              </w:rPr>
            </w:pPr>
            <w:r w:rsidRPr="00D50D33">
              <w:rPr>
                <w:rFonts w:ascii="Arial" w:hAnsi="Arial"/>
                <w:lang w:val="en-IE"/>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Kun olet valmis, piilota sarakkeet D ja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Nro</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Kuvaus</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Milloin?</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Sisältyykö?</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Selitys tilaajalle</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Selitys tarjoajalle</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Tarkistus / vahvistus</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Jos jätetään noudattamatta</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Päivämäärät, suunnittelu ja konsultointi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Työt on aloitettava:</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Kohteen ... osalta ... kuukauden kuluessa hankintasopimuksesta / päivänä: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Voit liittää luettelon, jossa on kunkin kohteet päivämäärät.</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Hanke on saatettava alustavasti päätökseen:</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Kohteen ... osalta ... kuukauden kuluessa hankintasopimuksesta / päivänä: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Rakennustyön valmistuminen (’construction complete’): kaikki suunnitellut työt on tehty ja laitteisto on periaatteessa valmis </w:t>
            </w:r>
            <w:r>
              <w:rPr>
                <w:rFonts w:ascii="Arial" w:hAnsi="Arial"/>
                <w:sz w:val="18"/>
              </w:rPr>
              <w:lastRenderedPageBreak/>
              <w:t xml:space="preserve">toimittamaan sähköä verkkoon. Seuraavaksi tehdään käyttöönottotarkastus. Voit liittää luettelon, jossa on kunkin kohteet päivämäärät.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Jos valmistuminen viivästyy yli 30 vuorokautta, sovelletaan päiväkohtaista sakkoa, paitsi jos urakoitsija ei voi itse vaikuttaa viivästymiseen. Sakon suuruus on 0,1 prosenttia tarjoushinnasta 1. lokakuuta ja 31. maaliskuuta välisenä aikana ja 0,15 prosenttia tarjoushinnasta 1. huhtikuuta ja 30. syyskuuta välisenä aikana.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Suunnittelu – Työsuunnitelman laatiminen, vahvistus tilaajalta / loppukäyttäjältä ja suunnitelman toimitus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Hankintasopimuksen jälkeen, kuitenkin ennen töiden aloittamista</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Työn suorittaminen sovitun suunnitelman mukaisesti</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Suunnitelmaan voidaan tehdä muutoksia neuvottelun ja yhteisen hyväksynnän jälkeen.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Osallistuminen kokouksiin työmaalla tai muualla, jos tilaaja katsoo sen tarpeelliseksi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Asiakirjat, piirustukset, laskelmat</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Asiakirjojen, piirustusten ja laskelmien toimittaminen: </w:t>
            </w:r>
          </w:p>
          <w:p w14:paraId="1005A9B8" w14:textId="77777777" w:rsidR="00E05E85" w:rsidRPr="00D50D33"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yksiviivakaaviot (AC, DC ja yhteys olemassa olevaan laitteistoon)</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aurinkopaneelien sijoittelusuunnitelma</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kattohankkeissa rakennus- ja/tai tuulilaskelmat</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kaapelien tehonhäviön laskelmat (AC- ja DC-kaapelit)</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Hankintasopimuksen jälkeen, kuitenkin ennen töiden aloittamista</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aurinkopaneelien, vaihtosuuntaajien, tukirakenteen, kaapeloinnin ja mittaustaulujen tietolomakkeet</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kattohankkeissa: toteutussuunnitelma, johon kuuluu kuvaus aurinkopaneelien sijoittamisesta katolle asennuksen aikana ja nostosuunnitelma</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Riskinarviointi</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Työtä ja toteutettavia hallintatoimenpiteitä koskevan riskinarvioinnin laatiminen</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Hankintasopimuksen jälkeen, kuitenkin ennen töiden aloittamista</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Alankomaiden työololain 5 §:n mukaan urakoitsijan on tehtävä työmaakohtainen riskinarviointi. Aiempien riskinarviointien sisältöä voidaan usein käyttää uudelleen – noin 10 prosenttia mukautetaan hankekohtaisesti.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Riskinarviointiraportti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Urakoitsijan tekemät toteutustyöt</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Aurinkopaneelien ja kiinnitysjärjestelmän toimitus, asennus ja kiinnitys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Sopivan sähköjärjestelmän toimitus ja asennus, mukaan lukien kaapelit, vaihtosuuntaajat ja muut aurinkopaneeleihin liittyvät komponentit, sekä toimiva sähköliitäntä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Kytkentä olemassa olevaan sähköliittymään TAI uuteen sähköliittymään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Aurinkosähkölaitteiston rekisteröinti-ilmoitukset (verkonhaltijalle ja osoitteessa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Jäljennös rekisteröinti-ilmoituksesta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Kalibroidun kokonaistuotantomittarin liittäminen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Muut edellisiin osiin liittyvät työt, jos tarpeen ”avaimet käteen” -hankkeen toimittamiseksi</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Täydellinen loppuraportti, joka sisältää vaatimuksessa 6.1 kuvatut tiedot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Loppuraportti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Parannustyöt, jotta laitteisto vastaa tämän asiakirjan vaatimuksia (tarvittaessa, esimerkiksi jos käyttöönottotarkastuksessa havaitaan poikkeamia)</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Huomautus: tilaaja järjestää koko aurinkoenergialaitteiston riippumattoman käyttöönottotarkastuksen SCIOS Scope 12:n mukaisesti.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Kunnossapito ja seuranta ensimmäisten kahden (tai neljän) vuoden ajan, ks. taulukko 7 (Vaatimukset – kunnossapito ja seuranta)</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Kunnossapito- ja seurantaraportit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487ABE">
      <w:pPr>
        <w:pStyle w:val="MH2"/>
        <w:rPr>
          <w:lang w:val="en-US"/>
        </w:rPr>
      </w:pPr>
    </w:p>
    <w:bookmarkStart w:id="6" w:name="_Toc177480155"/>
    <w:p w14:paraId="51B385A8" w14:textId="6E6F6389" w:rsidR="00D109C4" w:rsidRDefault="00A11B94" w:rsidP="00487ABE">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6"/>
    </w:p>
    <w:p w14:paraId="2AF26C50" w14:textId="6F1B54CC" w:rsidR="00E14CBD" w:rsidRDefault="007061E0" w:rsidP="00487ABE">
      <w:pPr>
        <w:pStyle w:val="MH2"/>
      </w:pPr>
      <w:bookmarkStart w:id="7" w:name="_Toc177480156"/>
      <w:r>
        <w:t>10.3 – Vaatimukset – Työ</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487ABE">
            <w:pPr>
              <w:pStyle w:val="MH3"/>
            </w:pPr>
            <w:bookmarkStart w:id="8" w:name="_Toc177480157"/>
            <w:r>
              <w:t>Aurinkopaneeleja koskevat vaatimukset</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Aurinkosähköhankkeiden vaatimusten ja hankintasopimuksen malli</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Palaute / korjaukset / lisäykset: sähköpostitse osoitteeseen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Ohjeet hankkeen tilaajalle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Muuta sinistä tekstiä keltaisissa kentissä.</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Valinnaiset vaatimukset vaaleanpunaisissa kentissä: poista kysymysmerkki sarakkeesta C, jos vaatimusta ei sisällytetä hankkeeseen. Muussa tapauksessa kirjoita ’kyllä’ tai ’1’. Vaatimuksen numero poistetaan, ja seuraavien vaatimusten numerointi muuttuu automaattisesti.</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Kun olet valmis, piilota sarakkeet D ja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Nro</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Kuvaus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Sisältyykö?</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Selitys tilaajalle</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Selitys tarjoajalle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Tarkistus ja vahvistus</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Jos jätetään noudattamatta</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Laatu ja turvallisuus</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Paneelien on oltava standardien IEC 61215, IEC 61730-1 ja IEC 61730-2 mukaisia. IEC 61730-2 -standardin mukaisen turvallisuusluokan on oltava vähintään II.</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on vähimmäislaatuvaatimus, joka osoittaa, että paneeli kestää vähintään viisi vuotta. IEC 61730 koskee aurinkopaneelien sähköturvallisuus- ja paloluokkia.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Vakiovaatimus: kaikki tukkukauppiaiden kautta hankittavat tavanomaiset aurinkopaneelit ovat edellä mainittujen standardien mukaisia. Ilmoitetaan tietolomakkeessa.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Loppuraportti, johon on liitettävä aurinkopaneelin tietolomake, tai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Sähköntuottotakuu: vähintään 85 prosenttia uuden paneelin tuotosta 25 vuoden kuluttua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Lähes kaikki tavanomaiset aurinkopaneelit täyttävät tämän vaatimuksen.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25 vuotta vanhan paneelin on tuotettava vähintään 85 prosenttia siitä, mitä se tuotti uutena.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Sähköntuottotakuu, ks. loppuraportti ja käyttöönottotarkastus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DC-liittimien on oltava tyyppiä MC4 tai MC4-EVO sekä IEC 62852 -standardin mukaisia.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 ja MC4-EVO ovat yleisimmin käytetyt ja tutkitusti laadukkaat liitintyypit.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Vakiovaatimus, ks. aurinkopaneelin tietolomake. Varmista kuitenkin, että kaikissa DC-kaapeleissa käytetään täsmälleen samoja liittimiä (sama valmistaja ja tyyppi) ja että niitä voidaan ostaa erikseen.</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Aurinkopaneelin tietolomake, ks. loppuraportti ja käyttöönottotarkastus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Jos käytetään kiteisestä piistä valmistettuja P-tyypin kennoja, aurinkopaneelien on oltava standardin IEC 62804 (PID-resistenssi) mukaisia.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Aurinkopaneelien teho voi heikentyä huomattavasti PID-ilmiön vuoksi, jos niissä käytetään kiteisestä piistä valmistettuja P-tyypin kennoja (esim. PERC-kennot). Tämä estetään materiaalivalinnoilla ja testataan yllä mainitun standardin mukaisesti.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Jos tarjouksessa ehdotetaan kiteisestä piistä valmistettuja P-tyypin kennoja (esim. PERC-kennot), niiden on oltava standardin IEC 62804 mukaisia (ilmoitettu tietolomakkeessa). Huomautus: muun tyyppisiä kennoja (esim. HJT, Topcon, IBC, CdTe, CIGS, a-Si, n-PERT) ei tarvitse testata, koska PID-ilmiö ei koske niitä.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Vaihto vaatimukset täyttäviin aurinkopaneeleihin</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Kestävyys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Hiilijalanjälki enintään 550 kg Co</w:t>
            </w:r>
            <w:r>
              <w:rPr>
                <w:rFonts w:ascii="Arial" w:hAnsi="Arial"/>
                <w:b/>
                <w:color w:val="000000"/>
                <w:sz w:val="18"/>
                <w:vertAlign w:val="subscript"/>
              </w:rPr>
              <w:t>2</w:t>
            </w:r>
            <w:r>
              <w:rPr>
                <w:rFonts w:ascii="Arial" w:hAnsi="Arial"/>
                <w:b/>
                <w:color w:val="000000"/>
                <w:sz w:val="18"/>
              </w:rPr>
              <w:t>-ekv / kWp</w:t>
            </w:r>
            <w:r>
              <w:rPr>
                <w:rFonts w:ascii="Arial" w:hAnsi="Arial"/>
                <w:color w:val="000000"/>
                <w:sz w:val="18"/>
              </w:rPr>
              <w:t xml:space="preserve"> laskettuna Ranskan ympäristöviraston (ADEME) hallinnoimalla yksinkertaistetulla </w:t>
            </w:r>
            <w:r>
              <w:rPr>
                <w:rFonts w:ascii="Arial" w:hAnsi="Arial"/>
                <w:color w:val="000000"/>
                <w:sz w:val="18"/>
              </w:rPr>
              <w:lastRenderedPageBreak/>
              <w:t>hiilidioksidipäästöjen arviointimenetelmällä (</w:t>
            </w:r>
            <w:r>
              <w:rPr>
                <w:rFonts w:ascii="Arial" w:hAnsi="Arial"/>
                <w:i/>
                <w:color w:val="000000"/>
                <w:sz w:val="18"/>
              </w:rPr>
              <w:t>Evaluation carbone simplifiée</w:t>
            </w:r>
            <w:r>
              <w:rPr>
                <w:rFonts w:ascii="Arial" w:hAnsi="Arial"/>
                <w:color w:val="000000"/>
                <w:sz w:val="18"/>
              </w:rPr>
              <w:t>, ECS).</w:t>
            </w:r>
            <w:r>
              <w:rPr>
                <w:rFonts w:ascii="Arial" w:hAnsi="Arial"/>
                <w:b/>
                <w:color w:val="000000"/>
                <w:sz w:val="18"/>
              </w:rPr>
              <w:t xml:space="preserve"> </w:t>
            </w:r>
            <w:r>
              <w:rPr>
                <w:rFonts w:ascii="Arial" w:hAnsi="Arial"/>
                <w:color w:val="000000"/>
                <w:sz w:val="18"/>
              </w:rPr>
              <w:t xml:space="preserve">ADEMEn ohjesääntöjen (CRE4 / PPE2) mukaisesti laaditun todistuksen on oltava voimassa rakennustyön alkaessa.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Raja-arvo on sama kuin Ranskassa. Se vastaa noin puolta tavanomaisten paneelien hiilijalanjäljestä. Valinnanvaraa jää kuitenkin paljon, eivätkä </w:t>
            </w:r>
            <w:r>
              <w:rPr>
                <w:rFonts w:ascii="Arial" w:hAnsi="Arial"/>
                <w:sz w:val="18"/>
              </w:rPr>
              <w:lastRenderedPageBreak/>
              <w:t xml:space="preserve">lisäkustannukset ole suuret (esim. kiinalaisten Tier 1 -luokiteltujen valmistajien paneelit).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lastRenderedPageBreak/>
              <w:t xml:space="preserve">Kestävyysnäkökohtia ja kestävämpien aurinkopaneelien markkinatutkimusta koskevassa asiakirjassa mainitaan useita tuottajia, jotka täyttävät tämän vaatimuksen. Lukuisat muutkin </w:t>
            </w:r>
            <w:r>
              <w:rPr>
                <w:rFonts w:ascii="Arial" w:hAnsi="Arial"/>
                <w:color w:val="000000"/>
                <w:sz w:val="18"/>
              </w:rPr>
              <w:lastRenderedPageBreak/>
              <w:t xml:space="preserve">tuottajat voivat täyttää sen. ECS-todistusta voi pyytää valmistajan tai tukkumyyjän kautta.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Tarkistus loppuraportista, johon on liitettävä asennettujen aurinkopaneelien ECS-todistus, tai </w:t>
            </w:r>
            <w:r>
              <w:rPr>
                <w:rFonts w:ascii="Arial" w:hAnsi="Arial"/>
                <w:sz w:val="18"/>
              </w:rPr>
              <w:lastRenderedPageBreak/>
              <w:t>käyttöönottotarkastuksen yhteydessä</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Vaihto vaatimukset täyttäviin aurinkopaneeleihin</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Taustalevy, jossa ei ole PFAS-yhdisteitä</w:t>
            </w:r>
            <w:r>
              <w:rPr>
                <w:rFonts w:ascii="Arial" w:hAnsi="Arial"/>
                <w:color w:val="000000"/>
                <w:sz w:val="18"/>
              </w:rPr>
              <w:t xml:space="preserve"> Esimerkiksi lasilevy (lasi-lasi-aurinkopaneeleissa) tai muovikalvo, jossa ei ole käytetty fluoripolymeerejä.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Useimmat aurinkopaneelit sisältävät polyvinylideenifluoridia (Tedlar), polyvinyylifluoridia (Kynar) tai muita fluoripolymeerejä ja fluoripohjaisia pinnoitteita.  Nämä PFAS-yhdisteet voivat joutua ympäristöön tuotannon tai käytön aikana (jauheena tai irrotessaan pinnoilta) ja aiheuttaa terveyshaittoja. Paneeleita, jotka eivät sisällä PFAS-yhdisteitä, on saatavilla samaan hintaan tai van pienin lisäkustannuksin.</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Kestävyysnäkökohtia ja kestävämpien aurinkopaneelien markkinatutkimusta koskevassa asiakirjassa annetaan esimerkkejä paneeleista, jotka täyttävät tämän vaatimuksen. Ota yhteyttä tukkumyyjään tai tuottajaan. Jos aurinkopaneelin taustalevynä käytetään muovikalvoa, jonka materiaalia ei mainita tietolomakkeessa, paneelien valmistajalta vaaditaan erillinen vahvistus siitä, ettei muovikalvo sisällä PFAS-yhdisteitä.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Tarkistus loppuraportista, johon on liitettävä aurinkopaneelin tietolomake tai valmistajan vahvistus, tai käyttöönottotarkastuksen yhteydessä</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Aurinkopaneelien valinnaiset vaatimukset</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Paneelien on oltava standardin IEC 62716 mukaisia (ammoniakin kestävyys)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Ei yleensä tarpeen, mutta välttämätön kotieläintuotantoon tarkoitettujen rakennusten läheisyydessä. Paneeleilta vaaditaan ammoniakin kestävyyttä alueilla, joilla esiintyy korkeita ammoniakkipitoisuuksia, esimerkiksi kohteissa, joissa kasvatetaan kanoja, sikoja tai karjaa.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Sisältyy usein tietolomakkeisiin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Paneelien on oltava standardin IEC 61701 mukaisia (suolasumun kestävyys)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Ei yleensä tarpeen, mutta välttämätön rannikkoalueilla. Suolaisen ilman eli suolasumun kestävyys on tarpeen, jos laitteisto sijaitsee alle kilometrin päässä merestä.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Sisältyy usein tietolomakkeisiin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Taustalevyn tai -kalvon väri (näkyy kennojen välissä)</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Harvoin tarpeen. Kokonaan mustia paneeleja käytetään pääasiassa kaltevilla katoilla, jotka sijaitsevat näkyvillä paikoilla. Ne ovat hieman kalliimpia ja suorituskyvyltään jonkin verran heikompia kuin paneelit, joissa on valkoinen taustalevy tai -kalvo. Värilliset aurinkopaneelit ovat huomattavasti kalliimpia ja heikkotehoisempia.</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Aurinkopaneelin rungon väri</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Musta tai värillinen runko on harvoin tarpeen ja maksaa enemmän.</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D50D33"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w:lastRenderedPageBreak/>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487ABE">
      <w:pPr>
        <w:pStyle w:val="MH2"/>
      </w:pPr>
      <w:bookmarkStart w:id="9" w:name="_Toc177480158"/>
      <w:r>
        <w:t>10.4 – Aurinkopaneeleja koskevat vaatimukset</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487ABE">
            <w:pPr>
              <w:pStyle w:val="MH3"/>
            </w:pPr>
            <w:bookmarkStart w:id="10" w:name="_Toc177480159"/>
            <w:r>
              <w:t>Sähköasennusta, vaihtosuuntaajia, kaapeleita ja muita sähkökomponentteja koskevat vaatimukset</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Ohjeet hankkeen tilaajalle</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D50D33" w:rsidRDefault="00BF060B" w:rsidP="00BF060B">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851" w:type="dxa"/>
            <w:tcBorders>
              <w:top w:val="nil"/>
              <w:left w:val="nil"/>
              <w:bottom w:val="nil"/>
              <w:right w:val="nil"/>
            </w:tcBorders>
            <w:shd w:val="clear" w:color="000000" w:fill="FFFFFF"/>
            <w:hideMark/>
          </w:tcPr>
          <w:p w14:paraId="34CFC210" w14:textId="77777777" w:rsidR="00BF060B" w:rsidRPr="00D50D33" w:rsidRDefault="00BF060B" w:rsidP="00BF060B">
            <w:pPr>
              <w:spacing w:line="240" w:lineRule="auto"/>
              <w:rPr>
                <w:rFonts w:ascii="Calibri" w:hAnsi="Calibri" w:cs="Calibri"/>
                <w:lang w:val="en-IE"/>
              </w:rPr>
            </w:pPr>
            <w:r w:rsidRPr="00D50D33">
              <w:rPr>
                <w:rFonts w:ascii="Calibri" w:hAnsi="Calibri"/>
                <w:lang w:val="en-IE"/>
              </w:rPr>
              <w:t> </w:t>
            </w:r>
          </w:p>
        </w:tc>
        <w:tc>
          <w:tcPr>
            <w:tcW w:w="1198" w:type="dxa"/>
            <w:tcBorders>
              <w:top w:val="nil"/>
              <w:left w:val="nil"/>
              <w:bottom w:val="nil"/>
              <w:right w:val="nil"/>
            </w:tcBorders>
            <w:shd w:val="clear" w:color="000000" w:fill="FFFFFF"/>
            <w:hideMark/>
          </w:tcPr>
          <w:p w14:paraId="2154B8FB" w14:textId="77777777" w:rsidR="00BF060B" w:rsidRPr="00D50D33" w:rsidRDefault="00BF060B" w:rsidP="00BF060B">
            <w:pPr>
              <w:spacing w:line="240" w:lineRule="auto"/>
              <w:rPr>
                <w:rFonts w:ascii="Calibri" w:hAnsi="Calibri" w:cs="Calibri"/>
                <w:lang w:val="en-IE"/>
              </w:rPr>
            </w:pPr>
            <w:r w:rsidRPr="00D50D33">
              <w:rPr>
                <w:rFonts w:ascii="Calibri" w:hAnsi="Calibri"/>
                <w:lang w:val="en-IE"/>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Nro</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Kuvaus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Arvo</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Sisältyykö?</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Selitys tilaajalle</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Selitys tarjoajalle</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Tarkistus ja vahvistus</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Jos jätetään noudattamatta</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Sähköasennus</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Asennuksen on oltava turvallinen sekä standardien NEN 1010 (pienjännitesähköasennukset) ja NEN 7250 (aurinkosähköjärjestelmien </w:t>
            </w:r>
            <w:r>
              <w:rPr>
                <w:rFonts w:ascii="Arial" w:hAnsi="Arial"/>
                <w:b/>
                <w:sz w:val="18"/>
              </w:rPr>
              <w:lastRenderedPageBreak/>
              <w:t>integrointi kattoihin ja julkisivuihin) mukainen.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Järjestelmässä tulee olla DC-erotuskytkin kunnossapitotöitä varten. </w:t>
            </w:r>
            <w:r>
              <w:rPr>
                <w:rFonts w:ascii="Arial" w:hAnsi="Arial"/>
                <w:color w:val="000000"/>
                <w:sz w:val="18"/>
              </w:rPr>
              <w:t xml:space="preserve">Erotuskytkin asennetaan vaihtosuuntaajaan tai sen viereen.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Pitkien induktiosilmukoiden luomista positiivisen ja negatiivisen DC-kaapelin (punainen/musta) välille on vältettävä</w:t>
            </w:r>
            <w:r>
              <w:rPr>
                <w:rFonts w:ascii="Arial" w:hAnsi="Arial"/>
                <w:color w:val="000000"/>
                <w:sz w:val="18"/>
              </w:rPr>
              <w:t>. Kunkin paneeliketjun paluukaapeli kulkee samaa reittiä kuin moduulikaapeli, enintään metrin etäisyydellä moduulikaapelista.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DC-kaapelointi on merkittävä napaisuuden (musta/punainen tai positiivinen/negatiivinen) ja paneeliketjun numeron mukaan.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Järjestelmään on asennettava ylijännitesuoja (NEN 62305-4; IEC 62305).</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Ylijännitesuoja suojaa vaihtosuuntaajaa suoran tai epäsuoran salamaniskun aiheuttamalta tulipalolta.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Aurinkopaneelien asennus sarjaan</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Paneeleilla, jotka on liitetty vaihtosuuntaajaan sarjassa (yhdeksi ketjuksi), on oltava sama kallistuskulma ja suuntaus.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Vaihtosuuntaajat</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Vaihtosuuntaajien on oltava seuraavien standardien mukaisia: EN 50524, IEC61683, IEC 62109, EN 50438, IEC 60068.</w:t>
            </w:r>
            <w:r>
              <w:rPr>
                <w:rFonts w:ascii="Arial" w:hAnsi="Arial"/>
                <w:color w:val="000000"/>
                <w:sz w:val="18"/>
              </w:rPr>
              <w:t xml:space="preserve"> IEC 61683: tehonsäätölaitteiden hyötysuhteen mittaaminen. EN 50524: vaihtosuuntaajien tietolomakkeiden tiedot. IEC 62109: tehonmuuntimien turvallisuus. EN 50438: yleisen pienjännitejakeluverkon </w:t>
            </w:r>
            <w:r>
              <w:rPr>
                <w:rFonts w:ascii="Arial" w:hAnsi="Arial"/>
                <w:color w:val="000000"/>
                <w:sz w:val="18"/>
              </w:rPr>
              <w:lastRenderedPageBreak/>
              <w:t xml:space="preserve">kanssa rinnan käyvät mikrogeneraattorit. EN 60068: ympäristötestaus, suorituskyky odotuksenmukaisissa kuljetus-, varastointi- ja käyttöolosuhteissa.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Vakiovaatimus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Useimmat vaihtosuuntaajat ovat näiden vaatimusten mukaisia (ilmoitettu </w:t>
            </w:r>
            <w:r>
              <w:rPr>
                <w:rFonts w:ascii="Arial" w:hAnsi="Arial"/>
                <w:sz w:val="18"/>
              </w:rPr>
              <w:lastRenderedPageBreak/>
              <w:t>tietolomakkeessa)</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Vaihtosuuntaajilla on oltava valmistajan takuu, joka on vähintään:</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vuotta</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Sähkömagneettista yhteensopivuutta koskevat vaatimukset </w:t>
            </w:r>
            <w:r>
              <w:rPr>
                <w:rFonts w:ascii="Arial" w:hAnsi="Arial"/>
                <w:color w:val="000000"/>
                <w:sz w:val="18"/>
              </w:rPr>
              <w:t>Vaihtosuuntaajien, aurinkopaneelien ja muiden laitteiden on täytettävä sähkömagneettista yhteensopivuutta (EMC) koskevat vaatimukset ja oltava standardien EN-IEC 61000-6-2 (häiriön sieto) ja EN-IEC 61000-6-4 (häiriön päästö) mukaisia.</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Jos järjestelmä asennetaan katolle, vaihtosuuntaaja on asennettava vähintään IP65-luokituksen mukaisesti ja suojattava myös auringonvalolta. Lisäksi on noudatettava muita valmistajan vaatimuksia.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Vaihtosuuntaajien eurooppalaisen hyötysuhteen tulee olla vähintään 98 prosenttia.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Vaihtosuuntaajat on varustettava valokaarivikojen tunnistuslaitteella tai kaikissa niihin liitetyissä aurinkopaneeliketjuissa on oltava ulkoinen valokaarivikojen tunnistuslaite.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Vaihtosuuntaajan valmistajan tulee olla luotettava yritys, joka on ISO 9001- ja ISO 14001 -sertifioitu.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Varaosat toimitetaan tavallisissa olosuhteissa 72 tunnin kuluessa (esim. </w:t>
            </w:r>
            <w:r>
              <w:rPr>
                <w:rFonts w:ascii="Arial" w:hAnsi="Arial"/>
                <w:b/>
                <w:sz w:val="18"/>
              </w:rPr>
              <w:lastRenderedPageBreak/>
              <w:t xml:space="preserve">EU:ssa sijaitsevalta huoltokeskuksen varastolta).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Vaihtosuuntaajien on oltava verkonhaltijan ohjeiden mukaisia ja sovelluttava paikalliseen sähköverkkoon. Niissä on oltava CE-merkintä merkiksi EU:n vaatimusten täyttämisestä.</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Vaihtosuuntaajan AC-puolelle on asennettava kytkin, joka kytkee sen jännitteettömäksi esimerkiksi kunnossapitoa varten.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Vaihtosuuntaajissa on oltava VDE0126-1-standardin mukainen integroitu irtikytkentälaite.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Drenthessä, Groningenissa, Frieslandissa, Overijsselissa ja Gelderlandissa: jos aurinkosähkölaitteisto sijaitsee Astronin määrittämällä suojavyöhykkeellä, vaihtosuuntaajien on oltava Astronin vaatimusten mukaisia. Katso luettelo hyväksytyistä vaihtosuuntaajista: https://www.astron.nl/beschermingszones.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Vaihtosuuntaajien väliin on jätettävä tilaa valmistajan vaatimusten mukaisesti.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Urakoitsija ehdottaa vaihtosuuntaajien sijaintia ja tekee päätöksen yhdessä tilaajan kanssa.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Huolto- ja kunnossapitotöiden tekijöillä tulee olla esteetön pääsy vaihtosuuntaajien luo.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Vaihtosuuntaajat on eristettävä akustisesti seinästä tai rungosta, jotta vältetään seinien, rakenteiden tai lattioiden kanssa syntyvät kosketusäänet.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Kohteissa, joissa melu voi aiheuttaa haittaa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Vaihtosuuntaajan on kestettävä suolasumua standardin IEC 60069-2-52 mukaisesti.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Jos laitteisto sijaitsee lähellä merta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Jos järjestelmä asennetaan katolle, vaihtosuuntaaja on asennettava vähintään IP65-luokituksen mukaisesti ja suojattava myös auringonvalolta. Lisäksi on noudatettava muita valmistajan vaatimuksia.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on tarpeen, jotta myrsky tai vastaava ei vahingoita vaihtosuuntaajaa. IPx5 estää vaihtosuuntaajaa vahingoittumasta esimerkiksi silloin, jos sitä yritetään pestä vesiletkulla.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Vaihtosuuntaajat on suojattava niin, että ne ovat suljettuja ja asiattomien henkilöiden ulottumattomissa.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Vaihtosuuntaajien suojauksella estetään väärinkäyttö, varkaudet ja ilkivalta.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Kaapelit, liittimet, kanavat</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DC-liittimien on oltava tyyppiä MC4 ja IEC 62852 -standardin mukaisia.</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Toisiinsa liittyvien DC-liittimien (uros/naaras), on oltava samaa tyyppiä ja peräisin samalta valmistajalta.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DC-liittimillä on oltava vähintään IP65-luokitus.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Kaapeloinnin on oltava standardin IEC 60364-7-712 kohdan 712.522 (aurinkosähköjärjestelmien vaatimukset), IEC 60364-5-52 (rakennusten sähköjohdot), IEC 60332-1-2 (palonkestävyys) ja EN 50396 (muut kuin sähkötestit) mukaista.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DC-kaapeleiden on sovelluttava aurinkoenergiasovelluksiin ja oltava UV- ja otsoninkestäviä.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DC-puolen komponenttien (myös kaapelien ja liittimien) on oltava suunniteltu kestämään jännite, joka on vähintään 1,15 kertaa suurempi kuin avoimen piirin jännite.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Eri kaapelityyppejä</w:t>
            </w:r>
            <w:r>
              <w:rPr>
                <w:rFonts w:ascii="Arial" w:hAnsi="Arial"/>
                <w:color w:val="000000"/>
                <w:sz w:val="18"/>
              </w:rPr>
              <w:t xml:space="preserve"> (esim. DC-, AC- ja datakaapelit) on käytettävä erillään toisistaan.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Käyttöönottotarkastus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Kaapelit mitoitetaan NEN 1010 -standardin (pienjännitesähköasennukset) mukaisesti.</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Kaapeloinnin häviöt: enimmäiskuormituksessa DC-puolella saa olla enintään kahden prosentin häviö ja AC-puolella enintään yhden prosentin häviö.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Voidaan muuttaa erityistilanteissa. Esimerkiksi jos käytetään erittäin pitkiä kaapeleita, suurempi häviö voi olla hyväksyttävä kustannus-hyötytasapainon kannalta.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Jos laitteistoon kuuluu useita paneeliketjuja, ketjuttamisessa käytetyt kaapelit on suojattava ylikuormitusvirroilta EIC 60364-7-712-standardin mukaisesti plus- ja miinuspuolen sulakkeilla tai riittävällä mitoituksella.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Kaapeleiden paloluokituksen on oltava rakennustuoteasetuksessa määritelty Cca-luokka NTA 8012 -standardin mukaisesti.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kiinnitetään mekaanisesti asianmukaisella tavalla.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reititetään kaapelikanavien tai -putkien avulla. Kaapelireitin täyttöaste on enintään 80 prosenttia uusilla </w:t>
            </w:r>
            <w:r>
              <w:rPr>
                <w:rFonts w:ascii="Arial" w:hAnsi="Arial"/>
                <w:b/>
                <w:sz w:val="18"/>
              </w:rPr>
              <w:lastRenderedPageBreak/>
              <w:t>reiteillä ja 100 prosenttia olemassa olevilla reiteillä.</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Kaapelikanavia ei saa sijoittaa suoraan kattoa vasten. Ne on kiinnitettävä kattoon tai alarakenteeseen kumisuojuksilla tai -jaloilla, eikä niiden saa antaa roikkua vapaasti.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Kaikki kaapelikanavat sijoitetaan korkeammalle kuin katolle kertyvän veden enimmäiskorkeus.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Kaapelit asennetaan kaartumaan enintään 90 astetta.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asennetaan siten, että niihin tai liittimiin pääsee mahdollisimman vähän kosteutta tai nesteitä.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Kaapelien ja katon läpiviennit on tehtävä vesitiiviiksi suljettuja kattojärjestelmiä koskevien ohjeiden (</w:t>
            </w:r>
            <w:r>
              <w:rPr>
                <w:rFonts w:ascii="Arial" w:hAnsi="Arial"/>
                <w:i/>
                <w:iCs/>
                <w:sz w:val="18"/>
              </w:rPr>
              <w:t>Vakrichtlijn Gesloten Dakbedekkingssystemen</w:t>
            </w:r>
            <w:r>
              <w:rPr>
                <w:rFonts w:ascii="Arial" w:hAnsi="Arial"/>
                <w:sz w:val="18"/>
              </w:rPr>
              <w:t>) viimeisimmän version mukaisesti. Seinien läpiviennit toteutetaan rakennussäädösten (</w:t>
            </w:r>
            <w:r>
              <w:rPr>
                <w:rFonts w:ascii="Arial" w:hAnsi="Arial"/>
                <w:i/>
                <w:iCs/>
                <w:sz w:val="18"/>
              </w:rPr>
              <w:t xml:space="preserve">Bouwbesluit </w:t>
            </w:r>
            <w:r>
              <w:rPr>
                <w:rFonts w:ascii="Arial" w:hAnsi="Arial"/>
                <w:i/>
                <w:iCs/>
                <w:sz w:val="18"/>
              </w:rPr>
              <w:lastRenderedPageBreak/>
              <w:t>2012</w:t>
            </w:r>
            <w:r>
              <w:rPr>
                <w:rFonts w:ascii="Arial" w:hAnsi="Arial"/>
                <w:sz w:val="18"/>
              </w:rPr>
              <w:t>) mukaisesti.</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tulee suojata siten, etteivät ne vahingoitu tai katkea.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Kaikki kattoläpiviennit on toteutettava asianmukaisesti, jotta katto on vesitiivis myös sateella.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Mittarikotelo ja verkkoliitäntä</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Liitäntäpisteessä on oltava piiri jokaista vaihtosuuntaajaa kohti, ylimääräinen kulutuspiiri seurantajärjestelmiä varten ja järjestelmän kokonaistuotantomittari.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Jos hyödynnetään SDE++-tukijärjestelmää, kokonaistuotantomittarin tulee vastata järjestelmän vaatimuksia.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Jakorasiaa mukautettaessa tarvittaviin (automaattisiin) sulakkeisiin on merkittävä, että järjestelmä on aurinkosähkölaitteisto. Tämä tehdään tarroilla ja/tai muovikylteillä, joissa lukee esimerkiksi ”VAROITUS: aurinkosähkölaitos”. Vastaavat tarrat kiinnitetään myös asennusputkeen ja kaikkiin liitäntärasioihin.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Vaihtosuuntaajia koskevat valinnaiset vaatimukset</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Vaihtosuuntaajan on oltava korjattavissa valmistajan omassa, Euroopassa sijaitsevassa huoltokeskuksessa. Vaihtoehtoisesti Euroopassa on oltava ulkopuolinen yritys, jolla on lupa korjata vaihtosuuntaajia.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Jokaisessa vaihtosuuntaajassa on oltava seuraavat toiminnot:– parametrien asettaminen– välitön ilmoitus AC- tai DC-jännitteen laskiessa– verkon parametrien tarkastelu (esim. taajuus, jännite)– välitön sammutus, kun verkko poikkeaa sallituista rajoista.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Vaihtosuuntaajat mahdollistavat tuotetun sähkön mukauttamisen kohteen omaan tarpeeseen, jotta vältetään sähkön syöttö verkkoon päin.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Esimerkiksi silloin, jos alueellinen verkon ylikuormitus estää sähkönsyötön.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D50D33"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D50D33"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D50D33"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D50D33"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487ABE">
      <w:pPr>
        <w:pStyle w:val="MH2"/>
      </w:pPr>
      <w:bookmarkStart w:id="11" w:name="_Toc177480160"/>
      <w:r>
        <w:t>10.5 – Sähköasennusta, vaihtosuuntaajia, kaapeleita ja muita sähkökomponentteja koskevat vaatimukset</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487ABE">
            <w:pPr>
              <w:pStyle w:val="MH3"/>
            </w:pPr>
            <w:bookmarkStart w:id="12" w:name="_Toc177480161"/>
            <w:r>
              <w:t>Vaatimukset – Kiinnitysrakenne</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Ohjeet hankkeen tilaajalle</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Aurinkosähköhankkeiden vaatimusten ja hankintasopimuksen malli</w:t>
            </w:r>
          </w:p>
          <w:p w14:paraId="5F0E241B" w14:textId="77777777" w:rsidR="006678CB" w:rsidRPr="00E05E85" w:rsidRDefault="006678CB" w:rsidP="00E467BD">
            <w:pPr>
              <w:spacing w:line="240" w:lineRule="auto"/>
              <w:rPr>
                <w:rFonts w:ascii="Arial" w:hAnsi="Arial" w:cs="Arial"/>
                <w:i/>
                <w:iCs/>
                <w:color w:val="000000"/>
                <w:sz w:val="21"/>
                <w:szCs w:val="21"/>
                <w:lang w:val="en-US"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Muuta sinistä tekstiä keltaisissa kentissä.</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Versio: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D50D33" w:rsidRDefault="00E467BD" w:rsidP="00E467BD">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276" w:type="dxa"/>
            <w:tcBorders>
              <w:top w:val="nil"/>
              <w:left w:val="nil"/>
              <w:bottom w:val="nil"/>
              <w:right w:val="nil"/>
            </w:tcBorders>
            <w:shd w:val="clear" w:color="000000" w:fill="FFFFFF"/>
            <w:hideMark/>
          </w:tcPr>
          <w:p w14:paraId="6A341830" w14:textId="77777777" w:rsidR="00E467BD" w:rsidRPr="00D50D33" w:rsidRDefault="00E467BD" w:rsidP="00E467BD">
            <w:pPr>
              <w:spacing w:line="240" w:lineRule="auto"/>
              <w:rPr>
                <w:rFonts w:ascii="Calibri" w:hAnsi="Calibri" w:cs="Calibri"/>
                <w:lang w:val="en-IE"/>
              </w:rPr>
            </w:pPr>
            <w:r w:rsidRPr="00D50D33">
              <w:rPr>
                <w:rFonts w:ascii="Calibri" w:hAnsi="Calibri"/>
                <w:lang w:val="en-IE"/>
              </w:rPr>
              <w:t> </w:t>
            </w:r>
          </w:p>
        </w:tc>
        <w:tc>
          <w:tcPr>
            <w:tcW w:w="1276" w:type="dxa"/>
            <w:tcBorders>
              <w:top w:val="nil"/>
              <w:left w:val="nil"/>
              <w:bottom w:val="nil"/>
              <w:right w:val="nil"/>
            </w:tcBorders>
            <w:shd w:val="clear" w:color="000000" w:fill="FFFFFF"/>
            <w:hideMark/>
          </w:tcPr>
          <w:p w14:paraId="6B90E8F7" w14:textId="77777777" w:rsidR="00E467BD" w:rsidRPr="00D50D33" w:rsidRDefault="00E467BD" w:rsidP="00E467BD">
            <w:pPr>
              <w:spacing w:line="240" w:lineRule="auto"/>
              <w:rPr>
                <w:rFonts w:ascii="Calibri" w:hAnsi="Calibri" w:cs="Calibri"/>
                <w:lang w:val="en-IE"/>
              </w:rPr>
            </w:pPr>
            <w:r w:rsidRPr="00D50D33">
              <w:rPr>
                <w:rFonts w:ascii="Calibri" w:hAnsi="Calibri"/>
                <w:lang w:val="en-IE"/>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Palaute / korjaukset / lisäykset: sähköpostitse osoitteeseen </w:t>
            </w:r>
            <w:hyperlink r:id="rId11" w:history="1">
              <w:r>
                <w:rPr>
                  <w:rStyle w:val="Hyperlink"/>
                  <w:rFonts w:ascii="Arial" w:hAnsi="Arial"/>
                  <w:sz w:val="16"/>
                </w:rPr>
                <w:t>BGDPV@pianoo.nl</w:t>
              </w:r>
            </w:hyperlink>
          </w:p>
          <w:p w14:paraId="4744A7E1" w14:textId="77777777" w:rsidR="006678CB" w:rsidRPr="00D50D33"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Kun olet valmis, piilota sarakkeet D ja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Nro</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Kuvaus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Arvo</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Sisältyykö?</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Selitys tilaajalle</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Selitys tarjoajalle</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Tarkistus ja vahvistus</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Jos jätetään noudattamatta</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3" w:name="_Toc176354286"/>
            <w:r>
              <w:rPr>
                <w:rFonts w:ascii="Arial" w:hAnsi="Arial"/>
                <w:b/>
                <w:color w:val="FF0000"/>
              </w:rPr>
              <w:t>Kattoasennusten</w:t>
            </w:r>
            <w:r>
              <w:rPr>
                <w:rFonts w:ascii="Arial" w:hAnsi="Arial"/>
                <w:b/>
              </w:rPr>
              <w:t xml:space="preserve"> rakennetta koskevat vaatimukset</w:t>
            </w:r>
            <w:bookmarkEnd w:id="13"/>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4" w:name="_Toc176354287"/>
            <w:r>
              <w:rPr>
                <w:rFonts w:ascii="Arial" w:hAnsi="Arial"/>
                <w:sz w:val="18"/>
              </w:rPr>
              <w:t>5.1</w:t>
            </w:r>
            <w:bookmarkEnd w:id="1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5" w:name="_Toc176354288"/>
            <w:r>
              <w:rPr>
                <w:rFonts w:ascii="Arial" w:hAnsi="Arial"/>
                <w:b/>
                <w:color w:val="000000"/>
                <w:sz w:val="18"/>
              </w:rPr>
              <w:t xml:space="preserve">Rakenteen tulee kestää odotettavissa oleva kuormitus. </w:t>
            </w:r>
            <w:r>
              <w:rPr>
                <w:rFonts w:ascii="Arial" w:hAnsi="Arial"/>
                <w:color w:val="000000"/>
                <w:sz w:val="18"/>
              </w:rPr>
              <w:t xml:space="preserve">Rakenteen ja rakennusmateriaalin suunnittelussa on noudatettava standardeja NEN 7250 ja Eurokoodi 1 (EN 1991-1-4). Tarkista hankintasopimuksen teon </w:t>
            </w:r>
            <w:r>
              <w:rPr>
                <w:rFonts w:ascii="Arial" w:hAnsi="Arial"/>
                <w:color w:val="000000"/>
                <w:sz w:val="18"/>
              </w:rPr>
              <w:lastRenderedPageBreak/>
              <w:t>jälkeen, kuitenkin ennen asennuksen aloittamista.</w:t>
            </w:r>
            <w:bookmarkEnd w:id="15"/>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16" w:name="_Toc176354289"/>
            <w:r>
              <w:rPr>
                <w:rFonts w:ascii="Arial" w:hAnsi="Arial"/>
                <w:color w:val="000000"/>
                <w:sz w:val="18"/>
              </w:rPr>
              <w:t xml:space="preserve">Rakennusnäkökohtiin ja tuulikuormitukseen liittyvät standardit. NEN 7250: </w:t>
            </w:r>
            <w:r>
              <w:rPr>
                <w:rFonts w:ascii="Arial" w:hAnsi="Arial"/>
                <w:i/>
                <w:color w:val="000000"/>
                <w:sz w:val="18"/>
              </w:rPr>
              <w:t xml:space="preserve">Aurinkoenergiajärjestelmät – integrointi kattoihin ja julkisivuihin – rakennusnäkökohdat. </w:t>
            </w:r>
            <w:r>
              <w:rPr>
                <w:rFonts w:ascii="Arial" w:hAnsi="Arial"/>
                <w:color w:val="000000"/>
                <w:sz w:val="18"/>
              </w:rPr>
              <w:t xml:space="preserve">Eurokoodi 1 – EN 1991-1-4:  </w:t>
            </w:r>
            <w:r>
              <w:rPr>
                <w:rFonts w:ascii="Arial" w:hAnsi="Arial"/>
                <w:i/>
                <w:color w:val="000000"/>
                <w:sz w:val="18"/>
              </w:rPr>
              <w:t xml:space="preserve">Rakenteiden kuormat – Osa </w:t>
            </w:r>
            <w:r>
              <w:rPr>
                <w:rFonts w:ascii="Arial" w:hAnsi="Arial"/>
                <w:i/>
                <w:color w:val="000000"/>
                <w:sz w:val="18"/>
              </w:rPr>
              <w:lastRenderedPageBreak/>
              <w:t>1.4: Yleiset kuormat – tuulikuorma.</w:t>
            </w:r>
            <w:bookmarkEnd w:id="16"/>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17" w:name="_Toc176354290"/>
            <w:r>
              <w:rPr>
                <w:rFonts w:ascii="Arial" w:hAnsi="Arial"/>
                <w:sz w:val="18"/>
              </w:rPr>
              <w:lastRenderedPageBreak/>
              <w:t>Kattokiinnitysrakenteiden toimittajilla on yleensä käytössään ohjelmisto tai verkkosovellus, jolla voidaan laskea standardien mukainen painolasti.</w:t>
            </w:r>
            <w:bookmarkEnd w:id="1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18" w:name="_Toc176354291"/>
            <w:r>
              <w:rPr>
                <w:rFonts w:ascii="Arial" w:hAnsi="Arial"/>
                <w:sz w:val="18"/>
              </w:rPr>
              <w:t>Toimittajan käyttämän ohjelmiston tai verkkosovelluksen tuottama selvitys ehdotetusta rakenteesta, toimitettava urakoitsijalle ennen asennusta</w:t>
            </w:r>
            <w:bookmarkEnd w:id="18"/>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19" w:name="_Toc176354292"/>
            <w:r>
              <w:rPr>
                <w:rFonts w:ascii="Arial" w:hAnsi="Arial"/>
                <w:color w:val="000000"/>
                <w:sz w:val="18"/>
              </w:rPr>
              <w:t>Ota yhteyttä konsulttiin ja tee muutoksia tarpeen mukaan.</w:t>
            </w:r>
            <w:bookmarkEnd w:id="19"/>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0" w:name="_Toc176354293"/>
            <w:r>
              <w:rPr>
                <w:rFonts w:ascii="Arial" w:hAnsi="Arial"/>
                <w:sz w:val="18"/>
              </w:rPr>
              <w:t>5.2</w:t>
            </w:r>
            <w:bookmarkEnd w:id="2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1" w:name="_Toc176354294"/>
            <w:r>
              <w:rPr>
                <w:rFonts w:ascii="Arial" w:hAnsi="Arial"/>
                <w:b/>
                <w:color w:val="000000"/>
                <w:sz w:val="18"/>
              </w:rPr>
              <w:t xml:space="preserve">Rakenteen on oltava yhteensopiva katon kanssa. </w:t>
            </w:r>
            <w:r>
              <w:rPr>
                <w:rFonts w:ascii="Arial" w:hAnsi="Arial"/>
                <w:color w:val="000000"/>
                <w:sz w:val="18"/>
              </w:rPr>
              <w:t>Katon ja kattorakenteen on kestettävä aurinkosähköjärjestelmän ja sääolosuhteiden (lumi, tuuli) yhteiskuormitus. Tarkista hankintasopimuksen teon jälkeen, kuitenkin ennen asennuksen aloittamista.</w:t>
            </w:r>
            <w:bookmarkEnd w:id="2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22" w:name="_Toc176354295"/>
            <w:r>
              <w:rPr>
                <w:rFonts w:ascii="Arial" w:hAnsi="Arial"/>
                <w:sz w:val="18"/>
              </w:rPr>
              <w:t>Jos katto ei kestä raskaita painolastirakenteita, voidaan harkita seuraavia: katon tai kattorakenteen vahvistaminen, erityiset kiinnitysrakenteet tai erityiset aurinkopaneelit, esimerkiksi kattoon liimattavat.</w:t>
            </w:r>
            <w:bookmarkEnd w:id="22"/>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23" w:name="_Toc176354296"/>
            <w:r>
              <w:rPr>
                <w:rFonts w:ascii="Arial" w:hAnsi="Arial"/>
                <w:color w:val="000000"/>
                <w:sz w:val="18"/>
              </w:rPr>
              <w:t>Aurinkosähkölaitteiston rakenne, myös painolastin paikkoja ja määriä kuvaavat piirustukset, tulee hyväksyttää urakoitsijalla vähintään neljä viikkoa ennen asennusta.</w:t>
            </w:r>
            <w:bookmarkEnd w:id="2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24" w:name="_Toc176354297"/>
            <w:r>
              <w:rPr>
                <w:rFonts w:ascii="Arial" w:hAnsi="Arial"/>
                <w:color w:val="000000"/>
                <w:sz w:val="18"/>
              </w:rPr>
              <w:t>Ota yhteyttä konsulttiin ja tee muutoksia tarpeen mukaan.</w:t>
            </w:r>
            <w:bookmarkEnd w:id="24"/>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25" w:name="_Toc176354298"/>
            <w:r>
              <w:rPr>
                <w:rFonts w:ascii="Arial" w:hAnsi="Arial"/>
                <w:sz w:val="18"/>
              </w:rPr>
              <w:t>5.3</w:t>
            </w:r>
            <w:bookmarkEnd w:id="2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26" w:name="_Toc176354299"/>
            <w:r>
              <w:rPr>
                <w:rFonts w:ascii="Arial" w:hAnsi="Arial"/>
                <w:b/>
                <w:color w:val="000000"/>
                <w:sz w:val="18"/>
              </w:rPr>
              <w:t xml:space="preserve">Maadoitus. </w:t>
            </w:r>
            <w:r>
              <w:rPr>
                <w:rFonts w:ascii="Arial" w:hAnsi="Arial"/>
                <w:color w:val="000000"/>
                <w:sz w:val="18"/>
              </w:rPr>
              <w:t>Koko paneelin alusrakenteen on oltava maadoitettu.</w:t>
            </w:r>
            <w:bookmarkEnd w:id="26"/>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27" w:name="_Toc176354300"/>
            <w:r>
              <w:rPr>
                <w:rFonts w:ascii="Arial" w:hAnsi="Arial"/>
                <w:sz w:val="18"/>
              </w:rPr>
              <w:t>Käyttöönottotarkastus (Scope 12)</w:t>
            </w:r>
            <w:bookmarkEnd w:id="27"/>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28" w:name="_Toc176354301"/>
            <w:r>
              <w:rPr>
                <w:rFonts w:ascii="Arial" w:hAnsi="Arial"/>
                <w:sz w:val="18"/>
              </w:rPr>
              <w:t>5.4</w:t>
            </w:r>
            <w:bookmarkEnd w:id="28"/>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29" w:name="_Toc176354302"/>
            <w:r>
              <w:rPr>
                <w:rFonts w:ascii="Arial" w:hAnsi="Arial"/>
                <w:b/>
                <w:color w:val="000000"/>
                <w:sz w:val="18"/>
              </w:rPr>
              <w:t>Riittävän salamasuojausjärjestelmän asennus</w:t>
            </w:r>
            <w:bookmarkEnd w:id="2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30" w:name="_Toc176354303"/>
            <w:r>
              <w:rPr>
                <w:rFonts w:ascii="Arial" w:hAnsi="Arial"/>
                <w:b/>
                <w:sz w:val="18"/>
              </w:rPr>
              <w:t>?</w:t>
            </w:r>
            <w:bookmarkEnd w:id="30"/>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31" w:name="_Toc176354304"/>
            <w:r>
              <w:rPr>
                <w:rFonts w:ascii="Arial" w:hAnsi="Arial"/>
                <w:sz w:val="18"/>
              </w:rPr>
              <w:t>On yleensä jo valmiiksi olemassa – jos ei, se asennetaan aurinkosähköjärjestelmästä itsenäisenä osana. Määritetään asiantuntijoiden kanssa.</w:t>
            </w:r>
            <w:bookmarkEnd w:id="31"/>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32" w:name="_Toc176354305"/>
            <w:r>
              <w:rPr>
                <w:rFonts w:ascii="Arial" w:hAnsi="Arial"/>
                <w:sz w:val="18"/>
              </w:rPr>
              <w:t>Huomautus: salamasuojausjärjestelmää ei saa käyttää aurinkosähkörakenteen maadoittamiseen.</w:t>
            </w:r>
            <w:bookmarkEnd w:id="32"/>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33" w:name="_Toc176354306"/>
            <w:r>
              <w:rPr>
                <w:rFonts w:ascii="Arial" w:hAnsi="Arial"/>
                <w:sz w:val="18"/>
              </w:rPr>
              <w:t>Käyttöönottotarkastus (Scope 12)</w:t>
            </w:r>
            <w:bookmarkEnd w:id="3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34" w:name="_Toc176354307"/>
            <w:r>
              <w:rPr>
                <w:rFonts w:ascii="Arial" w:hAnsi="Arial"/>
                <w:sz w:val="18"/>
              </w:rPr>
              <w:t>5.5</w:t>
            </w:r>
            <w:bookmarkEnd w:id="3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35" w:name="_Toc176354308"/>
            <w:r>
              <w:rPr>
                <w:rFonts w:ascii="Arial" w:hAnsi="Arial"/>
                <w:b/>
                <w:color w:val="000000"/>
                <w:sz w:val="18"/>
              </w:rPr>
              <w:t xml:space="preserve">Laajenemiserot. </w:t>
            </w:r>
            <w:r>
              <w:rPr>
                <w:rFonts w:ascii="Arial" w:hAnsi="Arial"/>
                <w:color w:val="000000"/>
                <w:sz w:val="18"/>
              </w:rPr>
              <w:t>Katon ja aurinkosähköjärjestelmän kiinnitysrakenteen kosketuspinnat on suunniteltava siten, ettei katto vahingoitu kiinnitysrakenteen ja katon välisten lämpölaajenemiserojen vuoksi.</w:t>
            </w:r>
            <w:bookmarkEnd w:id="3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36" w:name="_Toc176354309"/>
            <w:r>
              <w:rPr>
                <w:rFonts w:ascii="Arial" w:hAnsi="Arial"/>
                <w:sz w:val="18"/>
              </w:rPr>
              <w:t>Eräs ratkaisu on metallijalkojen alle asennettava kumikerros.</w:t>
            </w:r>
            <w:bookmarkEnd w:id="3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37" w:name="_Toc176354310"/>
            <w:r>
              <w:rPr>
                <w:rFonts w:ascii="Arial" w:hAnsi="Arial"/>
                <w:sz w:val="18"/>
              </w:rPr>
              <w:t>Tarkista rakenne</w:t>
            </w:r>
            <w:bookmarkEnd w:id="37"/>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38" w:name="_Toc176354311"/>
            <w:r>
              <w:rPr>
                <w:rFonts w:ascii="Arial" w:hAnsi="Arial"/>
                <w:sz w:val="18"/>
              </w:rPr>
              <w:lastRenderedPageBreak/>
              <w:t>5.6</w:t>
            </w:r>
            <w:bookmarkEnd w:id="3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39" w:name="_Toc176354312"/>
            <w:r>
              <w:rPr>
                <w:rFonts w:ascii="Arial" w:hAnsi="Arial"/>
                <w:b/>
                <w:color w:val="000000"/>
                <w:sz w:val="18"/>
              </w:rPr>
              <w:t xml:space="preserve">Vuotojen ja kattovaurioiden ehkäiseminen. </w:t>
            </w:r>
            <w:r>
              <w:rPr>
                <w:rFonts w:ascii="Arial" w:hAnsi="Arial"/>
                <w:color w:val="000000"/>
                <w:sz w:val="18"/>
              </w:rPr>
              <w:t>Urakoitsijan on tarvittaessa suojattava katto vaurioilta ja vuodoilta työn aikana.</w:t>
            </w:r>
            <w:bookmarkEnd w:id="3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40" w:name="_Toc176354313"/>
            <w:r>
              <w:rPr>
                <w:rFonts w:ascii="Arial" w:hAnsi="Arial"/>
                <w:sz w:val="18"/>
              </w:rPr>
              <w:t>Katolla olevat kulkuväylät voidaan suojata suojakerroksella. Myös katolla sijaitsevat varastointialueet voidaan suojata samalla tavalla. Katon suurinta sallittua painoa ei saa ylittää. Tästä on huolehdittava etenkin varastointialueilla.</w:t>
            </w:r>
            <w:bookmarkEnd w:id="40"/>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41" w:name="_Toc176354314"/>
            <w:r>
              <w:rPr>
                <w:rFonts w:ascii="Arial" w:hAnsi="Arial"/>
                <w:sz w:val="18"/>
              </w:rPr>
              <w:t>Käyttöönottotarkastus (Scope 12)</w:t>
            </w:r>
            <w:bookmarkEnd w:id="41"/>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42" w:name="_Toc176354315"/>
            <w:r>
              <w:rPr>
                <w:rFonts w:ascii="Arial" w:hAnsi="Arial"/>
                <w:color w:val="000000"/>
                <w:sz w:val="18"/>
              </w:rPr>
              <w:t>Jos aurinkosähkölaitteisto tai työt aiheuttavat vaurioita tai vuotoja, korjauskustannukset peritään urakoitsijalta.</w:t>
            </w:r>
            <w:bookmarkEnd w:id="42"/>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43" w:name="_Toc176354316"/>
            <w:r>
              <w:rPr>
                <w:rFonts w:ascii="Arial" w:hAnsi="Arial"/>
                <w:sz w:val="18"/>
              </w:rPr>
              <w:t>5.7</w:t>
            </w:r>
            <w:bookmarkEnd w:id="4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44" w:name="_Toc176354317"/>
            <w:r>
              <w:rPr>
                <w:rFonts w:ascii="Arial" w:hAnsi="Arial"/>
                <w:b/>
                <w:color w:val="000000"/>
                <w:sz w:val="18"/>
              </w:rPr>
              <w:t xml:space="preserve">Vedenpoisto. </w:t>
            </w:r>
            <w:r>
              <w:rPr>
                <w:rFonts w:ascii="Arial" w:hAnsi="Arial"/>
                <w:color w:val="000000"/>
                <w:sz w:val="18"/>
              </w:rPr>
              <w:t>Kiinnitysmateriaali ei saa estää veden valumista katolta tai julkisivulta siten, että syntyy lätäköitä, joita ei syntyisi normaalioloissa ilman kiinnitysmateriaalia.</w:t>
            </w:r>
            <w:bookmarkEnd w:id="4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45" w:name="_Toc176354318"/>
            <w:r>
              <w:rPr>
                <w:rFonts w:ascii="Arial" w:hAnsi="Arial"/>
                <w:sz w:val="18"/>
              </w:rPr>
              <w:t>Tarkista rakenne</w:t>
            </w:r>
            <w:bookmarkEnd w:id="45"/>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46" w:name="_Toc176354319"/>
            <w:r>
              <w:rPr>
                <w:rFonts w:ascii="Arial" w:hAnsi="Arial"/>
                <w:b/>
                <w:color w:val="7030A0"/>
              </w:rPr>
              <w:t>Maa-asennusten</w:t>
            </w:r>
            <w:r>
              <w:rPr>
                <w:rFonts w:ascii="Arial" w:hAnsi="Arial"/>
                <w:b/>
              </w:rPr>
              <w:t xml:space="preserve"> rakennetta koskevat vaatimukset</w:t>
            </w:r>
            <w:bookmarkEnd w:id="46"/>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47" w:name="_Toc176354320"/>
            <w:r>
              <w:rPr>
                <w:rFonts w:ascii="Arial" w:hAnsi="Arial"/>
                <w:sz w:val="18"/>
              </w:rPr>
              <w:t>5.8</w:t>
            </w:r>
            <w:bookmarkEnd w:id="4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48" w:name="_Toc176354321"/>
            <w:r>
              <w:rPr>
                <w:rFonts w:ascii="Arial" w:hAnsi="Arial"/>
                <w:b/>
                <w:color w:val="000000"/>
                <w:sz w:val="18"/>
              </w:rPr>
              <w:t xml:space="preserve">Rakenteen tulee kestää odotettavissa oleva kuormitus. </w:t>
            </w:r>
            <w:r>
              <w:rPr>
                <w:rFonts w:ascii="Arial" w:hAnsi="Arial"/>
                <w:color w:val="000000"/>
                <w:sz w:val="18"/>
              </w:rPr>
              <w:t>Rakenteen ja rakennusmateriaalin suunnittelussa on noudatettava standardeja NEN 7250 ja Eurokoodi 1 (EN 1991-1-4). Tarkista hankintasopimuksen teon jälkeen, kuitenkin ennen asennuksen aloittamista.</w:t>
            </w:r>
            <w:bookmarkEnd w:id="4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49" w:name="_Toc176354322"/>
            <w:r>
              <w:rPr>
                <w:rFonts w:ascii="Arial" w:hAnsi="Arial"/>
                <w:sz w:val="18"/>
              </w:rPr>
              <w:t>Kattokiinnitysrakenteiden toimittajilla on yleensä käytössään ohjelmisto tai verkkosovellus, jolla voidaan laskea standardien mukainen painolasti.</w:t>
            </w:r>
            <w:bookmarkEnd w:id="4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50" w:name="_Toc176354323"/>
            <w:r>
              <w:rPr>
                <w:rFonts w:ascii="Arial" w:hAnsi="Arial"/>
                <w:sz w:val="18"/>
              </w:rPr>
              <w:t>Toimittajan käyttämän ohjelmiston tai verkkosovelluksen tuottama selvitys ehdotetusta rakenteesta, toimitettava urakoitsijalle ennen asennusta</w:t>
            </w:r>
            <w:bookmarkEnd w:id="50"/>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51" w:name="_Toc176354324"/>
            <w:r>
              <w:rPr>
                <w:rFonts w:ascii="Arial" w:hAnsi="Arial"/>
                <w:sz w:val="18"/>
              </w:rPr>
              <w:t>5.9</w:t>
            </w:r>
            <w:bookmarkEnd w:id="5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52" w:name="_Toc176354325"/>
            <w:r>
              <w:rPr>
                <w:rFonts w:ascii="Arial" w:hAnsi="Arial"/>
                <w:b/>
                <w:color w:val="000000"/>
                <w:sz w:val="18"/>
              </w:rPr>
              <w:t>Perustusten suojaus.</w:t>
            </w:r>
            <w:r>
              <w:rPr>
                <w:rFonts w:ascii="Arial" w:hAnsi="Arial"/>
                <w:color w:val="000000"/>
                <w:sz w:val="18"/>
              </w:rPr>
              <w:t xml:space="preserve"> Maahan upotettavat osat (esim. teräspaalut) suojataan maaperän pH:n aiheuttamaa korroosiota vastaan siten, että niiden odotettavissa oleva käyttöikä on vähintään 25 vuotta.</w:t>
            </w:r>
            <w:bookmarkEnd w:id="5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53" w:name="_Toc176354326"/>
            <w:r>
              <w:rPr>
                <w:rFonts w:ascii="Arial" w:hAnsi="Arial"/>
                <w:b/>
                <w:color w:val="0070C0"/>
                <w:sz w:val="18"/>
              </w:rPr>
              <w:t>Maaperän pH-arvo on ...</w:t>
            </w:r>
            <w:bookmarkEnd w:id="53"/>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54" w:name="_Toc176354327"/>
            <w:r>
              <w:rPr>
                <w:rFonts w:ascii="Arial" w:hAnsi="Arial"/>
                <w:sz w:val="18"/>
              </w:rPr>
              <w:t>Maaperän happamuus on suositeltavaa tutkituttaa esiselvityksen yhteydessä. Suojauksessa käytettävä pinnoite (esim. x μm ZnMg) määritellään tämän perusteella.</w:t>
            </w:r>
            <w:bookmarkEnd w:id="54"/>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55" w:name="_Toc176354328"/>
            <w:r>
              <w:rPr>
                <w:rFonts w:ascii="Arial" w:hAnsi="Arial"/>
                <w:sz w:val="18"/>
              </w:rPr>
              <w:t>Käyttöönottotarkastus (Scope 12)</w:t>
            </w:r>
            <w:bookmarkEnd w:id="55"/>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56" w:name="_Toc176354329"/>
            <w:r>
              <w:rPr>
                <w:rFonts w:ascii="Arial" w:hAnsi="Arial"/>
                <w:b/>
                <w:color w:val="00B0F0"/>
              </w:rPr>
              <w:lastRenderedPageBreak/>
              <w:t>Kelluvien järjestelmien</w:t>
            </w:r>
            <w:r>
              <w:rPr>
                <w:rFonts w:ascii="Arial" w:hAnsi="Arial"/>
                <w:b/>
              </w:rPr>
              <w:t xml:space="preserve"> rakennetta koskevat vaatimukset</w:t>
            </w:r>
            <w:bookmarkEnd w:id="56"/>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57" w:name="_Toc176354330"/>
            <w:r>
              <w:rPr>
                <w:rFonts w:ascii="Arial" w:hAnsi="Arial"/>
                <w:b/>
                <w:color w:val="FF0000"/>
                <w:sz w:val="18"/>
              </w:rPr>
              <w:t xml:space="preserve">Huomautus: kelluvat aurinkosähkörakenteet, myös sisävesialueiden järjestelmät, ovat verrattain uusi innovaatio. Tuuli- ja aaltokuormaa koskevia standardeja ja testausmenettelyjä kehitetään edelleen. Ota yhteyttä Zon-op-Water-konsortioon osoitteessa: </w:t>
            </w:r>
            <w:hyperlink r:id="rId12" w:history="1">
              <w:r>
                <w:rPr>
                  <w:rStyle w:val="Hyperlink"/>
                  <w:rFonts w:ascii="Arial" w:hAnsi="Arial"/>
                  <w:b/>
                  <w:sz w:val="18"/>
                </w:rPr>
                <w:t>www.zonopwater.nl</w:t>
              </w:r>
              <w:bookmarkEnd w:id="57"/>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58" w:name="_Toc176354331"/>
            <w:r>
              <w:rPr>
                <w:rFonts w:ascii="Arial" w:hAnsi="Arial"/>
                <w:sz w:val="18"/>
              </w:rPr>
              <w:t>5.10</w:t>
            </w:r>
            <w:bookmarkEnd w:id="5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59" w:name="_Toc176354332"/>
            <w:r>
              <w:rPr>
                <w:rFonts w:ascii="Arial" w:hAnsi="Arial"/>
                <w:b/>
                <w:color w:val="000000"/>
                <w:sz w:val="18"/>
              </w:rPr>
              <w:t xml:space="preserve">Rakenne. </w:t>
            </w:r>
            <w:r>
              <w:rPr>
                <w:rFonts w:ascii="Arial" w:hAnsi="Arial"/>
                <w:color w:val="000000"/>
                <w:sz w:val="18"/>
              </w:rPr>
              <w:t>Rakenteen ja rakennusmateriaalin tulee kestää siihen kohdistuva tuulikuorma.</w:t>
            </w:r>
            <w:bookmarkEnd w:id="59"/>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60" w:name="_Toc176354333"/>
            <w:r>
              <w:rPr>
                <w:rFonts w:ascii="Arial" w:hAnsi="Arial"/>
                <w:b/>
                <w:color w:val="0070C0"/>
                <w:sz w:val="18"/>
              </w:rPr>
              <w:t>Päätetään myöhemmin</w:t>
            </w:r>
            <w:bookmarkEnd w:id="6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61" w:name="_Toc176354334"/>
            <w:r>
              <w:rPr>
                <w:rFonts w:ascii="Arial" w:hAnsi="Arial"/>
                <w:sz w:val="18"/>
              </w:rPr>
              <w:t>Standardeja kehitetään edelleen. Riippuu pitkälti sijainnista. Ota yhteyttä tekniseen neuvonantajaan ennen päätöksen tekoa.</w:t>
            </w:r>
            <w:bookmarkEnd w:id="61"/>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62" w:name="_Toc176354335"/>
            <w:r>
              <w:rPr>
                <w:rFonts w:ascii="Arial" w:hAnsi="Arial"/>
                <w:sz w:val="18"/>
              </w:rPr>
              <w:t>5.11</w:t>
            </w:r>
            <w:bookmarkEnd w:id="62"/>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63" w:name="_Toc176354336"/>
            <w:r>
              <w:rPr>
                <w:rFonts w:ascii="Arial" w:hAnsi="Arial"/>
                <w:b/>
                <w:color w:val="000000"/>
                <w:sz w:val="18"/>
              </w:rPr>
              <w:t xml:space="preserve">Rakenne. </w:t>
            </w:r>
            <w:r>
              <w:rPr>
                <w:rFonts w:ascii="Arial" w:hAnsi="Arial"/>
                <w:color w:val="000000"/>
                <w:sz w:val="18"/>
              </w:rPr>
              <w:t>Rakenteen, rakennusmateriaalin ja ankkuroinnin tulee kestää siihen kohdistuva aaltokuorma.</w:t>
            </w:r>
            <w:bookmarkEnd w:id="63"/>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64" w:name="_Toc176354337"/>
            <w:r>
              <w:rPr>
                <w:rFonts w:ascii="Arial" w:hAnsi="Arial"/>
                <w:b/>
                <w:color w:val="0070C0"/>
                <w:sz w:val="18"/>
              </w:rPr>
              <w:t>Päätetään myöhemmin</w:t>
            </w:r>
            <w:bookmarkEnd w:id="64"/>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65" w:name="_Toc176354338"/>
            <w:r>
              <w:rPr>
                <w:rFonts w:ascii="Arial" w:hAnsi="Arial"/>
                <w:sz w:val="18"/>
              </w:rPr>
              <w:t>Standardeja kehitetään edelleen. Riippuu pitkälti sijainnista. Ota yhteyttä tekniseen neuvonantajaan ennen päätöksen tekoa.</w:t>
            </w:r>
            <w:bookmarkEnd w:id="65"/>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66" w:name="_Toc176354339"/>
            <w:r>
              <w:rPr>
                <w:rFonts w:ascii="Arial" w:hAnsi="Arial"/>
                <w:b/>
              </w:rPr>
              <w:t>Materiaalit</w:t>
            </w:r>
            <w:bookmarkEnd w:id="66"/>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67" w:name="_Toc176354340"/>
            <w:r>
              <w:rPr>
                <w:rFonts w:ascii="Arial" w:hAnsi="Arial"/>
                <w:sz w:val="18"/>
              </w:rPr>
              <w:t>5.12</w:t>
            </w:r>
            <w:bookmarkEnd w:id="6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68" w:name="_Toc176354341"/>
            <w:r>
              <w:rPr>
                <w:rFonts w:ascii="Arial" w:hAnsi="Arial"/>
                <w:b/>
                <w:sz w:val="18"/>
              </w:rPr>
              <w:t>Teräsosien on oltava korroosiosuojattuja.</w:t>
            </w:r>
            <w:bookmarkEnd w:id="68"/>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69" w:name="_Toc176354342"/>
            <w:r>
              <w:rPr>
                <w:rFonts w:ascii="Arial" w:hAnsi="Arial"/>
                <w:sz w:val="18"/>
              </w:rPr>
              <w:t>5.13</w:t>
            </w:r>
            <w:bookmarkEnd w:id="6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70" w:name="_Toc176354343"/>
            <w:r>
              <w:rPr>
                <w:rFonts w:ascii="Arial" w:hAnsi="Arial"/>
                <w:b/>
                <w:sz w:val="18"/>
              </w:rPr>
              <w:t>Kiinnittimien on oltava EN-ISO 10683 -standardin mukaisia.</w:t>
            </w:r>
            <w:bookmarkEnd w:id="7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71" w:name="_Toc176354344"/>
            <w:r>
              <w:rPr>
                <w:rFonts w:ascii="Arial" w:hAnsi="Arial"/>
                <w:color w:val="000000"/>
                <w:sz w:val="18"/>
              </w:rPr>
              <w:t xml:space="preserve">EN-ISO 10683: </w:t>
            </w:r>
            <w:r>
              <w:rPr>
                <w:rFonts w:ascii="Arial" w:hAnsi="Arial"/>
                <w:i/>
                <w:color w:val="000000"/>
                <w:sz w:val="18"/>
              </w:rPr>
              <w:t>Kiinnittimet – ei-elektrolyyttisesti levitettävät sinkkihiutalepinnoitteet.</w:t>
            </w:r>
            <w:bookmarkEnd w:id="71"/>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72" w:name="_Toc176354345"/>
            <w:r>
              <w:rPr>
                <w:rFonts w:ascii="Arial" w:hAnsi="Arial"/>
                <w:sz w:val="18"/>
              </w:rPr>
              <w:t>5.14</w:t>
            </w:r>
            <w:bookmarkEnd w:id="7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73" w:name="_Toc176354346"/>
            <w:r>
              <w:rPr>
                <w:rFonts w:ascii="Arial" w:hAnsi="Arial"/>
                <w:b/>
                <w:sz w:val="18"/>
              </w:rPr>
              <w:t>Materiaalit valitaan siten, ettei käytettävien materiaalien ja metallien jalouseroista aiheudu haittavaikutuksia.</w:t>
            </w:r>
            <w:bookmarkEnd w:id="73"/>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74" w:name="_Toc176354347"/>
            <w:r>
              <w:rPr>
                <w:rFonts w:ascii="Arial" w:hAnsi="Arial"/>
                <w:sz w:val="18"/>
              </w:rPr>
              <w:t>Haittana voi olla esimerkiksi galvaaninen korroosio silloin, kun jotkin terässeokset ovat suorassa mekaanisessa kosketuksessa alumiiniosien kanssa ja niiden painosuhde on epäsuotuisa.</w:t>
            </w:r>
            <w:bookmarkEnd w:id="7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75" w:name="_Toc176354348"/>
            <w:r>
              <w:rPr>
                <w:rFonts w:ascii="Arial" w:hAnsi="Arial"/>
                <w:sz w:val="18"/>
              </w:rPr>
              <w:t>5.15</w:t>
            </w:r>
            <w:bookmarkEnd w:id="7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76" w:name="_Toc176354349"/>
            <w:r>
              <w:rPr>
                <w:rFonts w:ascii="Arial" w:hAnsi="Arial"/>
                <w:b/>
                <w:sz w:val="18"/>
              </w:rPr>
              <w:t>Standardissa EN 1990 tarkoitetun rakenteen kestävyyden on oltava riittävä läpi koko käyttöajan.</w:t>
            </w:r>
            <w:bookmarkEnd w:id="76"/>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77" w:name="_Toc176354350"/>
            <w:r>
              <w:rPr>
                <w:rFonts w:ascii="Arial" w:hAnsi="Arial"/>
                <w:color w:val="000000"/>
                <w:sz w:val="18"/>
              </w:rPr>
              <w:t xml:space="preserve">EN 1990: </w:t>
            </w:r>
            <w:r>
              <w:rPr>
                <w:rFonts w:ascii="Arial" w:hAnsi="Arial"/>
                <w:i/>
                <w:color w:val="000000"/>
                <w:sz w:val="18"/>
              </w:rPr>
              <w:t xml:space="preserve">Eurokoodi – Rakenteiden suunnitteluperusteet </w:t>
            </w:r>
            <w:r>
              <w:rPr>
                <w:rFonts w:ascii="Arial" w:hAnsi="Arial"/>
                <w:color w:val="000000"/>
                <w:sz w:val="18"/>
              </w:rPr>
              <w:t xml:space="preserve">Standardissa määritellään rakenteiden turvallisuutta, käytettävyyttä ja kestävyyttä koskevat perusvaatimukset. Siinä määritellään suunnittelu-, laskenta- ja testausperiaatteet ja annetaan ohjeita </w:t>
            </w:r>
            <w:r>
              <w:rPr>
                <w:rFonts w:ascii="Arial" w:hAnsi="Arial"/>
                <w:color w:val="000000"/>
                <w:sz w:val="18"/>
              </w:rPr>
              <w:lastRenderedPageBreak/>
              <w:t>rakenteiden luotettavuuteen liittyvistä näkökohdista.</w:t>
            </w:r>
            <w:bookmarkEnd w:id="77"/>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78" w:name="_Toc176354351"/>
            <w:r>
              <w:rPr>
                <w:rFonts w:ascii="Arial" w:hAnsi="Arial"/>
                <w:b/>
                <w:color w:val="0070C0"/>
              </w:rPr>
              <w:t>Valinnainen</w:t>
            </w:r>
            <w:bookmarkEnd w:id="78"/>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79" w:name="_Toc176354352"/>
            <w:r>
              <w:rPr>
                <w:rFonts w:ascii="Arial" w:hAnsi="Arial"/>
                <w:sz w:val="18"/>
              </w:rPr>
              <w:t>5.16</w:t>
            </w:r>
            <w:bookmarkEnd w:id="79"/>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80" w:name="_Toc176354353"/>
            <w:r>
              <w:rPr>
                <w:rFonts w:ascii="Arial" w:hAnsi="Arial"/>
                <w:b/>
                <w:color w:val="000000"/>
                <w:sz w:val="18"/>
              </w:rPr>
              <w:t>Kiinnitysrakenteen näkyvien osien väri</w:t>
            </w:r>
            <w:bookmarkEnd w:id="8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81" w:name="_Toc176354354"/>
            <w:r>
              <w:rPr>
                <w:rFonts w:ascii="Arial" w:hAnsi="Arial"/>
                <w:b/>
                <w:sz w:val="18"/>
              </w:rPr>
              <w:t>?</w:t>
            </w:r>
            <w:bookmarkEnd w:id="81"/>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82" w:name="_Toc176354355"/>
            <w:r>
              <w:rPr>
                <w:rFonts w:ascii="Arial" w:hAnsi="Arial"/>
                <w:sz w:val="18"/>
              </w:rPr>
              <w:t>Valinnainen, jos järjestelmä asennetaan kaltevalle katoille</w:t>
            </w:r>
            <w:bookmarkEnd w:id="8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83" w:name="_Toc176354356"/>
            <w:r>
              <w:rPr>
                <w:rFonts w:ascii="Arial" w:hAnsi="Arial"/>
                <w:sz w:val="18"/>
              </w:rPr>
              <w:t>5.17</w:t>
            </w:r>
            <w:bookmarkEnd w:id="83"/>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84" w:name="_Toc176354357"/>
            <w:r>
              <w:rPr>
                <w:rFonts w:ascii="Arial" w:hAnsi="Arial"/>
                <w:b/>
                <w:sz w:val="18"/>
              </w:rPr>
              <w:t>Komponenttien väliset liitännät suunnitellaan ehkäisemään varkauksia.</w:t>
            </w:r>
            <w:bookmarkEnd w:id="84"/>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85" w:name="_Toc176354358"/>
            <w:r>
              <w:rPr>
                <w:rFonts w:ascii="Arial" w:hAnsi="Arial"/>
                <w:b/>
                <w:sz w:val="18"/>
              </w:rPr>
              <w:t>?</w:t>
            </w:r>
            <w:bookmarkEnd w:id="85"/>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86" w:name="_Toc176354359"/>
            <w:r>
              <w:rPr>
                <w:rFonts w:ascii="Arial" w:hAnsi="Arial"/>
                <w:color w:val="000000"/>
                <w:sz w:val="18"/>
              </w:rPr>
              <w:t>Valinnainen, jos järjestelmän sijainti on syrjäinen: varkauksien estämiseksi liitäntöjen on oltava sellaisia, ettei niitä saa irrotettua tavallisilla työkaluilla.</w:t>
            </w:r>
            <w:bookmarkEnd w:id="86"/>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D50D33"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D50D33"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D50D33"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D50D33"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w:lastRenderedPageBreak/>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D50D33"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D50D33"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D50D33"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487ABE">
      <w:pPr>
        <w:pStyle w:val="MH2"/>
      </w:pPr>
      <w:bookmarkStart w:id="87" w:name="_Toc177480162"/>
      <w:r>
        <w:t>10.6 – Vaatimukset – Kiinnitysrakenne</w:t>
      </w:r>
      <w:bookmarkEnd w:id="87"/>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95"/>
        <w:gridCol w:w="2837"/>
        <w:gridCol w:w="1397"/>
        <w:gridCol w:w="172"/>
        <w:gridCol w:w="412"/>
        <w:gridCol w:w="679"/>
        <w:gridCol w:w="2114"/>
        <w:gridCol w:w="1666"/>
        <w:gridCol w:w="707"/>
        <w:gridCol w:w="1547"/>
        <w:gridCol w:w="1050"/>
        <w:gridCol w:w="1125"/>
        <w:gridCol w:w="326"/>
        <w:gridCol w:w="261"/>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487ABE">
            <w:pPr>
              <w:pStyle w:val="MH3"/>
            </w:pPr>
            <w:bookmarkStart w:id="88" w:name="_Toc177480163"/>
            <w:r>
              <w:t>Vaatimukset – valmistuminen ja tarkastukset</w:t>
            </w:r>
            <w:bookmarkEnd w:id="88"/>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Ohjeet hankkeen tilaajalle</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D50D33" w:rsidRDefault="001A0646" w:rsidP="001A0646">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D50D33" w:rsidRDefault="001A0646" w:rsidP="001A0646">
            <w:pPr>
              <w:spacing w:line="240" w:lineRule="auto"/>
              <w:rPr>
                <w:rFonts w:ascii="Calibri" w:hAnsi="Calibri" w:cs="Calibri"/>
                <w:lang w:val="en-IE"/>
              </w:rPr>
            </w:pPr>
            <w:r w:rsidRPr="00D50D33">
              <w:rPr>
                <w:rFonts w:ascii="Calibri" w:hAnsi="Calibri"/>
                <w:lang w:val="en-IE"/>
              </w:rPr>
              <w:t> </w:t>
            </w:r>
          </w:p>
        </w:tc>
        <w:tc>
          <w:tcPr>
            <w:tcW w:w="435" w:type="dxa"/>
            <w:tcBorders>
              <w:top w:val="nil"/>
              <w:left w:val="nil"/>
              <w:bottom w:val="nil"/>
              <w:right w:val="nil"/>
            </w:tcBorders>
            <w:shd w:val="clear" w:color="000000" w:fill="FFFFFF"/>
            <w:hideMark/>
          </w:tcPr>
          <w:p w14:paraId="76B689D1" w14:textId="77777777" w:rsidR="001A0646" w:rsidRPr="00D50D33" w:rsidRDefault="001A0646" w:rsidP="001A0646">
            <w:pPr>
              <w:spacing w:line="240" w:lineRule="auto"/>
              <w:rPr>
                <w:rFonts w:ascii="Arial" w:hAnsi="Arial" w:cs="Arial"/>
                <w:lang w:val="en-IE"/>
              </w:rPr>
            </w:pPr>
            <w:r w:rsidRPr="00D50D33">
              <w:rPr>
                <w:rFonts w:ascii="Arial" w:hAnsi="Arial"/>
                <w:lang w:val="en-IE"/>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Palaute / korjaukset / lisäykset: sähköpostitse osoitteeseen </w:t>
            </w:r>
            <w:hyperlink r:id="rId13" w:history="1">
              <w:r>
                <w:rPr>
                  <w:rStyle w:val="Hyperlink"/>
                  <w:rFonts w:ascii="Arial" w:hAnsi="Arial"/>
                  <w:color w:val="104D54"/>
                  <w:sz w:val="16"/>
                </w:rPr>
                <w:t>BGDPV@pianoo.nl</w:t>
              </w:r>
            </w:hyperlink>
          </w:p>
          <w:p w14:paraId="37FEE408" w14:textId="77777777" w:rsidR="00CE1B5F" w:rsidRPr="00D50D33" w:rsidRDefault="00CE1B5F" w:rsidP="001A0646">
            <w:pPr>
              <w:spacing w:line="240" w:lineRule="auto"/>
              <w:rPr>
                <w:rFonts w:ascii="Arial" w:hAnsi="Arial" w:cs="Arial"/>
                <w:color w:val="808080"/>
                <w:sz w:val="16"/>
                <w:szCs w:val="16"/>
                <w:lang w:eastAsia="en-GB"/>
              </w:rPr>
            </w:pPr>
          </w:p>
          <w:p w14:paraId="23F5E4D4" w14:textId="77777777" w:rsidR="00CE1B5F" w:rsidRPr="00D50D33"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Nro</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Kuvaus</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Arvo</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Sisältyykö?</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Selitys tilaajalle</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Selitys tarjoajalle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Tarkistus ja vahvistus</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Jos jätetään noudattamatta</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 xml:space="preserve"> </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Loppuraportti</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Kun urakka on valmis, </w:t>
            </w:r>
            <w:r>
              <w:rPr>
                <w:rFonts w:ascii="Arial" w:hAnsi="Arial"/>
                <w:b/>
                <w:color w:val="000000"/>
                <w:sz w:val="20"/>
                <w:u w:val="single"/>
              </w:rPr>
              <w:t>jokaisesta kohteesta</w:t>
            </w:r>
            <w:r>
              <w:rPr>
                <w:rFonts w:ascii="Arial" w:hAnsi="Arial"/>
                <w:b/>
                <w:color w:val="000000"/>
                <w:sz w:val="20"/>
              </w:rPr>
              <w:t xml:space="preserve"> on toimitettava loppuraportti. Raportti on valmiin järjestelmän tilaa kuvaava as-built-tiedosto, jossa esitetään seuraavat tiedot:</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Tarkista loppuraportti vertaamalla sitä aiemmin lähetettyyn suunnitelmaan.</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Poikkeamien korjaaminen, jos asiakas katsoo sen tarpeelliseksi</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Kiinteistön nimi ja osoite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Käyttöopas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Turvallisuusohjeet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Määrälaskelmat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Paneelien, vaihtosuuntaajien ja ketjujen sijoittelu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Kaaviokuvat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Tukirakenne</w:t>
            </w:r>
            <w:r>
              <w:rPr>
                <w:rFonts w:ascii="Arial" w:hAnsi="Arial"/>
                <w:color w:val="000000"/>
                <w:sz w:val="20"/>
              </w:rPr>
              <w:t>: tekniset eritelmät, ilmoitus vakauden varmistamisesta, takuut ja todistukset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Aurinkopaneelit</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tietolomake, joka sisältää paneelien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yksinkertaistettu hiilidioksidipäästöjen arviointi (Certisoliksen PPE2/CRE4:n mukaisesti myöntämä todistus)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tuotetakuu + suorituskykytakuu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luettelo paneelin sarjanumeroista + kutakin sarjanumeroa koskevien Flash-testien tiedot (I-V-käyrä)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asennusohjeet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jos taustalevynä käytetään muovikalvoa, jonka materiaalia ei mainita datalehdessä: vahvistus, ettei muovikalvo sisällä PFAS-yhdisteitä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Vahvistus on valmistajan laatima ja allekirjoittama asiakirja, jossa ilmoitetaan taustalevyn materiaalit ja vahvistetaan, ettei se sisällä PFAS-yhdisteitä.</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Asiakkaan teknisen konsultin toimesta</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Sähköasennus, DC-puoli: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kaapelointia koskevat 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paneeliketjun kaaviokuva sekä koodi tai tunniste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kaapeloinnin, liittimien ja liitäntärasian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kaapeloinnin ja liittimien todistukset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Sähköasennus, AC-puoli: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kaapelointia koskevat 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kaaviokuvat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verkon irtikytkentäsuojauksen, releiden, katkaisijan, ylijännitesuojan, käytettyjen vikavirtasuojakytkimien, sulakkeiden ja kaapeloinnin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Vaihtosuuntaaja(t):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todistukset ja sertifikaatit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takuut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käyttöohje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kunkin vaihtosuuntaajan sarjanumero ja tunnistemerkintä</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Seurannan tiedot</w:t>
            </w:r>
            <w:r>
              <w:rPr>
                <w:rFonts w:ascii="Arial" w:hAnsi="Arial"/>
                <w:color w:val="000000"/>
                <w:sz w:val="20"/>
              </w:rPr>
              <w:t>: tiedonkeruulaitteen tekniset eritelmät, kirjautumistiedot ja käyttöohjeet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Tuottotakuut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Todiste verkonhaltijalle ja mittausyhtiölle tehdystä rekisteröinti-ilmoituksesta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Verkkosyötön EAN-koodi</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Valinnaiset vaatimukset yli 1 MWp:n hankkeissa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Urakoitsija hyväksyy PAC-todistuksen (väliaikainen hyväksymistodistus) käyttöönottotarkastuksen jälkeen ja ryhtyy käsittelemään lueteltuja poikkeamia.</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PAC-todistuksessa esitetään teknisen neuvonantajan yleiskatsaus merkittävistä ja vähäisistä poikkeamista ja täsmennetään kohteet, joissa on tehtävä parannuksia ennen lopullista hyväksyntää.</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Käyttöönottotarkastuksen raportti (SCIOS Scope 12) / tekninen neuvonantaja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Asentaja / EPC-urakoitsija / rakentaja tekee parannuksia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Urakoitsija tekee kaiken tarvittavan ... kuukauden kuluessa PAC-todistuksen saamisesta, jotta FAC-todistus (lopullinen hyväksymistodistus) voidaan antaa.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x kuukauden kuluessa</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FAC-todistuksessa selvitetään kunkin PAC-todistuksen parannuskohteen osalta, katsooko laitteiston omistaja tai tämän tekninen neuvonantaja, että parannus on tehty. Todistus annetaan, kun: kaikki PAC-todistuksessa mainitut parannukset on tehty; viimeisten 30 päivän todellinen suorituskyvyn suhdeluku on vähintään 98 prosenttia nimellisestä suorituskyvyn suhdeluvusta (PR</w:t>
            </w:r>
            <w:r>
              <w:rPr>
                <w:rFonts w:ascii="Arial" w:hAnsi="Arial"/>
                <w:color w:val="000000"/>
                <w:sz w:val="20"/>
                <w:vertAlign w:val="subscript"/>
              </w:rPr>
              <w:t>N</w:t>
            </w:r>
            <w:r>
              <w:rPr>
                <w:rFonts w:ascii="Arial" w:hAnsi="Arial"/>
                <w:color w:val="000000"/>
                <w:sz w:val="20"/>
              </w:rPr>
              <w:t xml:space="preserve">, ks. hankintasopimus); loppuraportti on päivitetty as-built-asiakirjalla.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Käyttöönottotarkastuksen raportti (SCIOS Scope 12) / tekninen neuvonantaja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lastRenderedPageBreak/>
              <w:t>Valinnaiset vaatimukset yli 10 MWp:n hankkeissa</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Otantatestit toimitettujen aurinkopaneelien tehon ja laadun tarkistamiseksi.</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P_testi &gt; 99 % P_valmistaja 2) Hyväksyttävä kunto</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Yleensä vain yli 10 MWp:n hankkeissa. Otantatestissä tarkastetaan seuraavat: 1) otoksen teho on riippumattoman I-V-testin mukaan yli 99 prosenttia valmistajan ilmoittamasta tehosta 2) otos on hyväksyttävässä kunnossa (silmämääräinen tarkastus, mikrohalkeamien määrä EL-testin mukaan jne.).</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I-V-raportti ja EL-kuvat paneeleista, jotka on valittu otantatestiin standardin IS 2859 mukaisesti (AQL-tason S2 tai S3 mukainen lukumäärä).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Vaatii teknisen neuvonantajan hyväksynnän.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Jos poikkeama on huomattava (yli prosentti), toimitetaan lisää paneeleita, kunnes todellinen tasavirtateho vastaa tarjouksessa esitettyä DC-tehoa, tai myönnetään suhteellinen alennus hankkeen kokonaiskustannuksista.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Tehdastarkastus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Arviointi: ’riittävä’</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Yleensä vain yli 10 MWp:n hankkeissa. Kustannukset noin 3 000–7 000 euroa. Moduuleita valmistava tehdas tarkastetaan ennen aurinkopaneelien tuotantoa tai sen aikana. Tähän kuuluu myös materiaalien laadun ja tuotantoprosessin tarkastaminen.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487ABE">
      <w:pPr>
        <w:pStyle w:val="MH2"/>
      </w:pPr>
      <w:bookmarkStart w:id="89" w:name="_Toc177480164"/>
      <w:r>
        <w:t>10.7 – Vaatimukset – valmistuminen ja tarkastukset</w:t>
      </w:r>
      <w:bookmarkEnd w:id="89"/>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26"/>
        <w:gridCol w:w="2796"/>
        <w:gridCol w:w="1757"/>
        <w:gridCol w:w="216"/>
        <w:gridCol w:w="223"/>
        <w:gridCol w:w="1012"/>
        <w:gridCol w:w="223"/>
        <w:gridCol w:w="216"/>
        <w:gridCol w:w="3225"/>
        <w:gridCol w:w="2210"/>
        <w:gridCol w:w="2224"/>
        <w:gridCol w:w="226"/>
        <w:gridCol w:w="35"/>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487ABE">
            <w:pPr>
              <w:pStyle w:val="MH2"/>
            </w:pPr>
            <w:bookmarkStart w:id="90" w:name="_Toc177480165"/>
            <w:r>
              <w:t>Vaatimukset – Kunnossapito ja seuranta</w:t>
            </w:r>
            <w:bookmarkEnd w:id="90"/>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Huomautus: vain, jos huoltoa ja seurantaa edellytetään sopimuksessa/tarjouspyynnössä.</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Aurinkosähköhankkeiden vaatimusten ja hankintasopimuksen malli</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Ohjeet hankkeen tilaajalle</w:t>
            </w:r>
            <w:r>
              <w:rPr>
                <w:rFonts w:ascii="Arial" w:hAnsi="Arial"/>
                <w:color w:val="808080"/>
                <w:sz w:val="16"/>
              </w:rPr>
              <w:t xml:space="preserve"> 1. Muuta sinistä tekstiä keltaisissa kentissä.</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D50D33" w:rsidRDefault="00DB3C55" w:rsidP="00DB3C55">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826" w:type="dxa"/>
            <w:tcBorders>
              <w:top w:val="nil"/>
              <w:left w:val="nil"/>
              <w:bottom w:val="nil"/>
              <w:right w:val="nil"/>
            </w:tcBorders>
            <w:shd w:val="clear" w:color="000000" w:fill="FFFFFF"/>
            <w:hideMark/>
          </w:tcPr>
          <w:p w14:paraId="0E45C0CE"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1486" w:type="dxa"/>
            <w:gridSpan w:val="3"/>
            <w:tcBorders>
              <w:top w:val="nil"/>
              <w:left w:val="nil"/>
              <w:bottom w:val="nil"/>
              <w:right w:val="nil"/>
            </w:tcBorders>
            <w:shd w:val="clear" w:color="000000" w:fill="FFFFFF"/>
            <w:hideMark/>
          </w:tcPr>
          <w:p w14:paraId="2502669F"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Nro</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Kuvaus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Arvo</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Sisältyykö?</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Selitys tilaajalle</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Tarkistus ja vahvistus</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Jos jätetään noudattamatta</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Huolto ja korjaus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Laitteiston käytettävyys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alle 1 MWp:n järjestelmät: &gt; 98 %;   yli 1 MWp:n järjestelmät: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Päätetään yhdessä konsultin kanssa. Tätä vaatimusta ei aina sisällytetä. Käytettävyydellä tarkoitetaan, että hanke on toiminnassa 98–99 prosenttia päivänvalon ajasta. Huoltotoimien on oltava lyhyitä ja viat on korjattava nopeasti.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Seurantajärjestelmästä tai sen tuottamista raporteista.</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Valinnainen: jos kyse on suuresta järjestelmästä, käytössä on usein seuraamusmaksu.</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Mitatun suorituskyvyn suhdeluvun (PR</w:t>
            </w:r>
            <w:r>
              <w:rPr>
                <w:rFonts w:ascii="Arial" w:hAnsi="Arial"/>
                <w:b/>
                <w:color w:val="000000"/>
                <w:sz w:val="18"/>
                <w:vertAlign w:val="subscript"/>
              </w:rPr>
              <w:t>M</w:t>
            </w:r>
            <w:r>
              <w:rPr>
                <w:rFonts w:ascii="Arial" w:hAnsi="Arial"/>
                <w:b/>
                <w:color w:val="000000"/>
                <w:sz w:val="18"/>
              </w:rPr>
              <w:t>)</w:t>
            </w:r>
            <w:r>
              <w:rPr>
                <w:rFonts w:ascii="Arial" w:hAnsi="Arial"/>
                <w:color w:val="000000"/>
                <w:sz w:val="18"/>
              </w:rPr>
              <w:t xml:space="preserve"> on yhden vuoden aikana oltava vähintään 97 prosenttia nimellisestä suorituskyvyn suhdeluvusta (PR</w:t>
            </w:r>
            <w:r>
              <w:rPr>
                <w:rFonts w:ascii="Arial" w:hAnsi="Arial"/>
                <w:color w:val="000000"/>
                <w:sz w:val="18"/>
                <w:vertAlign w:val="subscript"/>
              </w:rPr>
              <w:t>N</w:t>
            </w:r>
            <w:r>
              <w:rPr>
                <w:rFonts w:ascii="Arial" w:hAnsi="Arial"/>
                <w:color w:val="000000"/>
                <w:sz w:val="18"/>
              </w:rPr>
              <w:t>, ks. taulukko 9 – Hankintasopimus).</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Päätetään yhdessä konsultin kanssa. Tätä vaatimusta ei aina sisällytetä. PR</w:t>
            </w:r>
            <w:r>
              <w:rPr>
                <w:rFonts w:ascii="Arial" w:hAnsi="Arial"/>
                <w:sz w:val="18"/>
                <w:vertAlign w:val="subscript"/>
              </w:rPr>
              <w:t>M</w:t>
            </w:r>
            <w:r>
              <w:rPr>
                <w:rFonts w:ascii="Arial" w:hAnsi="Arial"/>
                <w:sz w:val="18"/>
              </w:rPr>
              <w:t xml:space="preserve"> määritetään jakamalla yhden vuoden aikana tuotettu sähköenergia asennetun laitteiston teholla (DC-wattipiikki) ja kyseisen vuoden todellisella säteilyllä neliömetriä kohti. Tiedot säteilyn määrästä saadaan esimerkiksi lähimmältä sääasemalta tai kohteeseen sijoitetulla säteilymittarilla.  Yli kolmen </w:t>
            </w:r>
            <w:r>
              <w:rPr>
                <w:rFonts w:ascii="Arial" w:hAnsi="Arial"/>
                <w:sz w:val="18"/>
              </w:rPr>
              <w:lastRenderedPageBreak/>
              <w:t xml:space="preserve">prosentin erot viittaavat ongelmiin laitteistossa.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Vuosittain seurantajärjestelmästä tai sen tuottamista vuosiraporteista.</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Valinnainen: jos kyse on suuresta järjestelmästä, käytössä on usein seuraamusmaksu, esimerkiksi 60 euroa menetettyä MWh:n tuotantoa kohden verrattuna tuotantoon, joka olisi saavutettu, jos PR</w:t>
            </w:r>
            <w:r>
              <w:rPr>
                <w:rFonts w:ascii="Arial" w:hAnsi="Arial"/>
                <w:color w:val="000000"/>
                <w:sz w:val="18"/>
                <w:vertAlign w:val="subscript"/>
              </w:rPr>
              <w:t>G</w:t>
            </w:r>
            <w:r>
              <w:rPr>
                <w:rFonts w:ascii="Arial" w:hAnsi="Arial"/>
                <w:color w:val="000000"/>
                <w:sz w:val="18"/>
              </w:rPr>
              <w:t xml:space="preserve"> = 97 % PR</w:t>
            </w:r>
            <w:r>
              <w:rPr>
                <w:rFonts w:ascii="Arial" w:hAnsi="Arial"/>
                <w:color w:val="000000"/>
                <w:sz w:val="18"/>
                <w:vertAlign w:val="subscript"/>
              </w:rPr>
              <w:t>N</w:t>
            </w:r>
            <w:r>
              <w:rPr>
                <w:rFonts w:ascii="Arial" w:hAnsi="Arial"/>
                <w:color w:val="000000"/>
                <w:sz w:val="18"/>
              </w:rPr>
              <w:t>:sta.</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Tarkastus- ja kunnossapitosuunnitelma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Asiakirja, jossa kuvataan, miten ja kuinka usein tarkastuksia ja kunnossapitotoimia tehdään.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A.</w:t>
            </w:r>
            <w:r>
              <w:rPr>
                <w:rFonts w:ascii="Arial" w:hAnsi="Arial"/>
                <w:color w:val="000000"/>
                <w:sz w:val="18"/>
              </w:rPr>
              <w:t xml:space="preserve"> Muuntajan, vaihtosuuntaajan tai seurantajärjestelmän vikaantuessa: syyn selvittäminen ja korjaavien toimenpiteiden ehdottaminen seuraavassa ajassa: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4 tuntia; järjestelmät, joiden teho on 100 kW – 1 MWp: 24 tuntia; alle 100 kW:n järjestelmät: 72 tuntia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B.</w:t>
            </w:r>
            <w:r>
              <w:rPr>
                <w:rFonts w:ascii="Arial" w:hAnsi="Arial"/>
                <w:color w:val="000000"/>
                <w:sz w:val="18"/>
              </w:rPr>
              <w:t xml:space="preserve"> Paneeliketjun tai yli neljän aurinkosähkömoduulin vikaantuessa: syyn selvittäminen ja korjaavien toimenpiteiden ehdottaminen seuraavassa ajassa: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24 tuntia; järjestelmät, joiden teho on 100 kW – 1 MWp: 72 tuntia; alle 100 kW:n järjestelmät: viikko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C.</w:t>
            </w:r>
            <w:r>
              <w:rPr>
                <w:rFonts w:ascii="Arial" w:hAnsi="Arial"/>
                <w:color w:val="000000"/>
                <w:sz w:val="18"/>
              </w:rPr>
              <w:t xml:space="preserve"> Yksittäisen aurinkosähkömoduulin vikaantuessa: syyn selvittäminen ja korjaavien toimenpiteiden ehdottaminen seuraavassa ajassa: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72 tuntia; järjestelmät, joiden teho on 100 kW – 1 MWp: viikko; alle 100 kW:n järjestelmät: viikko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Vaihtosuuntaajien ja (tarvittaessa) muuntajan ennaltaehkäisevä huolto.</w:t>
            </w:r>
            <w:r>
              <w:rPr>
                <w:rFonts w:ascii="Arial" w:hAnsi="Arial"/>
                <w:color w:val="000000"/>
                <w:sz w:val="18"/>
              </w:rPr>
              <w:t xml:space="preserve"> Muuntajat ja vaihtosuuntaajat on huollettava </w:t>
            </w:r>
            <w:r>
              <w:rPr>
                <w:rFonts w:ascii="Arial" w:hAnsi="Arial"/>
                <w:color w:val="000000"/>
                <w:sz w:val="18"/>
              </w:rPr>
              <w:lastRenderedPageBreak/>
              <w:t xml:space="preserve">ennaltaehkäisevästi valmistajan edellyttämällä tavalla...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vuosittain / puolen vuoden välein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Aurinkopaneelien, kaapeleiden, liittimien ja alusrakenteen ennaltaehkäisevä huolto. </w:t>
            </w:r>
            <w:r>
              <w:rPr>
                <w:rFonts w:ascii="Arial" w:hAnsi="Arial"/>
                <w:color w:val="000000"/>
                <w:sz w:val="18"/>
              </w:rPr>
              <w:t xml:space="preserve">Silmämääräiset tarkastukset ja tarvittavat paikan päällä tehtävät korjaus- tai säätötyöt, jotka suoritetaan yhtä usein kuin vaihtosuuntaajien ennaltaehkäisevä huolto.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Aurinkopaneelien puhdistus. </w:t>
            </w:r>
            <w:r>
              <w:rPr>
                <w:rFonts w:ascii="Arial" w:hAnsi="Arial"/>
                <w:color w:val="000000"/>
                <w:sz w:val="18"/>
              </w:rPr>
              <w:t xml:space="preserve">Silmämääräisen tarkastuksen ja järjestelmän suorituskyvyn suhdeluvun perusteella, huollosta ja seurannasta vastaavan tahon päätöksellä.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Päätetään yhdessä konsultin kanssa. Alankomaissa sade riittää huuhtelemaan paneelit, eivätkä puhdistuskustannukset ole useinkaan kannattavia lisätuotokseen verrattuna. Puhdistuksesta voi kuitenkin olla hyötyä, jos likaantuminen on jatkuvaa. Tämä voi johtua esimerkiksi sääolosuhteista, runsaista lintuesiintymistä, paneelien vähäisestä kaltevuudesta tai alimpiin kennoihin levinneestä sammaleesta tai levästä.</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Kasvillisuuden hoito</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Päätetään yhdessä konsultin kanssa. Kasvillisuus ei saa ulottua moduulien yläpuolelle (poikkeustapauksia lukuun ottamatta) tai haitata paneelien toimintaa.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Takuuvaatimusten hallinta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Asiakirja, jossa kuvataan, kuka ottaa vastuun paneelin tai vaihtosuuntaajan rikkoutuessa sekä miten takuuvaatimus esitetään.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Seuranta</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Seurantajärjestelmän on mitattava aurinkopaneelien suorituskyky (kWh/aikayksikkö) paneeliketjun tasolla.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Aurinkoenergialaitteistossa on oltava seurantajärjestelmä, joka mahdollistaa järjestelmän ympärivuorokautisen etäluennan (langattoman) yhteyden avulla.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Seuranta-alustalla tulee esittää ainakin seuraavat tiedot: – vaihtosuuntaajien reaaliaikainen tuotanto (kWh)– vaihtosuuntaajien yhteenlaskettu kokonaistuotanto (kWh) – vaihtosuuntaajien yhteenlaskettu AC-teho (W)– DC-jännite vaihtosuuntaajaa kohden (V)– DC-virta vaihtosuuntaajaa kohden (A)– jokaisen vaihtosuuntaajan DC-teho (W)– jokaisen vaihtosuuntaajan AC-jännite / vaihe– jokaisen vaihtosuuntaajan AC-virta / vaihe– vaihtosuuntaajien toimintatilat– vaihtosuuntaajien vikatilat – yhteyshäiriöt – toteutuneet arvot suhteessa odotettuihin arvoihin.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Seurantajärjestelmän käytettävyyden on oltava vähintään 99 prosenttia.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Valinnainen</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Tilanneraportit, jotka sisältävät seurantajärjestelmän tiedot edelliseltä kuukaudelta, on lähetettävä 15 päivän kuluessa kuukauden päättymisestä.</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Huollosta ja seurannasta vastaavalla yrityksellä on kokemusta ja se on hallinnoinut aurinkosähkölaitteistoja, joiden yhteenlaskettu koko on vähintään:</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Huollosta ja seurannasta vastaavalla yrityksellä on näyttöä onnistumisista.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keskiarvo &gt; 95 GPR ja käytettävyys &gt; 98 % kahden viimeksi kuluneen vuoden aikana</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Default="003070E7" w:rsidP="003339C0">
      <w:pPr>
        <w:rPr>
          <w:b/>
          <w:bCs/>
          <w:color w:val="92D050"/>
          <w:lang w:val="en-US"/>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Default="003070E7" w:rsidP="003339C0">
      <w:pPr>
        <w:rPr>
          <w:b/>
          <w:bCs/>
          <w:color w:val="92D050"/>
          <w:lang w:val="en-US"/>
        </w:rPr>
      </w:pPr>
    </w:p>
    <w:p w14:paraId="1D71BBAC" w14:textId="10712AB3" w:rsidR="003070E7" w:rsidRDefault="003070E7" w:rsidP="003339C0">
      <w:pPr>
        <w:rPr>
          <w:b/>
          <w:bCs/>
          <w:color w:val="92D050"/>
          <w:lang w:val="en-US"/>
        </w:rPr>
      </w:pPr>
    </w:p>
    <w:p w14:paraId="4C3F6BB7" w14:textId="5F688E32" w:rsidR="003070E7" w:rsidRPr="0075115D" w:rsidRDefault="003070E7" w:rsidP="003339C0">
      <w:pPr>
        <w:rPr>
          <w:b/>
          <w:bCs/>
          <w:color w:val="92D050"/>
          <w:lang w:val="en-US"/>
        </w:rPr>
      </w:pPr>
    </w:p>
    <w:p w14:paraId="61DAB9FF" w14:textId="6AB8FB56" w:rsidR="00343E75" w:rsidRPr="0075115D" w:rsidRDefault="00343E75" w:rsidP="003339C0">
      <w:pPr>
        <w:rPr>
          <w:b/>
          <w:bCs/>
          <w:color w:val="92D050"/>
          <w:lang w:val="en-US"/>
        </w:rPr>
      </w:pPr>
    </w:p>
    <w:p w14:paraId="67F1A444" w14:textId="7D15F93D" w:rsidR="00343E75" w:rsidRPr="0075115D" w:rsidRDefault="00343E75" w:rsidP="003339C0">
      <w:pPr>
        <w:rPr>
          <w:b/>
          <w:bCs/>
          <w:color w:val="92D050"/>
          <w:lang w:val="en-US"/>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75115D" w:rsidRDefault="00343E75" w:rsidP="003339C0">
      <w:pPr>
        <w:rPr>
          <w:b/>
          <w:bCs/>
          <w:color w:val="92D050"/>
          <w:lang w:val="en-US"/>
        </w:rPr>
      </w:pPr>
    </w:p>
    <w:p w14:paraId="450BA66A" w14:textId="31599682" w:rsidR="00343E75" w:rsidRPr="0075115D" w:rsidRDefault="00343E75" w:rsidP="003339C0">
      <w:pPr>
        <w:rPr>
          <w:b/>
          <w:bCs/>
          <w:color w:val="92D050"/>
          <w:lang w:val="en-US"/>
        </w:rPr>
      </w:pPr>
    </w:p>
    <w:p w14:paraId="638A39F7" w14:textId="45E7D93E" w:rsidR="00343E75" w:rsidRPr="0075115D" w:rsidRDefault="00343E75" w:rsidP="003339C0">
      <w:pPr>
        <w:rPr>
          <w:b/>
          <w:bCs/>
          <w:color w:val="92D050"/>
          <w:lang w:val="en-US"/>
        </w:rPr>
      </w:pPr>
    </w:p>
    <w:p w14:paraId="2180D07C" w14:textId="77777777" w:rsidR="00343E75" w:rsidRPr="0075115D" w:rsidRDefault="00343E75" w:rsidP="003339C0">
      <w:pPr>
        <w:rPr>
          <w:b/>
          <w:bCs/>
          <w:color w:val="92D050"/>
          <w:lang w:val="en-US"/>
        </w:rPr>
      </w:pPr>
    </w:p>
    <w:p w14:paraId="33514DCD" w14:textId="75FFDC4B" w:rsidR="00343E75" w:rsidRPr="0075115D" w:rsidRDefault="00343E75" w:rsidP="003339C0">
      <w:pPr>
        <w:rPr>
          <w:b/>
          <w:bCs/>
          <w:color w:val="92D050"/>
          <w:lang w:val="en-US"/>
        </w:rPr>
      </w:pPr>
    </w:p>
    <w:p w14:paraId="30E6402C" w14:textId="77777777" w:rsidR="00343E75" w:rsidRPr="0075115D" w:rsidRDefault="00343E75" w:rsidP="003339C0">
      <w:pPr>
        <w:rPr>
          <w:b/>
          <w:bCs/>
          <w:color w:val="92D050"/>
          <w:lang w:val="en-US"/>
        </w:rPr>
      </w:pPr>
    </w:p>
    <w:p w14:paraId="6819D09B" w14:textId="73560F8A" w:rsidR="003070E7"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487ABE">
      <w:pPr>
        <w:pStyle w:val="MH2"/>
      </w:pPr>
      <w:bookmarkStart w:id="91" w:name="_Toc177480166"/>
      <w:r>
        <w:t>10.8 – Vaatimukset – Kunnossapito ja seuranta</w:t>
      </w:r>
      <w:bookmarkEnd w:id="91"/>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487ABE">
            <w:pPr>
              <w:pStyle w:val="MH3"/>
            </w:pPr>
            <w:bookmarkStart w:id="92" w:name="_Toc177480167"/>
            <w:r>
              <w:t>Vaatimukset – Ympäristö ja biologinen monimuotoisuus</w:t>
            </w:r>
            <w:bookmarkEnd w:id="92"/>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Ohjeet hankkeen tilaajalle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D50D33" w:rsidRDefault="00DB3C55" w:rsidP="00DB3C55">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Nro</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Kuvaus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Sisältyykö?</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Selitys</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Tarkistus ja vahvistus</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Jos jätetään noudattamatta</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AURINKOPANEELIKENTÄT / MAA-ASENNUKSET</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Maaperä saa riittävästi auringonvaloa; maapeittosuhde (GCR). </w:t>
            </w:r>
            <w:r>
              <w:rPr>
                <w:rFonts w:ascii="Arial" w:hAnsi="Arial"/>
                <w:color w:val="000000"/>
                <w:sz w:val="18"/>
              </w:rPr>
              <w:t>Maaperän riittävän elämän varmistamiseksi GCR:n tulisi olla alle 70 prosenttia.</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Maapeittosuhde on aurinkopaneelien maahan heijastama pinta-ala suhteessa maa-alaan, johon paneelirivit on järjestetty.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Maaperä saa riittävästi vettä; paneelit asennetaan vaakasuuntaisesti (</w:t>
            </w:r>
            <w:r>
              <w:rPr>
                <w:rFonts w:ascii="Arial" w:hAnsi="Arial"/>
                <w:b/>
                <w:i/>
                <w:iCs/>
                <w:color w:val="000000"/>
                <w:sz w:val="18"/>
              </w:rPr>
              <w:t>landscape orientation</w:t>
            </w:r>
            <w:r>
              <w:rPr>
                <w:rFonts w:ascii="Arial" w:hAnsi="Arial"/>
                <w:b/>
                <w:color w:val="000000"/>
                <w:sz w:val="18"/>
              </w:rPr>
              <w:t>) ja niiden väliin jätetään vähintään 2 cm.</w:t>
            </w:r>
            <w:r>
              <w:rPr>
                <w:rFonts w:ascii="Arial" w:hAnsi="Arial"/>
                <w:color w:val="000000"/>
                <w:sz w:val="18"/>
              </w:rPr>
              <w:t xml:space="preserve"> Vierekkäisten paneelien lyhyiden tai pitkien sivujen väliin on jätettävä vähintään 2 cm:n rako, jotta sadevesi pääsee maahan suurelta osin esteettömästi.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Aurinkosähkölaitteiston on läpäistävä TNO:n maaperätesti.</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Suositellaan sisällytettäväksi, jos järjestelmän koko on yli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KELLUVAT AURINKOSÄHKÖJÄRJESTELMÄT</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Huomautus: Kelluviin järjestelmiin sovelletaan useita hanke- ja paikkakohtaisia vaatimuksia, jotka on ensin määriteltävä yhdessä vesiviranomaisen kanssa.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Liukenevia materiaaleja ei saa käyttää.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Vesipuitedirektiivin mukaan vesialueiden kemiallinen koostumus ja ekologinen laatu on pidettävä hyvänä. Tiettyjen aineiden liukeneminen voi heikentää veden kemiallista koostumusta.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Vedenpeittoaste on enintään:</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Huomautus: enimmäispeittoasteen määrittää yleensä vesiviranomainen yhteistyössä ekologin kanssa.</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D50D33" w:rsidRDefault="00A92923" w:rsidP="00DB3C55">
      <w:pPr>
        <w:ind w:left="-900"/>
        <w:rPr>
          <w:b/>
          <w:bCs/>
          <w:color w:val="92D050"/>
        </w:rPr>
      </w:pPr>
    </w:p>
    <w:p w14:paraId="4914BD13" w14:textId="77777777" w:rsidR="00A92923" w:rsidRPr="00D50D33"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D50D33"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D50D33" w:rsidRDefault="00A92923" w:rsidP="00DB3C55">
      <w:pPr>
        <w:ind w:left="-900"/>
        <w:rPr>
          <w:b/>
          <w:bCs/>
          <w:color w:val="92D050"/>
        </w:rPr>
      </w:pPr>
    </w:p>
    <w:p w14:paraId="68EDDFCF" w14:textId="5C96501B" w:rsidR="00A92923" w:rsidRPr="00D50D33" w:rsidRDefault="00A92923" w:rsidP="00DB3C55">
      <w:pPr>
        <w:ind w:left="-900"/>
        <w:rPr>
          <w:b/>
          <w:bCs/>
          <w:color w:val="92D050"/>
        </w:rPr>
      </w:pPr>
    </w:p>
    <w:p w14:paraId="6098F31E" w14:textId="3C7AE79D" w:rsidR="00A92923" w:rsidRPr="00D50D33"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D50D33" w:rsidRDefault="00A92923" w:rsidP="00DB3C55">
      <w:pPr>
        <w:ind w:left="-900"/>
        <w:rPr>
          <w:b/>
          <w:bCs/>
          <w:color w:val="92D050"/>
        </w:rPr>
      </w:pPr>
    </w:p>
    <w:p w14:paraId="4A921ED9" w14:textId="3C383FFE" w:rsidR="00A92923" w:rsidRPr="00D50D33" w:rsidRDefault="00A92923" w:rsidP="00DB3C55">
      <w:pPr>
        <w:ind w:left="-900"/>
        <w:rPr>
          <w:b/>
          <w:bCs/>
          <w:color w:val="92D050"/>
        </w:rPr>
      </w:pPr>
    </w:p>
    <w:p w14:paraId="03B20077" w14:textId="77777777" w:rsidR="00A92923" w:rsidRPr="00D50D33" w:rsidRDefault="00A92923" w:rsidP="00DB3C55">
      <w:pPr>
        <w:ind w:left="-900"/>
        <w:rPr>
          <w:b/>
          <w:bCs/>
          <w:color w:val="92D050"/>
        </w:rPr>
      </w:pPr>
    </w:p>
    <w:p w14:paraId="4D59C320" w14:textId="42D95209" w:rsidR="00A92923" w:rsidRPr="00D50D33" w:rsidRDefault="00A92923" w:rsidP="00DB3C55">
      <w:pPr>
        <w:ind w:left="-900"/>
        <w:rPr>
          <w:b/>
          <w:bCs/>
          <w:color w:val="92D050"/>
        </w:rPr>
      </w:pPr>
    </w:p>
    <w:p w14:paraId="0CB8CFEE" w14:textId="77F1B3CF" w:rsidR="00A92923" w:rsidRPr="00D50D33"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D50D33" w:rsidRDefault="00A92923" w:rsidP="00DB3C55">
      <w:pPr>
        <w:ind w:left="-900"/>
        <w:rPr>
          <w:b/>
          <w:bCs/>
          <w:color w:val="92D050"/>
        </w:rPr>
      </w:pPr>
    </w:p>
    <w:p w14:paraId="3A56A566" w14:textId="77777777" w:rsidR="00A92923" w:rsidRPr="00D50D33" w:rsidRDefault="00A92923" w:rsidP="00DB3C55">
      <w:pPr>
        <w:ind w:left="-900"/>
        <w:rPr>
          <w:b/>
          <w:bCs/>
          <w:color w:val="92D050"/>
        </w:rPr>
      </w:pPr>
    </w:p>
    <w:p w14:paraId="030121B8" w14:textId="18101FDD" w:rsidR="00A92923" w:rsidRPr="00D50D33" w:rsidRDefault="00A92923" w:rsidP="00DB3C55">
      <w:pPr>
        <w:ind w:left="-900"/>
        <w:rPr>
          <w:b/>
          <w:bCs/>
          <w:color w:val="92D050"/>
        </w:rPr>
      </w:pPr>
    </w:p>
    <w:p w14:paraId="44A343D9" w14:textId="4CF70060" w:rsidR="00A92923" w:rsidRPr="00D50D33" w:rsidRDefault="00A92923" w:rsidP="00DB3C55">
      <w:pPr>
        <w:ind w:left="-900"/>
        <w:rPr>
          <w:b/>
          <w:bCs/>
          <w:color w:val="92D050"/>
        </w:rPr>
      </w:pPr>
    </w:p>
    <w:p w14:paraId="22D17B6A" w14:textId="77777777" w:rsidR="00A92923" w:rsidRPr="00D50D33" w:rsidRDefault="00A92923" w:rsidP="00DB3C55">
      <w:pPr>
        <w:ind w:left="-900"/>
        <w:rPr>
          <w:b/>
          <w:bCs/>
          <w:color w:val="92D050"/>
        </w:rPr>
      </w:pPr>
    </w:p>
    <w:p w14:paraId="078AA046" w14:textId="1A48CA1E" w:rsidR="00086957" w:rsidRPr="00FF29AA" w:rsidRDefault="00DB3C55" w:rsidP="00487ABE">
      <w:pPr>
        <w:pStyle w:val="MH2"/>
      </w:pPr>
      <w:bookmarkStart w:id="93" w:name="_Toc177480168"/>
      <w:r>
        <w:t>10.9 – Vaatimukset – Ympäristö ja biologinen monimuotoisuus</w:t>
      </w:r>
      <w:bookmarkEnd w:id="93"/>
    </w:p>
    <w:p w14:paraId="0906D6B2" w14:textId="77777777" w:rsidR="00086957" w:rsidRPr="00D50D33" w:rsidRDefault="00086957" w:rsidP="003339C0">
      <w:pPr>
        <w:rPr>
          <w:b/>
          <w:bCs/>
          <w:color w:val="92D050"/>
          <w:sz w:val="10"/>
          <w:szCs w:val="10"/>
        </w:rPr>
      </w:pPr>
    </w:p>
    <w:p w14:paraId="1500325A" w14:textId="5ABC6634" w:rsidR="001B0E84" w:rsidRPr="00FF29AA" w:rsidRDefault="00DB60F4" w:rsidP="00487ABE">
      <w:pPr>
        <w:pStyle w:val="MH3"/>
      </w:pPr>
      <w:bookmarkStart w:id="94" w:name="_Toc177480169"/>
      <w:r>
        <w:t>Tarjouksen liitteenä toimitettavat pakolliset asiakirjat</w:t>
      </w:r>
      <w:bookmarkEnd w:id="94"/>
    </w:p>
    <w:tbl>
      <w:tblPr>
        <w:tblW w:w="15580" w:type="dxa"/>
        <w:tblInd w:w="-810" w:type="dxa"/>
        <w:tblLook w:val="04A0" w:firstRow="1" w:lastRow="0" w:firstColumn="1" w:lastColumn="0" w:noHBand="0" w:noVBand="1"/>
      </w:tblPr>
      <w:tblGrid>
        <w:gridCol w:w="595"/>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D50D33" w:rsidRDefault="00776A72" w:rsidP="001B0E84">
            <w:pPr>
              <w:spacing w:line="240" w:lineRule="auto"/>
              <w:rPr>
                <w:rFonts w:ascii="Calibri" w:hAnsi="Calibri" w:cs="Calibri"/>
                <w:b/>
                <w:bCs/>
                <w:color w:val="3DC3C6"/>
                <w:sz w:val="28"/>
                <w:szCs w:val="28"/>
                <w:lang w:eastAsia="en-GB"/>
              </w:rPr>
            </w:pPr>
          </w:p>
          <w:p w14:paraId="2A9770E9" w14:textId="77777777" w:rsidR="00776A72" w:rsidRPr="00D50D33"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Nro</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Liite</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Kuvaus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Hanke</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Hankintasopimustaulukko</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Täytetty taulukko, jossa esitetään tarjouksen yksityiskohtaiset tiedot.</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Simulointiraportti tai -raportit kohteittain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Raportit tulee laatia ehdotuksen/tarjouksen pohjalta yleisesti hyväksytyllä simulointiohjelmistolla, kuten PVsyst tai PV*SOL.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Aurinkopaneelit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tietolomake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tuotetakuu</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Tuotetakuu tai työn laadun takuu</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hiilijalanjälkitodistus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ADEMEn yksinkertaistetun hiilidioksidipäästöjen arviointimenetelmän mukaan – PPE2 / 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Jos muu kuin lasi-lasi-paneeli, eikä tietolomakkeessa suljeta pois PFAS-yhdisteitä: vahvistus siitä, ettei paneeli sisällä PFAS-yhdisteitä</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Asiakirja, jossa paneelin valmistaja vahvistaa, ettei taustalevyssä ole käytetty PFAS-yhdisteitä.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Vaihtosuuntaaja</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Vaihtosuuntaajan tietolomake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Organisaation tiedot</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Referenssit kolmesta aiemmasta aurinkosähköhankkeesta</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Raportti käyttöönottotarkastuksesta (Scope 12) tai asiakkaan antama referenssi; kolme hanketta, joiden wattipiikkiteho on vähintään 30 prosenttia haettavan hankkeen koosta, viimeisten neljän vuoden ajalta.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Yhteinen eurooppalainen hankinta-asiakirja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Kaikissa eurooppalaisissa tarjouspyynnöissä käytettävä virallinen asiakirja, jossa tarjoajat ilmoittavat muun muassa mahdolliset yritystänsä koskevat poissulkemisperusteet, tarjoukseen osallistuvat </w:t>
            </w:r>
            <w:r>
              <w:rPr>
                <w:rFonts w:ascii="Arial" w:hAnsi="Arial"/>
                <w:color w:val="000000"/>
              </w:rPr>
              <w:lastRenderedPageBreak/>
              <w:t xml:space="preserve">osapuolet, useamman osapuolen tarjouksen rakenteen (alihankinta tai ryhmittymä) sekä henkilön tai henkilöt, jotka toimivat tarjouksen tehneen osapuolen/osapuolten valtuutettuina edustajina.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Mahdollisesti: todistukset ja sertifikaatit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Esimerkiksi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Täytetty määrälaskelma hintoineen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Tarjouksen tekijän on hinnoiteltava tarjoukseen sisältyvät tavarat ja palvelut sekä vahvistettava hintaluettelo allekirjoituksellaan. </w:t>
            </w:r>
          </w:p>
        </w:tc>
      </w:tr>
    </w:tbl>
    <w:p w14:paraId="34C9C1B9" w14:textId="324707D6" w:rsidR="00026952" w:rsidRPr="00A11B94" w:rsidRDefault="00DB60F4" w:rsidP="00487ABE">
      <w:pPr>
        <w:pStyle w:val="MH3"/>
      </w:pPr>
      <w:bookmarkStart w:id="95" w:name="_Toc177480170"/>
      <w:r>
        <w:t>Muutosloki</w:t>
      </w:r>
      <w:bookmarkEnd w:id="95"/>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240"/>
        <w:gridCol w:w="1603"/>
        <w:gridCol w:w="1330"/>
        <w:gridCol w:w="1791"/>
        <w:gridCol w:w="1509"/>
        <w:gridCol w:w="2452"/>
        <w:gridCol w:w="1528"/>
        <w:gridCol w:w="1789"/>
        <w:gridCol w:w="2347"/>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Kuvaus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Arvo</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Sisältyykö?</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Selitys tilaajalle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Selitys tarjoajalle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Tarkistus ja vahvistus</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Jos jätetään noudattamatta</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Tuotetakuu poistettu eri osapuolten esittämien vastaväitteiden vuoksi.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Tuotetakuu / työn laadun takuu</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vuotta</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Suositus: 30 vuotta kestävyysnäkökohtien ja alhaisten tasoitettujen kokonaistuotantokustannusten vuoksi. Lyhyemmissä hankkeissa voi olla 25 vuotta. Lyhyissä hankkeissa (5–10 vuotta) voidaan harkita käytettyjä paneeleja.</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Takuuaika on osoitus odotetusta teknisestä käyttöiästä. Se liittyy tuotetakuuseen. Huomautus: tavanomaisten aurinkopaneelien tuotetakuu on usein vain 10–12 vuotta.</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Tuotetakuu, ks. hankkeen loppuraportti ja käyttöönottotarkastus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Vaihto vaatimukset täyttäviin aurinkopaneeleihin</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B0A90" w14:textId="77777777" w:rsidR="00610EC5" w:rsidRDefault="00610EC5" w:rsidP="00A3595E">
      <w:r>
        <w:separator/>
      </w:r>
    </w:p>
  </w:endnote>
  <w:endnote w:type="continuationSeparator" w:id="0">
    <w:p w14:paraId="32F42BF7" w14:textId="77777777" w:rsidR="00610EC5" w:rsidRDefault="00610EC5"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FD70E" w14:textId="77777777" w:rsidR="00610EC5" w:rsidRDefault="00610EC5" w:rsidP="00A3595E">
      <w:r>
        <w:separator/>
      </w:r>
    </w:p>
  </w:footnote>
  <w:footnote w:type="continuationSeparator" w:id="0">
    <w:p w14:paraId="6DCC798F" w14:textId="77777777" w:rsidR="00610EC5" w:rsidRDefault="00610EC5"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JULKISTEN OSTAJIEN YHTEISÖ</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AURINKOSÄHKÖHANKKEEN VALMISTELU</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fi-FI"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4BC5"/>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3265"/>
    <w:rsid w:val="002B681B"/>
    <w:rsid w:val="002C36C7"/>
    <w:rsid w:val="002C5DFF"/>
    <w:rsid w:val="002C7DD6"/>
    <w:rsid w:val="002E2075"/>
    <w:rsid w:val="002E4ADD"/>
    <w:rsid w:val="002E77C8"/>
    <w:rsid w:val="002F5274"/>
    <w:rsid w:val="00301A85"/>
    <w:rsid w:val="003070E7"/>
    <w:rsid w:val="00313287"/>
    <w:rsid w:val="003152D2"/>
    <w:rsid w:val="00321C0F"/>
    <w:rsid w:val="0032392B"/>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87ABE"/>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24D0"/>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0EC5"/>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4EE2"/>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8271B"/>
    <w:rsid w:val="007925B3"/>
    <w:rsid w:val="007938BB"/>
    <w:rsid w:val="007971AE"/>
    <w:rsid w:val="007A1260"/>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7F6507"/>
    <w:rsid w:val="008001AA"/>
    <w:rsid w:val="008103EA"/>
    <w:rsid w:val="008176C6"/>
    <w:rsid w:val="008201E9"/>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266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371A7"/>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17760"/>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2A3"/>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0D33"/>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A61BC"/>
    <w:rsid w:val="00EB2D87"/>
    <w:rsid w:val="00EB7AFD"/>
    <w:rsid w:val="00EC16ED"/>
    <w:rsid w:val="00EE47C1"/>
    <w:rsid w:val="00EF41FD"/>
    <w:rsid w:val="00EF504B"/>
    <w:rsid w:val="00F017F6"/>
    <w:rsid w:val="00F12939"/>
    <w:rsid w:val="00F13B21"/>
    <w:rsid w:val="00F16ACA"/>
    <w:rsid w:val="00F25240"/>
    <w:rsid w:val="00F3227A"/>
    <w:rsid w:val="00F34B4A"/>
    <w:rsid w:val="00F51F9A"/>
    <w:rsid w:val="00F541A6"/>
    <w:rsid w:val="00F54B0E"/>
    <w:rsid w:val="00F5620B"/>
    <w:rsid w:val="00F65697"/>
    <w:rsid w:val="00F7042B"/>
    <w:rsid w:val="00F72ABE"/>
    <w:rsid w:val="00F77AB8"/>
    <w:rsid w:val="00F90732"/>
    <w:rsid w:val="00F97A38"/>
    <w:rsid w:val="00FA0C72"/>
    <w:rsid w:val="00FA41A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487ABE"/>
  </w:style>
  <w:style w:type="character" w:customStyle="1" w:styleId="Style2Char">
    <w:name w:val="Style2 Char"/>
    <w:basedOn w:val="Heading1Char"/>
    <w:link w:val="Style2"/>
    <w:rsid w:val="00487ABE"/>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87ABE"/>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87ABE"/>
    <w:pPr>
      <w:ind w:left="-851"/>
    </w:pPr>
  </w:style>
  <w:style w:type="character" w:customStyle="1" w:styleId="SUB1Char">
    <w:name w:val="SUB1 Char"/>
    <w:basedOn w:val="DefaultParagraphFont"/>
    <w:link w:val="SUB1"/>
    <w:rsid w:val="00487ABE"/>
    <w:rPr>
      <w:rFonts w:ascii="Arial" w:eastAsia="Times New Roman" w:hAnsi="Arial" w:cs="Arial"/>
      <w:b/>
      <w:color w:val="104D54"/>
      <w:sz w:val="36"/>
      <w:szCs w:val="36"/>
      <w:lang w:eastAsia="nl-NL"/>
    </w:rPr>
  </w:style>
  <w:style w:type="character" w:customStyle="1" w:styleId="MH2Char">
    <w:name w:val="MH2 Char"/>
    <w:basedOn w:val="SUB1Char"/>
    <w:link w:val="MH2"/>
    <w:rsid w:val="00487ABE"/>
    <w:rPr>
      <w:rFonts w:ascii="Arial" w:eastAsia="Times New Roman" w:hAnsi="Arial" w:cs="Arial"/>
      <w:b/>
      <w:color w:val="104D54"/>
      <w:sz w:val="36"/>
      <w:szCs w:val="36"/>
      <w:lang w:eastAsia="nl-NL"/>
    </w:rPr>
  </w:style>
  <w:style w:type="paragraph" w:customStyle="1" w:styleId="MH3">
    <w:name w:val="MH3"/>
    <w:basedOn w:val="SUB2"/>
    <w:link w:val="MH3Char"/>
    <w:qFormat/>
    <w:rsid w:val="00487ABE"/>
  </w:style>
  <w:style w:type="character" w:customStyle="1" w:styleId="SUB2Char">
    <w:name w:val="SUB2 Char"/>
    <w:basedOn w:val="DefaultParagraphFont"/>
    <w:link w:val="SUB2"/>
    <w:rsid w:val="00487ABE"/>
    <w:rPr>
      <w:rFonts w:ascii="Arial" w:eastAsia="Times New Roman" w:hAnsi="Arial" w:cs="Arial"/>
      <w:b/>
      <w:color w:val="104D54"/>
      <w:sz w:val="28"/>
      <w:szCs w:val="28"/>
      <w:lang w:eastAsia="nl-NL"/>
    </w:rPr>
  </w:style>
  <w:style w:type="character" w:customStyle="1" w:styleId="MH3Char">
    <w:name w:val="MH3 Char"/>
    <w:basedOn w:val="SUB2Char"/>
    <w:link w:val="MH3"/>
    <w:rsid w:val="00487ABE"/>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487AB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6213</Words>
  <Characters>52195</Characters>
  <Application>Microsoft Office Word</Application>
  <DocSecurity>0</DocSecurity>
  <Lines>3070</Lines>
  <Paragraphs>1007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57401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2024-09-17T12:41:00Z</dcterms:created>
  <dcterms:modified xsi:type="dcterms:W3CDTF">2024-10-22T15:29:00Z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