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414012">
      <w:pPr>
        <w:pStyle w:val="MH1"/>
      </w:pPr>
      <w:bookmarkStart w:id="0" w:name="_Toc177479623"/>
      <w:r>
        <w:t>Annexe 10 – Cahier des charges</w:t>
      </w:r>
      <w:bookmarkEnd w:id="0"/>
    </w:p>
    <w:p w14:paraId="245D9095" w14:textId="77777777" w:rsidR="007061E0" w:rsidRPr="00414012" w:rsidRDefault="007061E0" w:rsidP="007061E0">
      <w:pPr>
        <w:rPr>
          <w:lang w:val="en-US"/>
        </w:rPr>
      </w:pPr>
    </w:p>
    <w:p w14:paraId="7F7E8800" w14:textId="7D985EFF" w:rsidR="007061E0" w:rsidRPr="007061E0" w:rsidRDefault="007061E0" w:rsidP="00414012">
      <w:pPr>
        <w:pStyle w:val="MH2"/>
      </w:pPr>
      <w:bookmarkStart w:id="1" w:name="_Toc177479624"/>
      <w:r>
        <w:t>10.1 – Exigences générales</w:t>
      </w:r>
      <w:bookmarkEnd w:id="1"/>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414012">
            <w:pPr>
              <w:pStyle w:val="MH3"/>
            </w:pPr>
            <w:bookmarkStart w:id="2" w:name="_Toc177479625"/>
            <w:r>
              <w:t>Généralités</w:t>
            </w:r>
            <w:bookmarkEnd w:id="2"/>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Instructions</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Modèle de cahier des charges et de critères d’attribution pour la fourniture et l’installation de panneaux photovoltaïques</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Modifier les champs jaunes avec du texte en bleu</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Version: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Retour d’information/erreurs/ajouts: envoyez un courriel à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Exigences facultatives dans les champs roses: supprimer le point d’interrogation dans la colonne C </w:t>
            </w:r>
            <w:r>
              <w:rPr>
                <w:rFonts w:ascii="Arial" w:hAnsi="Arial"/>
                <w:color w:val="808080"/>
                <w:sz w:val="16"/>
              </w:rPr>
              <w:br/>
              <w:t xml:space="preserve">si cette exigence n’est pas incluse. Sinon, indiquer «oui» ou «1». </w:t>
            </w:r>
            <w:r>
              <w:rPr>
                <w:rFonts w:ascii="Arial" w:hAnsi="Arial"/>
                <w:color w:val="808080"/>
                <w:sz w:val="16"/>
              </w:rPr>
              <w:br/>
              <w:t xml:space="preserve">Le numéro de l’exigence sera alors supprimé, </w:t>
            </w:r>
            <w:r>
              <w:rPr>
                <w:rFonts w:ascii="Arial" w:hAnsi="Arial"/>
                <w:color w:val="808080"/>
                <w:sz w:val="16"/>
              </w:rPr>
              <w:br/>
              <w:t>et la numérotation des exigences suivantes s’adaptera automatiquement.</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Saisissez toutes les exigences supplémentaires dans les champs vides. Si des lignes supplémentaires sont insérées, </w:t>
            </w:r>
            <w:r>
              <w:rPr>
                <w:rFonts w:ascii="Arial" w:hAnsi="Arial"/>
                <w:color w:val="808080"/>
                <w:sz w:val="16"/>
              </w:rPr>
              <w:br/>
              <w:t>veuillez adapter les formules de numérotation automatique des colonnes A et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Lorsque vous êtes prêt, masquez les colonnes D et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3" w:name="RANGE!A6:H40"/>
            <w:r>
              <w:rPr>
                <w:rFonts w:ascii="Arial" w:hAnsi="Arial"/>
                <w:b/>
                <w:color w:val="FFFFFF"/>
                <w:sz w:val="21"/>
              </w:rPr>
              <w:t>IDENTIFIANT</w:t>
            </w:r>
            <w:bookmarkEnd w:id="3"/>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Description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Valeur</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Inclure une exigence?</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Explication </w:t>
            </w:r>
            <w:r>
              <w:rPr>
                <w:rFonts w:ascii="Arial" w:hAnsi="Arial"/>
                <w:b/>
                <w:color w:val="FFFFFF"/>
                <w:sz w:val="21"/>
              </w:rPr>
              <w:br/>
              <w:t>pour les clients</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Explication pour les soumissionnaires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Vérification/</w:t>
            </w:r>
            <w:r>
              <w:rPr>
                <w:rFonts w:ascii="Arial" w:hAnsi="Arial"/>
                <w:b/>
                <w:color w:val="FFFFFF"/>
                <w:sz w:val="21"/>
              </w:rPr>
              <w:br/>
              <w:t>validation</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Conséquences d’une performance insuffisante</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Site et durée du projet</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Description du ou des sites du projet</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Voir annexe...</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Créer une annexe indiquant, pour chaque site: l’adresse, la description de la toiture/du terrain, des photographies du site, la puissance estimée en courant continu (CC), le raccordement au réseau, la charge sur la toiture, etc.</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Objectifs principaux: installation d’énergie solaire</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La puissance en courant continu (CC) des panneaux solaires proposés doit être supérieure à: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kWc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Voir étude de faisabilité</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802BAAB" w:rsidR="008D4DCE" w:rsidRPr="00CD1C87" w:rsidRDefault="008D4DCE" w:rsidP="008D4DCE">
            <w:pPr>
              <w:spacing w:line="240" w:lineRule="auto"/>
              <w:rPr>
                <w:rFonts w:ascii="Arial" w:hAnsi="Arial" w:cs="Arial"/>
                <w:sz w:val="18"/>
                <w:szCs w:val="18"/>
              </w:rPr>
            </w:pPr>
            <w:r>
              <w:rPr>
                <w:rFonts w:ascii="Arial" w:hAnsi="Arial"/>
                <w:sz w:val="18"/>
              </w:rPr>
              <w:t xml:space="preserve">La puissance crête combinée totale de tous les panneaux solaires à installer, basée sur la puissance mesurée dans des conditions de test standardisées indiquée sur la fiche technique des panneaux solaires pour la face avant (panneaux monofaciaux).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t>1) fiche technique des panneaux solaires; 2) rapport de simulation du système photovoltaïque réalisé au moyen d’un logiciel approuvé (p.ex. PVsyst, PV*SOL, etc.)</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Offre non valide</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L’électricité produite par la ou les installations photovoltaïques en kWh au cours de l’année 1 doit être supérieure à:</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Voir étude de faisabilité, qui utilise la «valeur P50» (rendement moyen sur une période plus longue), pour la période de simulation 2010-2020, conformément à la base de données...</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Concerne la valeur P50, pour la période de simulation 2010-2020, conformément à la base de données...). Rapport de simulation pour l’installation photovoltaïque proposée, au cours de l’année 1, basé sur l’irradiation nominale = prévision moyenne à long terme, «P50» avec logiciel reconnu (PVsyst, PV*SOL ou suite logicielle similaire).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Rapport de simulation de l’installation photovoltaïque proposée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Offre non valide</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La puissance en courant alternatif (CA) de l’installation photovoltaïque devrait être inférieure à:</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Exigence facultative si, par exemple, la puissance du raccordement au réseau existant doit être prise en compte. N. B.: Pour les projets SDE++, un maximum de 50 % de la puissance totale du panneau en courant continu (CC) peut être raccordé au réseau.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Peut être atteint en limitant les onduleurs à une certaine puissance.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Contrôle ex post au moyen d’une inspection SCIOS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Offre non valide</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Entretien et surveillance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Au cours des 2 à 4 premières années</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Exigence facultative (fréquemment appliquée, recommandée) de confier à l’installateur les interventions d’entretien et de surveillance pendant les 2, 3 ou 4 premières années</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Offre non valide</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Sécurité</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L’installation électrique doit être conçue et réalisée conformément à la norme NEN 1010 [des Pays-Bas]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Contrôle ex post au moyen d’une inspection SCIOS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L’entrepreneur veillera à ce que l’installation soit conforme à la norme NEN 1010 dans un délai raisonnable, faute de quoi le maître d’ouvrage mettra l’installation en conformité aux frais de l’entrepreneur.</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Certificat SCC de l’entrepreneur</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Les entreprises doivent disposer d’un certificat SCC (certificat sécurité entrepreneurs) si elles exercent les activités suivantes: installation de systèmes de fixation, installation de panneaux solaires, travaux électrotechniques.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Durant la phase de construction, le certificat SCC du responsable du site/chef de chantier doit être présenté à la demande du maître d’ouvrage.</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Arrêt des travaux et recrutement d’un responsable du site/chef de chantier disposant d’un certificat SCC, tous les coûts supplémentaires sont à la charge de l’entrepreneur.</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Sécurité – travailler en hauteur en toute sécurité (&gt; 250 cm). </w:t>
            </w:r>
            <w:r>
              <w:rPr>
                <w:rFonts w:ascii="Arial" w:hAnsi="Arial"/>
                <w:color w:val="000000"/>
                <w:sz w:val="18"/>
              </w:rPr>
              <w:t xml:space="preserve">Pour que les travailleurs puissent se déplacer en toute </w:t>
            </w:r>
            <w:r>
              <w:rPr>
                <w:rFonts w:ascii="Arial" w:hAnsi="Arial"/>
                <w:color w:val="000000"/>
                <w:sz w:val="18"/>
              </w:rPr>
              <w:lastRenderedPageBreak/>
              <w:t>sécurité, les panneaux ne doivent pas être positionnés à moins de 2 mètres du bord du toit et des garanties de sécurité suffisantes doivent être en place pour tout travail en hauteur.</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Certificat SCC SOS (Sécurité pour les superviseurs des </w:t>
            </w:r>
            <w:r>
              <w:rPr>
                <w:rFonts w:ascii="Arial" w:hAnsi="Arial"/>
                <w:color w:val="000000"/>
                <w:sz w:val="18"/>
              </w:rPr>
              <w:lastRenderedPageBreak/>
              <w:t xml:space="preserve">opérations). Conformément à la loi [néerlandaise] sur les conditions de travail, règle de politique 3.16, les salariés et les employeurs sont conjointement responsables des conditions de travail en hauteur en toute sécurité.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Plan de l’installation </w:t>
            </w:r>
            <w:r>
              <w:rPr>
                <w:rFonts w:ascii="Arial" w:hAnsi="Arial"/>
                <w:sz w:val="18"/>
              </w:rPr>
              <w:lastRenderedPageBreak/>
              <w:t>photovoltaïque (schémas).</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Sécurité – les lois et directives en vigueur en matière de santé et de sécurité au travail doivent être respectées.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Il s’agit:</w:t>
            </w:r>
            <w:r>
              <w:rPr>
                <w:rFonts w:ascii="Arial" w:hAnsi="Arial"/>
                <w:color w:val="000000"/>
                <w:sz w:val="18"/>
              </w:rPr>
              <w:t xml:space="preserve"> 1) de la loi [néerlandaise] sur les conditions de travail, du décret [néerlandais] sur les conditions de travail, du règlement [néerlandais] sur les conditions de travail; 2) des directives européennes sur: la santé et la sécurité des travailleurs au travail (89/391/CEE); les conditions de sécurité et de santé à mettre en œuvre sur les chantiers temporaires ou mobiles (92/57/CEE); les prescriptions minimales de sécurité et de santé relatives à la manutention manuelle de charges comportant des risques (90/269/CEE); l’utilisation par les travailleurs au travail d’équipements de protection individuelle </w:t>
            </w:r>
            <w:r>
              <w:rPr>
                <w:rFonts w:ascii="Arial" w:hAnsi="Arial"/>
                <w:color w:val="000000"/>
                <w:sz w:val="18"/>
              </w:rPr>
              <w:lastRenderedPageBreak/>
              <w:t>(89/656/CEE); l’utilisation par les travailleurs au travail d’équipements de travail (2009/104/CE); l’exposition des travailleurs aux risques dus aux agents physiques (vibrations) (2002/44/CE); les machines (2006/42/CE).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Sécurité électrique – travailler en toute sécurité sur les installations électriques: conformément à la norme NEN 3140</w:t>
            </w:r>
            <w:r>
              <w:rPr>
                <w:rFonts w:ascii="Arial" w:hAnsi="Arial"/>
                <w:color w:val="000000"/>
                <w:sz w:val="18"/>
              </w:rPr>
              <w:t xml:space="preserve"> (&lt; 1,5 kV CC et &lt; 1 kV CA) </w:t>
            </w:r>
            <w:r>
              <w:rPr>
                <w:rFonts w:ascii="Arial" w:hAnsi="Arial"/>
                <w:b/>
                <w:color w:val="000000"/>
                <w:sz w:val="18"/>
              </w:rPr>
              <w:t>ou à la norme NEN 3840</w:t>
            </w:r>
            <w:r>
              <w:rPr>
                <w:rFonts w:ascii="Arial" w:hAnsi="Arial"/>
                <w:color w:val="000000"/>
                <w:sz w:val="18"/>
              </w:rPr>
              <w:t xml:space="preserve"> (&gt; 1,5 kV CC ou &gt; 1 kV CA)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«prescriptions pertinentes applicables à l’exploitation des installations basse tension». </w:t>
            </w:r>
            <w:r>
              <w:rPr>
                <w:rFonts w:ascii="Arial" w:hAnsi="Arial"/>
                <w:color w:val="000000"/>
                <w:sz w:val="18"/>
              </w:rPr>
              <w:t>NEN 3840:</w:t>
            </w:r>
            <w:r>
              <w:rPr>
                <w:rFonts w:ascii="Arial" w:hAnsi="Arial"/>
                <w:i/>
                <w:color w:val="000000"/>
                <w:sz w:val="18"/>
              </w:rPr>
              <w:t xml:space="preserve"> «prescriptions pertinentes applicables à l’exploitation des installations haute tension».</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Sécurité électrique. </w:t>
            </w:r>
            <w:r>
              <w:rPr>
                <w:rFonts w:ascii="Arial" w:hAnsi="Arial"/>
                <w:color w:val="000000"/>
                <w:sz w:val="18"/>
              </w:rPr>
              <w:t xml:space="preserve">Les personnes travaillant sur les branchements électriques doivent être des électriciens agréés.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Les responsables de site/chefs de chantier doivent être des professionnels compétents et posséder les certificats nécessaires. Les entrepreneurs doivent faire appel à un responsable d’installation qui possède les certificats nécessaires et dont les coordonnées de contact doivent être communiquées au maître d’ouvrage. Le </w:t>
            </w:r>
            <w:r>
              <w:rPr>
                <w:rFonts w:ascii="Arial" w:hAnsi="Arial"/>
                <w:sz w:val="18"/>
              </w:rPr>
              <w:lastRenderedPageBreak/>
              <w:t xml:space="preserve">maître d’ouvrage doit fournir à l’entrepreneur les procédures de branchement et de débranchement ainsi que d’autres procédures de travail.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Expérience et connaissances de l’entrepreneur</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Expérience des projets photovoltaïques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projets comparables exécutés et livrés de manière satisfaisante</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projets menés à bien au cours des 4 dernières années, dont la taille est au moins égale à 30 % du nombre de panneaux installés dans le cadre de ce projet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Indiquer cette expérience et démontrer la satisfaction de vos clients en leur demandant une référence ou en fournissant un rapport d’achèvement délivré à l’issue d’une inspection SCIOS Scope 12 réalisée par une partie indépendante.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Assurance de l’entrepreneur</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Assurance TRC (tous risques chantier)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million d’EUR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L’assurance TRC couvre les risques pendant la durée des travaux confiés à l’entrepreneur. Le montant assuré s’élève au moins à 1 million d’euros et au moins au montant estimé du marché. Dans certains cas, les montants assurés sont inclus dans les conditions générales d’achat, auquel cas ce montant peut également être utilisé ici. N. B.: à titre </w:t>
            </w:r>
            <w:r>
              <w:rPr>
                <w:rFonts w:ascii="Arial" w:hAnsi="Arial"/>
                <w:color w:val="000000"/>
                <w:sz w:val="18"/>
              </w:rPr>
              <w:lastRenderedPageBreak/>
              <w:t>facultatif, un maître d’ouvrage peut également souscrire sa propre assurance TRC. Voir également les conditions générales d’achat.</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Produire la police d’assurance TRC avant le début de la construction à la demande du maître d’ouvrage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Arrêter immédiatement les travaux jusqu’à la souscription de l’assurance</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Assurance responsabilité civile professionnelle (RC Pro) (</w:t>
            </w:r>
            <w:r>
              <w:rPr>
                <w:rFonts w:ascii="Arial" w:hAnsi="Arial"/>
                <w:b/>
                <w:i/>
                <w:iCs/>
                <w:sz w:val="18"/>
              </w:rPr>
              <w:t>aansprakelijkheidsverzekering voor Bedrijven</w:t>
            </w:r>
            <w:r>
              <w:rPr>
                <w:rFonts w:ascii="Arial" w:hAnsi="Arial"/>
                <w:b/>
                <w:sz w:val="18"/>
              </w:rPr>
              <w:t>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millions d’EUR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Couvre les dommages causés par les salariés ou les produits de l’entrepreneur. Il peut s’agir de dommages mineurs, mais également de dommages importants (y compris des blessures).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Produire la police d’assurance RC Pro avant le début de la construction à la demande du maître d’ouvrage</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Arrêter immédiatement les travaux jusqu’à la souscription de l’assurance</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Qualité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Le système doit être conçu et mis en œuvre conformément à la dernière version du manuel Énergie solaire de l’ISSO (</w:t>
            </w:r>
            <w:r>
              <w:rPr>
                <w:rFonts w:ascii="Arial" w:hAnsi="Arial"/>
                <w:b/>
                <w:i/>
                <w:iCs/>
                <w:color w:val="808080"/>
                <w:sz w:val="18"/>
              </w:rPr>
              <w:t>Handboek Zonne-energie, Hbze</w:t>
            </w:r>
            <w:r>
              <w:rPr>
                <w:rFonts w:ascii="Arial" w:hAnsi="Arial"/>
                <w:b/>
                <w:color w:val="808080"/>
                <w:sz w:val="18"/>
              </w:rPr>
              <w:t>, ex. version de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Cette exigence peut être incluse à titre facultatif pour les projets d’une puissance inférieure à 1 MWc. Elle n’est pas nécessaire pour les projets spéciaux ou de grande envergure réalisés par des sociétés de services énergétiques d’une certaine taille ou internationales.</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Contribution au recyclage et fin de vie</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La contribution au recyclage des panneaux solaires en fin de vie doit être versée (par l’intermédiaire d’un fournisseur) à la Fondation OPEN (</w:t>
            </w:r>
            <w:r>
              <w:rPr>
                <w:rFonts w:ascii="Arial" w:hAnsi="Arial"/>
                <w:b/>
                <w:i/>
                <w:iCs/>
                <w:sz w:val="18"/>
              </w:rPr>
              <w:t>Stichting OPEN</w:t>
            </w:r>
            <w:r>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Depuis le 1</w:t>
            </w:r>
            <w:r>
              <w:rPr>
                <w:rFonts w:ascii="Arial" w:hAnsi="Arial"/>
                <w:color w:val="000000"/>
                <w:sz w:val="18"/>
                <w:vertAlign w:val="superscript"/>
              </w:rPr>
              <w:t>er</w:t>
            </w:r>
            <w:r>
              <w:rPr>
                <w:rFonts w:ascii="Arial" w:hAnsi="Arial"/>
                <w:color w:val="000000"/>
                <w:sz w:val="18"/>
              </w:rPr>
              <w:t xml:space="preserve"> juillet 2023, cette contribution est mentionnée sur les factures des grossistes et des autres importateurs.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Dans le cas de panneaux solaires importés par l’entrepreneur, qui en devient dès lors le «producteur» légal, le maître d’ouvrage s’enregistre auprès de la Fondation OPEN. Une fois inscrit, il s’acquitte des obligations administratives, à savoir la déclaration du producteur et le versement de la contribution à la gestion des déchets. Lors de l’achat de panneaux solaires auprès d’un fournisseur néerlandais tel qu’un grossiste, l’entrepreneur doit s’assurer que ce fournisseur est membre de la Fondation OPEN. Une présentation générale de tous les produits enregistrés est publiée sur le site internet de la Fondation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Ex post, à titre facultatif: vérifier la facture pour l’achat des panneaux solaires fournis.</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Conditions de travail, respect des règles</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Les instructions de montage</w:t>
            </w:r>
            <w:r>
              <w:rPr>
                <w:rFonts w:ascii="Arial" w:hAnsi="Arial"/>
                <w:color w:val="000000"/>
                <w:sz w:val="18"/>
              </w:rPr>
              <w:t xml:space="preserve"> fournies par les fournisseurs/fabricants des panneaux solaires, du ou des onduleurs et des supports de fixation doivent être respectées.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Inspection SCIOS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Conditions de travail aux Pays-Bas:</w:t>
            </w:r>
            <w:r>
              <w:rPr>
                <w:rFonts w:ascii="Arial" w:hAnsi="Arial"/>
                <w:color w:val="000000"/>
                <w:sz w:val="18"/>
              </w:rPr>
              <w:t xml:space="preserve"> le droit du travail néerlandais doit être respecté, y compris en ce qui concerne les travailleurs migrants.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En cas de recours à des travailleurs migrants, le maître d’ouvrage doit leur assurer un hébergement et une rémunération adéquats et les heures de travail prévues par la loi ne doivent pas être dépassées. </w:t>
            </w:r>
            <w:r>
              <w:rPr>
                <w:rFonts w:ascii="Arial" w:hAnsi="Arial"/>
                <w:color w:val="000000"/>
                <w:sz w:val="16"/>
              </w:rPr>
              <w:t>Hébergement: en cas de recours à des travailleurs migrants, ces travailleurs ne doivent pas dépendre financièrement, directement ou indirectement, du maître d’ouvrage en ce qui concerne leur hébergement. Même si ces travailleurs sont employés par l’intermédiaire d’une entreprise de travail temporaire, ils ne doivent pas dépendre financièrement de cette entreprise en ce qui concerne leur hébergement.</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Diverses exigences générales facultatives</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Garantie de la société mère. Si l’entrepreneur a un actionnaire majoritaire, celui-ci doit se porter garant financièrement de l’entrepreneur.</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Facultatif. Parfois déjà prévu dans les conditions générales d’achat. L’alternative à la garantie d’une société mère consiste à travailler selon des conditions de paiement à faible risque.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Fichier .PAN tiers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Facultatif pour les grands projets d’une puissance supérieure à 20 MW. Version numérique des données utilisées avec des logiciels tels que PVsyst et PV*SOL pour prédire la production d’un parc solaire. Des fichiers .PAN indépendants permettent de calculer le ratio de performance photovoltaïque et le taux de rendement d’un projet.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Culture de la sécurité ISO45001 ou «Safety Culture Ladder», SCL (échelle de la culture de sécurité), échelon 3 au minimum</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Facultatif pour les grands projets &gt; 20 MWc dont la mise en œuvre est confiée à de grands organismes.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3C0896" w:rsidRDefault="00B32DA3" w:rsidP="00E175BF">
      <w:pPr>
        <w:ind w:left="-810"/>
        <w:rPr>
          <w:lang w:val="fr-BE"/>
        </w:rPr>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414012">
      <w:pPr>
        <w:pStyle w:val="MH2"/>
      </w:pPr>
      <w:bookmarkStart w:id="4" w:name="_Toc177479626"/>
      <w:r>
        <w:t>10.2 – Exigences générales</w:t>
      </w:r>
      <w:bookmarkEnd w:id="4"/>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414012">
            <w:pPr>
              <w:pStyle w:val="MH3"/>
            </w:pPr>
            <w:bookmarkStart w:id="5" w:name="_Toc177479627"/>
            <w:r>
              <w:t>Exigences – Travaux</w:t>
            </w:r>
            <w:bookmarkEnd w:id="5"/>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Instructions</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Modèle de cahier des charges et de critères d’attribution </w:t>
            </w:r>
            <w:r>
              <w:rPr>
                <w:rFonts w:ascii="Arial" w:hAnsi="Arial"/>
                <w:i/>
                <w:color w:val="104D54"/>
                <w:sz w:val="21"/>
              </w:rPr>
              <w:br/>
              <w:t>pour les projets de fourniture et d’installation de panneaux photovoltaïques</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Modifier les champs jaunes avec du texte en bleu</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Version: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Exigences facultatives dans les champs roses: supprimer le point d’interrogation dans la colonne C si cette exigence n’est pas incluse. Sinon, indiquer «oui» ou «1». Le numéro de l’exigence sera alors supprimé et la numérotation des exigences suivantes s’adaptera automatiquement.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Éditeur: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Saisissez toutes les exigences supplémentaires dans les champs vides. Si des lignes supplémentaires sont insérées, veuillez adapter les formules de numérotation automatique des colonnes A et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Retour d’information/erreurs/ajouts: envoyez un courriel à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Lorsque vous êtes prêt, masquez les colonnes D et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IDENTIFIANT</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Description de l’exigence</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Quand?</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Inclure une exigence?</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Explication pour le client</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Explication pour le soumissionnaire</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Vérification/validation</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Conséquences d’une performance insuffisante</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Dates, planification et consultation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Les travaux doivent débuter:</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Pour le site... dans un délai de... mois à compter de l’attribution/le...</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Inclure éventuellement une liste de dates par site</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Le projet doit être provisoirement achevé:</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Pour le site... dans un délai de... mois à compter de </w:t>
            </w:r>
            <w:r>
              <w:rPr>
                <w:rFonts w:ascii="Arial" w:hAnsi="Arial"/>
                <w:b/>
                <w:color w:val="0070C0"/>
                <w:sz w:val="18"/>
              </w:rPr>
              <w:lastRenderedPageBreak/>
              <w:t>l’attribution/avant le...</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Achèvement provisoire («achèvement de la construction»): </w:t>
            </w:r>
            <w:r>
              <w:rPr>
                <w:rFonts w:ascii="Arial" w:hAnsi="Arial"/>
                <w:sz w:val="18"/>
              </w:rPr>
              <w:lastRenderedPageBreak/>
              <w:t xml:space="preserve">tous les travaux planifiés ont été achevés et l’installation est en principe prête à alimenter le réseau en électricité. C’est à ce moment qu’est réalisée l’inspection SCIOS Scope 12. Inclure éventuellement une liste de dates par site.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Sauf circonstances indépendantes de la volonté de l’entrepreneur, si l’achèvement est retardé de plus de 30 jours, une pénalité journalière de 0,1 % du prix de l’offre sera appliquée entre le 1</w:t>
            </w:r>
            <w:r>
              <w:rPr>
                <w:rFonts w:ascii="Arial" w:hAnsi="Arial"/>
                <w:color w:val="0070C0"/>
                <w:sz w:val="18"/>
                <w:vertAlign w:val="superscript"/>
              </w:rPr>
              <w:t>er</w:t>
            </w:r>
            <w:r>
              <w:rPr>
                <w:rFonts w:ascii="Arial" w:hAnsi="Arial"/>
                <w:color w:val="0070C0"/>
                <w:sz w:val="18"/>
              </w:rPr>
              <w:t> octobre et le 31 mars, et de 0,15 % entre le 1</w:t>
            </w:r>
            <w:r>
              <w:rPr>
                <w:rFonts w:ascii="Arial" w:hAnsi="Arial"/>
                <w:color w:val="0070C0"/>
                <w:sz w:val="18"/>
                <w:vertAlign w:val="superscript"/>
              </w:rPr>
              <w:t>er</w:t>
            </w:r>
            <w:r>
              <w:rPr>
                <w:rFonts w:ascii="Arial" w:hAnsi="Arial"/>
                <w:color w:val="0070C0"/>
                <w:sz w:val="18"/>
              </w:rPr>
              <w:t xml:space="preserve"> avril et le 30 septembre.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Planification – Élaborer (en concertation avec le maître d’ouvrage/l’utilisateur final) et produire un plan d’exécution des travaux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Après l’attribution, mais avant le début de l’exécution</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Exécution des travaux conformément au plan convenu</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Des adaptations peuvent être apportées au plan après consultation et d’un commun accord.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Participation à des réunions de chantier ou de travail si le maître d’ouvrage estime que les travaux le requièrent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Documentation, dessins, calculs</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Remise de divers documents, dessins et calculs: </w:t>
            </w:r>
          </w:p>
          <w:p w14:paraId="1005A9B8" w14:textId="77777777" w:rsidR="00E05E85" w:rsidRPr="003C0896" w:rsidRDefault="00E05E85" w:rsidP="000D5D07">
            <w:pPr>
              <w:spacing w:line="240" w:lineRule="auto"/>
              <w:rPr>
                <w:rFonts w:ascii="Arial" w:hAnsi="Arial" w:cs="Arial"/>
                <w:b/>
                <w:bCs/>
                <w:sz w:val="18"/>
                <w:szCs w:val="18"/>
                <w:lang w:val="fr-BE"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schémas unifilaires (CA, CC et raccordement à l’installation existante);</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plan de masse de l’implantation des panneaux photovoltaïques;</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pour les installations en toiture: calculs de la charge de vent;</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calcul des baisses de tension dans les câbles (câbles CA et câbles CC);</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Après l’attribution, mais avant le début de l’exécution</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 xml:space="preserve">e) fiches techniques pour panneaux solaires, onduleurs, </w:t>
            </w:r>
            <w:r>
              <w:rPr>
                <w:rFonts w:ascii="Arial" w:hAnsi="Arial"/>
                <w:sz w:val="18"/>
              </w:rPr>
              <w:lastRenderedPageBreak/>
              <w:t>structure de support, câblage, tableaux de comptage;</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pour les installations en toiture: plan de réalisation, y compris positionnement des panneaux photovoltaïques durant la pose en toiture et levage.</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Inventaire et évaluation des risques (</w:t>
            </w:r>
            <w:r>
              <w:rPr>
                <w:rFonts w:ascii="Arial" w:hAnsi="Arial"/>
                <w:b/>
                <w:i/>
                <w:iCs/>
                <w:color w:val="000000"/>
              </w:rPr>
              <w:t>Risico-Inventarisatie en -Evaluatie – RI&amp;E</w:t>
            </w:r>
            <w:r>
              <w:rPr>
                <w:rFonts w:ascii="Arial" w:hAnsi="Arial"/>
                <w:b/>
                <w:color w:val="000000"/>
              </w:rPr>
              <w:t>)</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Procéder à l’inventaire et l’évaluation des risques liés aux travaux et prévoir les mesures de gestion à prendre</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Après l’attribution, mais avant le début de l’exécution</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Article 5 de la loi [néerlandaise] sur les conditions de travail – l’entrepreneur doit procéder à l’inventaire et l’évaluation des risques propres au site. Très souvent, le contenu de précédents inventaires et évaluations des risques peut être en grande partie réutilisé, 10 % devant être adapté au projet.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Rapport d’inventaire et d’évaluation des risques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lastRenderedPageBreak/>
              <w:t>Travaux d’exécution de l’entrepreneur</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Fourniture, pose et montage des panneaux photovoltaïques et de la structure de fixation.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Inspection SCIOS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Fourniture, pose et branchement opérationnel d’un système électrique adapté, y compris câblage, onduleurs et composants associés raccordés aux panneaux solaires.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Inspection SCIOS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Branchement au raccordement existant au réseau électrique OU branchement à un nouveau raccordement au réseau électrique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Inspection SCIOS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Enregistrement de l’installation photovoltaïque auprès de l’exploitant du système et à l’adresse suivante: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Copie de l’enregistrement</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Branchement d’un compteur de </w:t>
            </w:r>
            <w:r>
              <w:rPr>
                <w:rFonts w:ascii="Arial" w:hAnsi="Arial"/>
                <w:b/>
                <w:sz w:val="18"/>
              </w:rPr>
              <w:lastRenderedPageBreak/>
              <w:t>production brute étalonné</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Inspection SCIOS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Exécution de tous autres travaux résultant des sections ci-dessus, afin de livrer un projet «clé en main»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Inspection SCIOS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Fourniture d’un rapport d’achèvement complet contenant les informations reprises à l’exigence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Rapport d’achèvement</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Si nécessaire, amélioration de l’installation jusqu’à ce que les exigences du présent document soient respectées (par exemple, dans le cas où des éléments non conformes aux exigences ont été relevés lors de l’inspection SCIOS Scope 12)</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Inspection SCIOS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N. B.: le maître d’ouvrage organisera une inspection indépendante de l’ensemble de l’installation d’énergie solaire conformément à l’inspection SCIOS Scope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Entretien et surveillance de l’installation pendant les 2 (ou 4) premières années, comme décrit dans la fiche de travail 7: Exigences – entretien et surveillance;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Rapports d’entretien et de surveillance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3C0896" w:rsidRDefault="00D109C4" w:rsidP="00414012">
      <w:pPr>
        <w:pStyle w:val="MH2"/>
        <w:rPr>
          <w:lang w:val="fr-BE"/>
        </w:rPr>
      </w:pPr>
    </w:p>
    <w:bookmarkStart w:id="6" w:name="_Toc177479628"/>
    <w:p w14:paraId="51B385A8" w14:textId="6E6F6389" w:rsidR="00D109C4" w:rsidRDefault="00A11B94" w:rsidP="00414012">
      <w:pPr>
        <w:pStyle w:val="MH2"/>
      </w:pPr>
      <w:r>
        <w:rPr>
          <w:noProof/>
        </w:rPr>
        <w:lastRenderedPageBreak/>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6"/>
    </w:p>
    <w:p w14:paraId="2AF26C50" w14:textId="6F1B54CC" w:rsidR="00E14CBD" w:rsidRDefault="007061E0" w:rsidP="00414012">
      <w:pPr>
        <w:pStyle w:val="MH2"/>
      </w:pPr>
      <w:bookmarkStart w:id="7" w:name="_Toc177479629"/>
      <w:r>
        <w:t>10.3 – Exigences – Travaux</w:t>
      </w:r>
      <w:bookmarkEnd w:id="7"/>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414012">
            <w:pPr>
              <w:pStyle w:val="MH3"/>
            </w:pPr>
            <w:bookmarkStart w:id="8" w:name="_Toc177479630"/>
            <w:r>
              <w:t>Exigences applicables aux panneaux solaires</w:t>
            </w:r>
            <w:bookmarkEnd w:id="8"/>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Modèle de cahier des charges et de critères d’attribution pour la fourniture et l’installation de panneaux photovoltaïques</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Version: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Retour d’information/erreurs/ajouts: envoyez un courriel à</w:t>
            </w:r>
            <w:r>
              <w:t xml:space="preserve">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Instructions</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Modifier les champs jaunes avec du texte en bleu</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Exigences facultatives dans les champs roses: supprimer le point d’interrogation dans la colonne C si cette exigence n’est pas incluse. Sinon, indiquer «oui» ou «1». Le numéro de l’exigence sera alors supprimé et la numérotation des exigences suivantes s’adaptera automatiquement.</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Saisissez toutes les exigences supplémentaires dans les champs vides. Si des lignes supplémentaires sont insérées, veuillez adapter les formules de numérotation automatique des colonnes A et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Lorsque vous êtes prêt, masquez les colonnes D et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IDENTIFIANT</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Description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Inclure une exigence?</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Explication pour le client</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Explication pour le soumissionnaire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Vérification et validation</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Conséquences d’une performance insuffisante</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Qualité et sécurité</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 xml:space="preserve">Les panneaux doivent être conformes aux normes IEC 61215, IEC 61730-1 et </w:t>
            </w:r>
            <w:r>
              <w:rPr>
                <w:rFonts w:ascii="Arial" w:hAnsi="Arial"/>
                <w:b/>
                <w:color w:val="000000"/>
                <w:sz w:val="18"/>
              </w:rPr>
              <w:lastRenderedPageBreak/>
              <w:t>IEC 61730-2 et appartenir au minimum à la classe de protection II selon la norme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La norme IEC 61215 est une exigence de qualité minimale pour démontrer que le panneau durera au moins </w:t>
            </w:r>
            <w:r>
              <w:rPr>
                <w:rFonts w:ascii="Arial" w:hAnsi="Arial"/>
                <w:sz w:val="18"/>
              </w:rPr>
              <w:lastRenderedPageBreak/>
              <w:t xml:space="preserve">5 ans. La norme IEC 61730 concerne la protection électrique et contre la foudre des panneaux solaires.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Exigences standard: tous les panneaux solaires classiques proposés par l’intermédiaire de grossistes sont conformes à ces </w:t>
            </w:r>
            <w:r>
              <w:rPr>
                <w:rFonts w:ascii="Arial" w:hAnsi="Arial"/>
                <w:sz w:val="18"/>
              </w:rPr>
              <w:lastRenderedPageBreak/>
              <w:t>normes, comme l’indique la fiche technique.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3637F8D5"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Vérification du rapport d’achèvement, qui doit contenir la fiche technique des </w:t>
            </w:r>
            <w:r>
              <w:rPr>
                <w:rFonts w:ascii="Arial" w:hAnsi="Arial"/>
                <w:sz w:val="18"/>
              </w:rPr>
              <w:lastRenderedPageBreak/>
              <w:t>panneaux solaires, ou inspection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Remplacement par des panneaux solaires qui satisfont à l’exigence</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Garanties de puissance d’au moins 85 % au bout de 25 ans</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Presque tous les panneaux solaires standard satisfont à cette exigence.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Dans sa 25</w:t>
            </w:r>
            <w:r>
              <w:rPr>
                <w:rFonts w:ascii="Arial" w:hAnsi="Arial"/>
                <w:sz w:val="18"/>
                <w:vertAlign w:val="superscript"/>
              </w:rPr>
              <w:t>e</w:t>
            </w:r>
            <w:r>
              <w:rPr>
                <w:rFonts w:ascii="Arial" w:hAnsi="Arial"/>
                <w:sz w:val="18"/>
              </w:rPr>
              <w:t> année, le panneau doit encore fournir au moins 85 % de son rendement lorsqu’il était neuf.</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Garanties de puissance: se reporter au rapport d’achèvement et au rapport de l’inspection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Remplacement par des panneaux solaires qui satisfont à l’exigence</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Les connecteurs à courant continu doivent être de type MC4 ou MC4-EVO et conformes à la norme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Le MC4/MC4-EVO est le raccord de câble le plus utilisé et est de qualité avérée.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Standard, voir fiche technique des panneaux solaires. Toutefois, veillez à ce que les mêmes connecteurs (même fabricant et même type) soient utilisés pour tous les câbles en courant continu et qu’ils puissent être achetés séparément.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Fiche technique des panneaux solaires: se reporter au rapport d’achèvement et à l’inspection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Remplacement par des panneaux solaires qui satisfont à l’exigence</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En cas d’utilisation de cellules en silicium cristallin de type P, les panneaux solaires doivent être conformes à la norme IEC 62804 (résistants à la dégradation induite par le potentiel).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Si des cellules de silicium cristallin de type P sont utilisées dans le panneau solaire (cellules «à émetteur et contact arrière passivés» ou de type PERC, par exemple), la production peut être fortement affectée par la dégradation induite par le potentiel (PID). Cela peut être évité grâce à l’utilisation de certains matériaux et testé à l’aide de cette norme.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Si des panneaux solaires équipés de cellules en silicium de type P (par exemple, des panneaux PERC) sont proposés, ils doivent être conformes à la norme IEC 62804 (indiquée sur la fiche technique). N. B.: pour de nombreux autres types de cellules solaires (HJT, Topcon, IBC, CdTe, CIGS, a-Si, n-PERT), l’effet PID ne se produit pas; ce test n’est donc pas nécessaire.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Fiche technique: se reporter au rapport d’achèvement et à l’inspection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Remplacement par des panneaux solaires qui satisfont à l’exigence</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Durabilité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Bilan carbone inférieur à 550 kg eq Co</w:t>
            </w:r>
            <w:r>
              <w:rPr>
                <w:rFonts w:ascii="Arial" w:hAnsi="Arial"/>
                <w:b/>
                <w:color w:val="000000"/>
                <w:sz w:val="18"/>
                <w:vertAlign w:val="subscript"/>
              </w:rPr>
              <w:t>2</w:t>
            </w:r>
            <w:r>
              <w:rPr>
                <w:rFonts w:ascii="Arial" w:hAnsi="Arial"/>
                <w:b/>
                <w:color w:val="000000"/>
                <w:sz w:val="18"/>
              </w:rPr>
              <w:t>/kWc</w:t>
            </w:r>
            <w:r>
              <w:rPr>
                <w:rFonts w:ascii="Arial" w:hAnsi="Arial"/>
                <w:color w:val="000000"/>
                <w:sz w:val="18"/>
              </w:rPr>
              <w:t xml:space="preserve">, selon la méthode de l’évaluation carbone </w:t>
            </w:r>
            <w:r>
              <w:rPr>
                <w:rFonts w:ascii="Arial" w:hAnsi="Arial"/>
                <w:color w:val="000000"/>
                <w:sz w:val="18"/>
              </w:rPr>
              <w:lastRenderedPageBreak/>
              <w:t>simplifiée française (ECS) gérée par l’ADEME (Agence de la transition écologique).</w:t>
            </w:r>
            <w:r>
              <w:rPr>
                <w:rFonts w:ascii="Arial" w:hAnsi="Arial"/>
                <w:b/>
                <w:color w:val="000000"/>
                <w:sz w:val="18"/>
              </w:rPr>
              <w:t xml:space="preserve"> </w:t>
            </w:r>
            <w:r>
              <w:rPr>
                <w:rFonts w:ascii="Arial" w:hAnsi="Arial"/>
                <w:color w:val="000000"/>
                <w:sz w:val="18"/>
              </w:rPr>
              <w:t xml:space="preserve">Le certificat doit être en cours de validité au début de la construction et établi conformément aux directives de l’ADEME applicables aux appels d’offres dits «CRE4» ou «PPE2».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Cette limite est la même qu’en France et réduit de moitié le bilan carbone des panneaux classiques, dont le choix reste néanmoins important, y </w:t>
            </w:r>
            <w:r>
              <w:rPr>
                <w:rFonts w:ascii="Arial" w:hAnsi="Arial"/>
                <w:sz w:val="18"/>
              </w:rPr>
              <w:lastRenderedPageBreak/>
              <w:t xml:space="preserve">compris auprès de fabricants chinois figurant sur la «liste de niveau 1», à un prix très légèrement plus élevé.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3EEEC430" w:rsidR="0001642A" w:rsidRPr="00877FC5" w:rsidRDefault="0001642A" w:rsidP="0001642A">
            <w:pPr>
              <w:spacing w:line="240" w:lineRule="auto"/>
              <w:rPr>
                <w:rFonts w:ascii="Arial" w:hAnsi="Arial" w:cs="Arial"/>
                <w:sz w:val="18"/>
                <w:szCs w:val="18"/>
              </w:rPr>
            </w:pPr>
            <w:r>
              <w:rPr>
                <w:rFonts w:ascii="Arial" w:hAnsi="Arial"/>
                <w:color w:val="000000"/>
                <w:sz w:val="18"/>
              </w:rPr>
              <w:lastRenderedPageBreak/>
              <w:t>Le document «</w:t>
            </w:r>
            <w:r>
              <w:rPr>
                <w:rFonts w:ascii="Arial" w:hAnsi="Arial"/>
                <w:i/>
                <w:iCs/>
                <w:color w:val="000000"/>
                <w:sz w:val="18"/>
              </w:rPr>
              <w:t>Duurzaamheidsthe ten en marktscan Duurzamere Zonnepanelen</w:t>
            </w:r>
            <w:r>
              <w:rPr>
                <w:rFonts w:ascii="Arial" w:hAnsi="Arial"/>
                <w:color w:val="000000"/>
                <w:sz w:val="18"/>
              </w:rPr>
              <w:t>» (</w:t>
            </w:r>
            <w:r w:rsidR="005D4149">
              <w:rPr>
                <w:rFonts w:ascii="Arial" w:hAnsi="Arial"/>
                <w:color w:val="000000"/>
                <w:sz w:val="18"/>
              </w:rPr>
              <w:t>D</w:t>
            </w:r>
            <w:r>
              <w:rPr>
                <w:rFonts w:ascii="Arial" w:hAnsi="Arial"/>
                <w:color w:val="000000"/>
                <w:sz w:val="18"/>
              </w:rPr>
              <w:t xml:space="preserve">urabilité dans le photovoltaïque et passage en revue des panneaux solaires les </w:t>
            </w:r>
            <w:r>
              <w:rPr>
                <w:rFonts w:ascii="Arial" w:hAnsi="Arial"/>
                <w:color w:val="000000"/>
                <w:sz w:val="18"/>
              </w:rPr>
              <w:lastRenderedPageBreak/>
              <w:t xml:space="preserve">plus durables présents sur le marché) recense les fabricants qui sont en mesure de satisfaire à cette exigence. Certains autres fabricants peuvent également y satisfaire. Le certificat ECS peut être demandé par l’intermédiaire du fabricant ou du grossiste.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Vérifier si le rapport d’achèvement contient le certificat ECS correspondant aux panneaux solaires </w:t>
            </w:r>
            <w:r>
              <w:rPr>
                <w:rFonts w:ascii="Arial" w:hAnsi="Arial"/>
                <w:sz w:val="18"/>
              </w:rPr>
              <w:lastRenderedPageBreak/>
              <w:t>installés, ou lors de l’inspection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Remplacement par des panneaux solaires qui satisfont à l’exigence</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Feuille de fond sans PFAS</w:t>
            </w:r>
            <w:r>
              <w:rPr>
                <w:rFonts w:ascii="Arial" w:hAnsi="Arial"/>
                <w:color w:val="000000"/>
                <w:sz w:val="18"/>
              </w:rPr>
              <w:t xml:space="preserve"> Par exemple, une plaque de verre (panneaux solaires bi-verre) ou une feuille de fond en plastique exempt de fluoropolymères.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La plupart des panneaux solaires contiennent du PVDF (Kynar), du PVF (Tedlar), ou d’autres polymères et revêtements fluorés.  Ces PFAS peuvent être rejetés dans l’environnement en cours de fabrication ou d’utilisation (sous forme de poudre ou en s’écaillant) et entraîner des dommages pour la santé. Les solutions de remplacement sans PFAS n’entraînent que peu ou pas de coûts supplémentaires.</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1F496D3B" w:rsidR="00DC6DCE" w:rsidRPr="00877FC5" w:rsidRDefault="00DC6DCE" w:rsidP="0001642A">
            <w:pPr>
              <w:spacing w:line="240" w:lineRule="auto"/>
              <w:rPr>
                <w:rFonts w:ascii="Arial" w:hAnsi="Arial" w:cs="Arial"/>
                <w:sz w:val="18"/>
                <w:szCs w:val="18"/>
              </w:rPr>
            </w:pPr>
            <w:r>
              <w:rPr>
                <w:rFonts w:ascii="Arial" w:hAnsi="Arial"/>
                <w:color w:val="000000"/>
                <w:sz w:val="18"/>
              </w:rPr>
              <w:t>Le document «</w:t>
            </w:r>
            <w:r>
              <w:rPr>
                <w:rFonts w:ascii="Arial" w:hAnsi="Arial"/>
                <w:i/>
                <w:iCs/>
                <w:color w:val="000000"/>
                <w:sz w:val="18"/>
              </w:rPr>
              <w:t>Duurzaamheidsinten en marktscan Duurzamere Zonnepanelen</w:t>
            </w:r>
            <w:r>
              <w:rPr>
                <w:rFonts w:ascii="Arial" w:hAnsi="Arial"/>
                <w:color w:val="000000"/>
                <w:sz w:val="18"/>
              </w:rPr>
              <w:t>» (</w:t>
            </w:r>
            <w:r w:rsidR="005D4149">
              <w:rPr>
                <w:rFonts w:ascii="Arial" w:hAnsi="Arial"/>
                <w:color w:val="000000"/>
                <w:sz w:val="18"/>
              </w:rPr>
              <w:t>D</w:t>
            </w:r>
            <w:r>
              <w:rPr>
                <w:rFonts w:ascii="Arial" w:hAnsi="Arial"/>
                <w:color w:val="000000"/>
                <w:sz w:val="18"/>
              </w:rPr>
              <w:t xml:space="preserve">urabilité dans le photovoltaïque et passage en revue des panneaux solaires les plus durables présents sur le marché) propose des exemples de panneaux solaires qui répondent à cette exigence. Nous vous invitons à vous renseigner auprès du grossiste/du fabricant. Si des panneaux solaires présentant une feuille de fond en plastique sont utilisés et si la fiche technique n’indique pas explicitement quels sont les matériaux qui la composent, le fabricant du panneau doit confirmer que les panneaux solaires contiennent une feuille de fond sans PFAS.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Vérifier si le rapport d’achèvement contient la fiche technique ou le certificat des panneaux solaires, ou lors de l’inspection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Remplacement par des panneaux solaires qui satisfont à l’exigence</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Exigences facultatives pour les panneaux solaires</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Les panneaux doivent être conformes à la norme IEC 62716 (résistance à la corrosion due à l’ammoniac)</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Ce n’est généralement pas nécessaire, mais indispensable si le projet concerne des bâtiments d’élevage. La résistance à la corrosion due à l’ammoniac n’est nécessaire que si la concentration d’ammoniac est élevée, par exemple dans des espaces qui accueillent des poulets/porcs/bovins.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Inclus dans de nombreuses fiches techniques</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Fiche technique: se reporter au rapport d’achèvement et à l’inspection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Les panneaux doivent être conformes à la norme IEC 61701 (résistance à la corrosion due au brouillard salin)</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Ce n’est généralement pas nécessaire, mais indispensable dans les zones côtières. La résistance à l’air salé (brouillard salin) n’est nécessaire que si l’installation photovoltaïque est proche de la mer (moins de 1 km)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Inclus dans de nombreuses fiches techniques</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Fiche technique: se reporter au rapport d’achèvement et à l’inspection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Couleur de la feuille de fond – visible entre les cellules</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Pas nécessaire pour de nombreux projets. Les panneaux noirs («full black») sont principalement utilisés sur des toitures visibles en pente. Leur coût est légèrement plus élevé et leur performance est légèrement inférieure à celle des panneaux présentant une feuille de fond blanche. Les panneaux solaires colorés sont nettement plus chers et moins efficaces.</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Couleur du cadre du panneau solaire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Les cadres noirs ou colorés sont rarement nécessaires, mais sont plus coûteux.</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3C0896" w:rsidRDefault="007061E0" w:rsidP="007061E0">
      <w:pPr>
        <w:rPr>
          <w:b/>
          <w:bCs/>
          <w:color w:val="92D050"/>
          <w:lang w:val="fr-BE"/>
        </w:rPr>
      </w:pPr>
    </w:p>
    <w:p w14:paraId="325DAB4A" w14:textId="03CF54C6" w:rsidR="00E732CC" w:rsidRDefault="00A11B94" w:rsidP="004150A7">
      <w:pPr>
        <w:spacing w:after="160" w:line="278" w:lineRule="auto"/>
        <w:rPr>
          <w:rFonts w:ascii="Aptos" w:eastAsia="Aptos" w:hAnsi="Aptos" w:cs="Times New Roman"/>
          <w:kern w:val="2"/>
          <w:sz w:val="24"/>
          <w:szCs w:val="24"/>
          <w:lang w:eastAsia="en-US"/>
          <w14:ligatures w14:val="standardContextual"/>
        </w:rPr>
      </w:pPr>
      <w:r>
        <w:rPr>
          <w:noProof/>
          <w:color w:val="92D050"/>
          <w:sz w:val="40"/>
        </w:rPr>
        <w:lastRenderedPageBreak/>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r>
        <w:rPr>
          <w:noProof/>
          <w:color w:val="92D050"/>
          <w:sz w:val="40"/>
        </w:rPr>
        <mc:AlternateContent>
          <mc:Choice Requires="wps">
            <w:drawing>
              <wp:anchor distT="0" distB="0" distL="114300" distR="114300" simplePos="0" relativeHeight="251734016" behindDoc="0" locked="0" layoutInCell="1" allowOverlap="1" wp14:anchorId="2E6713FF" wp14:editId="23B9EF1F">
                <wp:simplePos x="0" y="0"/>
                <wp:positionH relativeFrom="column">
                  <wp:posOffset>-4450218</wp:posOffset>
                </wp:positionH>
                <wp:positionV relativeFrom="paragraph">
                  <wp:posOffset>432380</wp:posOffset>
                </wp:positionV>
                <wp:extent cx="3196424" cy="1486894"/>
                <wp:effectExtent l="0" t="0" r="4445" b="0"/>
                <wp:wrapNone/>
                <wp:docPr id="805291927" name="Oval 19"/>
                <wp:cNvGraphicFramePr/>
                <a:graphic xmlns:a="http://schemas.openxmlformats.org/drawingml/2006/main">
                  <a:graphicData uri="http://schemas.microsoft.com/office/word/2010/wordprocessingShape">
                    <wps:wsp>
                      <wps:cNvSpPr/>
                      <wps:spPr>
                        <a:xfrm>
                          <a:off x="0" y="0"/>
                          <a:ext cx="3196424" cy="14868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95F619F" id="Oval 19" o:spid="_x0000_s1026" style="position:absolute;margin-left:-350.4pt;margin-top:34.05pt;width:251.7pt;height:117.1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6136AA72" w14:textId="747F4D04" w:rsidR="00E732CC" w:rsidRPr="007061E0" w:rsidRDefault="00E732CC" w:rsidP="00414012">
      <w:pPr>
        <w:pStyle w:val="MH2"/>
      </w:pPr>
      <w:bookmarkStart w:id="9" w:name="_Toc177479631"/>
      <w:r>
        <w:t>10.4 – Exigences applicables aux panneaux solaires</w:t>
      </w:r>
      <w:bookmarkEnd w:id="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414012">
            <w:pPr>
              <w:pStyle w:val="MH3"/>
            </w:pPr>
            <w:bookmarkStart w:id="10" w:name="_Toc177479632"/>
            <w:r>
              <w:t xml:space="preserve">Exigences relatives à l’installation électrique, aux onduleurs, </w:t>
            </w:r>
            <w:r>
              <w:br/>
              <w:t>au câblage et aux autres composants électriques</w:t>
            </w:r>
            <w:bookmarkEnd w:id="1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Instructions</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Modèle de cahier des charges et de critères d’attribution pour la fourniture et l’installation de panneaux photovoltaïques</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Modifier les champs jaunes avec du texte en bleu</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Version: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Exigences facultatives dans les champs roses: supprimer le point d’interrogation dans la colonne C si cette exigence n’est pas incluse. Sinon, indiquer «oui» ou «1». Le numéro de l’exigence sera alors supprimé et la numérotation des exigences suivantes s’adaptera automatiquement.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Éditeur: Buyer Group voor Duurzame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Saisissez toutes les exigences supplémentaires dans les champs vides. Si des lignes supplémentaires sont insérées, veuillez adapter les formules de numérotation automatique des colonnes A et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Retour d’information/erreurs/ajouts: envoyez un courriel à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Lorsque vous êtes prêt, masquez les colonnes D et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IDENTIFIANT</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Description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Valeur</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Inclure une exigence?</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Explication pour le client</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Explication pour le soumissionnaire</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Vérification et validation</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Conséquences d’une performance insuffisante</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Installation électrique</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L’installation doit être sûre et conforme aux normes néerlandaises NEN 1010 et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Inspection SCIOS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Le système doit être équipé d’un sectionneur CC pour les besoins des travaux d’entretien. </w:t>
            </w:r>
            <w:r>
              <w:rPr>
                <w:rFonts w:ascii="Arial" w:hAnsi="Arial"/>
                <w:color w:val="000000"/>
                <w:sz w:val="18"/>
              </w:rPr>
              <w:t xml:space="preserve">Celui-ci doit être situé à côté ou à l’intérieur des onduleurs.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Inspection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Réduire au minimum la surface des boucles d’induction entre les câbles en courant continu positif et négatif (rouge/noir).</w:t>
            </w:r>
            <w:r>
              <w:rPr>
                <w:rFonts w:ascii="Arial" w:hAnsi="Arial"/>
                <w:color w:val="000000"/>
                <w:sz w:val="18"/>
              </w:rPr>
              <w:t xml:space="preserve"> Le câble du module et le câble de retour de chaque chaîne suivent le même chemin et se situent à moins de 1 mètre l’un de l’autre.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Inspection SCIOS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Le câblage CC doit être encodé selon la polarité (noir/rouge ou +/-) et le nombre de chaînes.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Un dispositif de protection contre les surtensions doit être installé (norme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Un dispositif de protection contre les surtensions protège l’onduleur contre le feu causé directement ou indirectement par la foudre.</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Inspection SCIOS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Relier les panneaux solaires entre eux</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panneaux reliés à l’onduleur de chaîne (à 1 branche) doivent avoir le même angle d’inclinaison et d’orientation.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Onduleurs</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Les onduleurs doivent être conformes aux normes EN 50524, IEC 61683, IEC 62109, NEN-EN 50438, IEC 60068.</w:t>
            </w:r>
            <w:r>
              <w:rPr>
                <w:rFonts w:ascii="Arial" w:hAnsi="Arial"/>
                <w:color w:val="000000"/>
                <w:sz w:val="18"/>
              </w:rPr>
              <w:t xml:space="preserve"> IEC 61683: Mesure de l’efficacité des conditionneurs de puissance utilisés dans les systèmes photovoltaïques. EN 50524: Fiche technique pour les onduleurs photovoltaïques. IEC 62109: Sécurité des convertisseurs de puissance utilisés dans les systèmes photovoltaïques. NEN-EN 50438: Raccordement de micro-générateurs en parallèle avec les réseaux publics de distribution à basse tension. </w:t>
            </w:r>
            <w:r>
              <w:rPr>
                <w:rFonts w:ascii="Arial" w:hAnsi="Arial"/>
                <w:color w:val="000000"/>
                <w:sz w:val="18"/>
              </w:rPr>
              <w:lastRenderedPageBreak/>
              <w:t xml:space="preserve">EN 60068: Essais d’environnement, aptitude des produits prévus pour être transportés, stockés et utilisés dans des conditions prévues.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Exigences standard</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La plupart des onduleurs répondent à ces exigences – indiqué sur la fiche technique</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Les onduleurs doivent disposer d’une garantie du fabricant d’au moins:</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ans</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Exigences en matière de compatibilité électromagnétique (CEM) </w:t>
            </w:r>
            <w:r>
              <w:rPr>
                <w:rFonts w:ascii="Arial" w:hAnsi="Arial"/>
                <w:color w:val="000000"/>
                <w:sz w:val="18"/>
              </w:rPr>
              <w:t>Les onduleurs, panneaux solaires et tout autre équipement doivent satisfaire aux exigences de compatibilité électromagnétique (CEM) conformément à la norme NEN-EN-IEC 61000-6-2 (immunité pour les environnements industriels) et à la norme NEN-EN-IEC 61000-6-4 (émission pour les environnements industriels)</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En cas d’installation en toiture, l’onduleur doit être installé avec au moins un indice de protection IP65, y compris la protection contre la lumière du soleil et conformément aux autres exigences du fabricant.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onduleurs doivent avoir un rendement européen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Soit les onduleurs eux-mêmes doivent être équipés d’un dispositif de détection des défauts d’arc, soit un dispositif externe de détection des défauts d’arc doit être mis en place pour toutes les chaînes de panneaux solaires reliées aux onduleurs.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 fabricant de l’onduleur doit être de bonne renommée et être titulaire des certificats ISO 9001 et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pièces de rechange doivent normalement être livrées dans les 72 heures (par exemple, par l’intermédiaire d’une succursale établie dans l’UE).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Les onduleurs doivent être conformes aux lignes directrices des gestionnaires de réseau, être adaptés au réseau électrique néerlandais et porter le marquage «CE» (respect de la réglementation de l’UE).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Un interrupteur doit être installé du côté CA de l’onduleur afin qu’il puisse être isolé, par exemple pour les besoins des interventions d’entretien.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Les onduleurs doivent être équipés d’un dispositif intégré de déconnexion du réseau conforme à la norme DIN VDE 0126 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Pour Drenthe, Groningen, Friesland, Overijssel et Gelderland: si l’installation solaire se trouve dans une zone de protection Astron (https:// www.astron.nl/beschermingszones/), les onduleurs doivent satisfaire aux exigences d’Astron. Voir la «liste blanche» des onduleurs agréés sur le site internet ci-dessus.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1C51D9D9"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Un espace suffisant doit être prévu entre les onduleurs, conformément aux prescriptions du fabricant.</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La localisation des onduleurs doit être proposée par l’entrepreneur et déterminée d’un commun accord avec le maître d’ouvrage.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Les onduleurs doivent être facilement accessibles pour les interventions d’entretien et de maintenance.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Des barrières acoustiques doivent être placées autour des onduleurs de manière qu’ils n’entrent pas en résonance avec les murs, les structures et les sols.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Si le bruit est susceptible d’être un problème</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L’onduleur doit être résistant à la corrosion due au brouillard salin conformément à la norme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S’il est situé à proximité de la mer</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En cas d’installation en toiture, l’onduleur doit être installé avec au moins un indice de protection IP65, y compris la protection contre la lumière du soleil et conformément aux autres exigences du fabricant.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pour éviter les dégâts causés par les tempêtes, etc. IPx5 pour éviter qu’une opération de nettoyage au Kärcher tourne mal et brise l’onduleur.</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Les onduleurs doivent être correctement scellés et ne doivent pas être accessibles aux personnes non autorisées.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Afin d’éviter tout risque de mauvaise utilisation, de vol ou de vandalisme, les onduleurs doivent être scellés.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Câbles, connecteurs, gaines</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Les connecteurs à courant continu doivent être de type MC4 et conformes à la norme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Les connecteurs à courant continu qui se clipsent les uns aux autres (mâle-femelle) doivent être du même type et du même fabricant</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Le connecteur à courant continu doit avoir au moins un indice de protection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L’ensemble du câblage doit être conforme aux normes IEC 60364-7-712, section 712.522 (exigences applicables aux installations ou emplacements spéciaux – PV), IEC 60364-5-52 (choix et mise en œuvre des matériels </w:t>
            </w:r>
            <w:r>
              <w:rPr>
                <w:rFonts w:ascii="Arial" w:hAnsi="Arial"/>
                <w:b/>
                <w:sz w:val="18"/>
              </w:rPr>
              <w:lastRenderedPageBreak/>
              <w:t>électriques – Canalisations), IEC 60332-1-2 (essai de propagation verticale de la flamme sur conducteur ou câble isolé) et EN 50396 (méthodes d’essais non électriques).</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Tous les câbles en courant continu doivent être adaptés pour des applications solaires et résistants aux UV et à l’ozone.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Tous les éléments en courant continu (y compris les câbles et les connecteurs) doivent être conçus pour pouvoir supporter ≥ 1,15 fois la tension en circuit ouvert dans le chemin de câbles.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Différents types de câbles</w:t>
            </w:r>
            <w:r>
              <w:rPr>
                <w:rFonts w:ascii="Arial" w:hAnsi="Arial"/>
                <w:color w:val="000000"/>
                <w:sz w:val="18"/>
              </w:rPr>
              <w:t xml:space="preserve"> (p.ex. câbles CC, CA et câbles de données) doivent être utilisés séparément les uns des autres.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Inspection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Les dimensions des câbles doivent être conformes à la norme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Baisse de tension dans les câbles: en charge maximale, la baisse de tension en courant continu peut atteindre 2 % au maximum et 1 % en courant alternatif.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Éventuellement s’adapter à des situations spécifiques; pour les câbles très longs, un pourcentage de baisse plus élevé peut être accepté compte tenu du bilan coûts-avantages.</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Si une installation comporte plusieurs chaînes de panneaux, celles-ci doivent être conformes à la norme IEC 60364-7-712, et être protégées contre les surcharges par des fusibles positif et négatif ou grâce à un dimensionnement approprié.</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câbles doivent être conformes à la classe Cca de la classification du règlement européen établissant des </w:t>
            </w:r>
            <w:r>
              <w:rPr>
                <w:rFonts w:ascii="Arial" w:hAnsi="Arial"/>
                <w:b/>
                <w:sz w:val="18"/>
              </w:rPr>
              <w:lastRenderedPageBreak/>
              <w:t>conditions harmonisées de commercialisation pour les produits de construction, comme le précise la norme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câbles doivent être fixés mécaniquement de manière appropriée.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Les câbles doivent être acheminés dans des gaines ou des tuyaux. Le chemin de câbles du système d’énergie solaire peut être rempli jusqu’à 80 % pour les nouveaux chemins et jusqu’à 100 % pour les chemins existants.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Les gaines ne doivent pas être placées directement sur le toit, mais doivent être fixées à la toiture ou à la sous-toiture par des protège-câbles ou des patins en caoutchouc et ne doivent en aucun cas pendre.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La gaine doit toujours être fixée ou passer au-dessus du niveau maximal que peut atteindre l’eau présente sur le toit.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Les câbles peuvent être posés en coudes allant jusqu’à 90 degrés.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 câble doit être monté de manière à éviter au minimum que l’humidité ou des liquides pénètrent dans les câbles ou les connecteurs.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L’étanchéité des ports de câbles et de toiture doit être garantie. L’étanchéité est assurée conformément à la dernière version des «lignes directrices sectorielle sur </w:t>
            </w:r>
            <w:r>
              <w:rPr>
                <w:rFonts w:ascii="Arial" w:hAnsi="Arial"/>
                <w:sz w:val="18"/>
              </w:rPr>
              <w:lastRenderedPageBreak/>
              <w:t>le système de toiture fermée» (</w:t>
            </w:r>
            <w:r>
              <w:rPr>
                <w:rFonts w:ascii="Arial" w:hAnsi="Arial"/>
                <w:i/>
                <w:iCs/>
                <w:sz w:val="18"/>
              </w:rPr>
              <w:t>vakrichtlijn gesloten dakSysteem</w:t>
            </w:r>
            <w:r>
              <w:rPr>
                <w:rFonts w:ascii="Arial" w:hAnsi="Arial"/>
                <w:sz w:val="18"/>
              </w:rPr>
              <w:t>), tandis que les ports muraux doivent être réalisés conformément au décret [néerlandais] de construction de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câbles doivent être posés de manière qu’ils ne puissent pas être coupés.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Les ports de toiture doivent être installés de manière que le toit reste étanche même par temps de pluie.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Compteur et raccordement au réseau</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 point de branchement doit comporter un circuit par onduleur, un circuit de consommation supplémentaire pour les systèmes de surveillance et un compteur de production brute pour le système.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Le compteur de production brute doit satisfaire aux exigences fixées par le régime de subvention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Lors de l’adaptation du boîtier de dérivation, une étiquette autocollante ou en plastique doit être apposée sur les fusibles (automatiques) concernés, indiquant que l’installation est une installation d’énergie solaire, et libellée comme suit (ou dans des termes équivalents): «PRUDENCE: installation d’énergie solaire». Ces étiquettes </w:t>
            </w:r>
            <w:r>
              <w:rPr>
                <w:rFonts w:ascii="Arial" w:hAnsi="Arial"/>
                <w:b/>
                <w:sz w:val="18"/>
              </w:rPr>
              <w:lastRenderedPageBreak/>
              <w:t>doivent également être apposées sur la gaine d’installation et sur les boîtes de jonction éventuelles.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Exigences facultatives pour les onduleurs</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Réparables. Le fabricant doit disposer en Europe d’un atelier capable de réparer les onduleurs, ou des sociétés externes établies en Europe doivent pouvoir être autorisées à réparer les onduleurs.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Chaque onduleur doit présenter les fonctions suivantes:</w:t>
            </w:r>
            <w:r>
              <w:rPr>
                <w:rFonts w:ascii="Arial" w:hAnsi="Arial"/>
                <w:b/>
                <w:sz w:val="18"/>
              </w:rPr>
              <w:br/>
              <w:t>– réglage des paramètres;</w:t>
            </w:r>
            <w:r>
              <w:rPr>
                <w:rFonts w:ascii="Arial" w:hAnsi="Arial"/>
                <w:b/>
                <w:sz w:val="18"/>
              </w:rPr>
              <w:br/>
              <w:t>– notification dès que la tension (CA ou CC) baisse;</w:t>
            </w:r>
            <w:r>
              <w:rPr>
                <w:rFonts w:ascii="Arial" w:hAnsi="Arial"/>
                <w:b/>
                <w:sz w:val="18"/>
              </w:rPr>
              <w:br/>
              <w:t>– affichage des paramètres réseau (fréquence, tension, etc.);</w:t>
            </w:r>
            <w:r>
              <w:rPr>
                <w:rFonts w:ascii="Arial" w:hAnsi="Arial"/>
                <w:b/>
                <w:sz w:val="18"/>
              </w:rPr>
              <w:br/>
              <w:t>– découplage dès que la fréquence du réseau tombe en dessous de la plage admissible.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Les onduleurs doivent permettre d’ajuster l’énergie produite en fonction de la demande d’électricité du site afin d’éviter les injections dans le réseau.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Par exemple, en cas de congestion du réseau dans la zone qui empêche temporairement l’injection.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3C0896" w:rsidRDefault="00BF060B" w:rsidP="00026952">
      <w:pPr>
        <w:spacing w:after="160" w:line="278" w:lineRule="auto"/>
        <w:rPr>
          <w:rFonts w:eastAsia="Aptos"/>
          <w:kern w:val="2"/>
          <w:sz w:val="16"/>
          <w:szCs w:val="16"/>
          <w:lang w:val="fr-BE" w:eastAsia="en-US"/>
          <w14:ligatures w14:val="standardContextual"/>
        </w:rPr>
      </w:pPr>
    </w:p>
    <w:p w14:paraId="26446D52" w14:textId="7E2AF92F" w:rsidR="006678CB" w:rsidRPr="003C0896" w:rsidRDefault="006678CB" w:rsidP="00026952">
      <w:pPr>
        <w:spacing w:after="160" w:line="278" w:lineRule="auto"/>
        <w:rPr>
          <w:rFonts w:eastAsia="Aptos"/>
          <w:kern w:val="2"/>
          <w:sz w:val="16"/>
          <w:szCs w:val="16"/>
          <w:lang w:val="fr-BE"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3C0896" w:rsidRDefault="006678CB" w:rsidP="00026952">
      <w:pPr>
        <w:spacing w:after="160" w:line="278" w:lineRule="auto"/>
        <w:rPr>
          <w:rFonts w:eastAsia="Aptos"/>
          <w:kern w:val="2"/>
          <w:sz w:val="16"/>
          <w:szCs w:val="16"/>
          <w:lang w:val="fr-BE" w:eastAsia="en-US"/>
          <w14:ligatures w14:val="standardContextual"/>
        </w:rPr>
      </w:pPr>
    </w:p>
    <w:p w14:paraId="303EED17" w14:textId="52A7A465" w:rsidR="006678CB" w:rsidRPr="003C0896" w:rsidRDefault="006678CB" w:rsidP="00026952">
      <w:pPr>
        <w:spacing w:after="160" w:line="278" w:lineRule="auto"/>
        <w:rPr>
          <w:rFonts w:eastAsia="Aptos"/>
          <w:kern w:val="2"/>
          <w:sz w:val="16"/>
          <w:szCs w:val="16"/>
          <w:lang w:val="fr-BE" w:eastAsia="en-US"/>
          <w14:ligatures w14:val="standardContextual"/>
        </w:rPr>
      </w:pPr>
    </w:p>
    <w:p w14:paraId="01D7814D" w14:textId="77777777" w:rsidR="006678CB" w:rsidRPr="003C0896" w:rsidRDefault="006678CB" w:rsidP="00026952">
      <w:pPr>
        <w:spacing w:after="160" w:line="278" w:lineRule="auto"/>
        <w:rPr>
          <w:rFonts w:eastAsia="Aptos"/>
          <w:kern w:val="2"/>
          <w:sz w:val="16"/>
          <w:szCs w:val="16"/>
          <w:lang w:val="fr-BE" w:eastAsia="en-US"/>
          <w14:ligatures w14:val="standardContextual"/>
        </w:rPr>
      </w:pPr>
    </w:p>
    <w:p w14:paraId="5726828E" w14:textId="75924E36" w:rsidR="006678CB" w:rsidRPr="003C0896" w:rsidRDefault="006678CB" w:rsidP="00026952">
      <w:pPr>
        <w:spacing w:after="160" w:line="278" w:lineRule="auto"/>
        <w:rPr>
          <w:rFonts w:eastAsia="Aptos"/>
          <w:kern w:val="2"/>
          <w:sz w:val="16"/>
          <w:szCs w:val="16"/>
          <w:lang w:val="fr-BE" w:eastAsia="en-US"/>
          <w14:ligatures w14:val="standardContextual"/>
        </w:rPr>
      </w:pPr>
    </w:p>
    <w:p w14:paraId="61938B46" w14:textId="77777777" w:rsidR="006678CB" w:rsidRPr="003C0896" w:rsidRDefault="006678CB" w:rsidP="00026952">
      <w:pPr>
        <w:spacing w:after="160" w:line="278" w:lineRule="auto"/>
        <w:rPr>
          <w:rFonts w:eastAsia="Aptos"/>
          <w:kern w:val="2"/>
          <w:sz w:val="16"/>
          <w:szCs w:val="16"/>
          <w:lang w:val="fr-BE" w:eastAsia="en-US"/>
          <w14:ligatures w14:val="standardContextual"/>
        </w:rPr>
      </w:pPr>
    </w:p>
    <w:p w14:paraId="448AF3B4" w14:textId="3E90541E" w:rsidR="00E732CC" w:rsidRDefault="00A11B9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49D3A781">
                <wp:simplePos x="0" y="0"/>
                <wp:positionH relativeFrom="column">
                  <wp:posOffset>-1349208</wp:posOffset>
                </wp:positionH>
                <wp:positionV relativeFrom="paragraph">
                  <wp:posOffset>-1302744</wp:posOffset>
                </wp:positionV>
                <wp:extent cx="1121134" cy="1041621"/>
                <wp:effectExtent l="0" t="0" r="3175" b="6350"/>
                <wp:wrapNone/>
                <wp:docPr id="1040492543" name="Oval 19"/>
                <wp:cNvGraphicFramePr/>
                <a:graphic xmlns:a="http://schemas.openxmlformats.org/drawingml/2006/main">
                  <a:graphicData uri="http://schemas.microsoft.com/office/word/2010/wordprocessingShape">
                    <wps:wsp>
                      <wps:cNvSpPr/>
                      <wps:spPr>
                        <a:xfrm>
                          <a:off x="0" y="0"/>
                          <a:ext cx="1121134" cy="10416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BFBD0F2" id="Oval 19" o:spid="_x0000_s1026" style="position:absolute;margin-left:-106.25pt;margin-top:-102.6pt;width:88.3pt;height:82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1C25FB2F" w14:textId="16D06688" w:rsidR="00E732CC" w:rsidRPr="007061E0" w:rsidRDefault="00E732CC" w:rsidP="00414012">
      <w:pPr>
        <w:pStyle w:val="MH2"/>
      </w:pPr>
      <w:bookmarkStart w:id="11" w:name="_Toc177479633"/>
      <w:r>
        <w:t>10.5 – Exigences relatives à l’installation électrique, aux onduleurs, au câblage et aux autres composants électriques</w:t>
      </w:r>
      <w:bookmarkEnd w:id="11"/>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414012">
            <w:pPr>
              <w:pStyle w:val="MH3"/>
            </w:pPr>
            <w:bookmarkStart w:id="12" w:name="_Toc177479634"/>
            <w:r>
              <w:t xml:space="preserve">Exigences – </w:t>
            </w:r>
            <w:r>
              <w:br/>
              <w:t>Structure de fixation</w:t>
            </w:r>
            <w:bookmarkEnd w:id="12"/>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Instructions</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Modèle de cahier des charges et de critères d’attribution pour la fourniture et l’installation de panneaux photovoltaïques</w:t>
            </w:r>
          </w:p>
          <w:p w14:paraId="5F0E241B" w14:textId="77777777" w:rsidR="006678CB" w:rsidRPr="003C0896" w:rsidRDefault="006678CB" w:rsidP="00E467BD">
            <w:pPr>
              <w:spacing w:line="240" w:lineRule="auto"/>
              <w:rPr>
                <w:rFonts w:ascii="Arial" w:hAnsi="Arial" w:cs="Arial"/>
                <w:i/>
                <w:iCs/>
                <w:color w:val="000000"/>
                <w:sz w:val="21"/>
                <w:szCs w:val="21"/>
                <w:lang w:val="fr-BE"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Modifier les champs jaunes avec du texte en bleu</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Version: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Exigences facultatives dans les champs roses: supprimer le point d’interrogation dans la colonne C si cette exigence n’est pas incluse. Sinon, indiquer «oui» ou «1». Le numéro de l’exigence sera alors supprimé et la numérotation des exigences suivantes s’adaptera automatiquement.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Éditeur: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Saisissez toutes les exigences supplémentaires dans les champs vides. Si des lignes supplémentaires sont insérées, veuillez adapter les formules de numérotation automatique des colonnes A et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Retour d’information/erreurs/ajouts: envoyez un courriel à</w:t>
            </w:r>
            <w:r>
              <w:t xml:space="preserve"> </w:t>
            </w:r>
            <w:hyperlink r:id="rId11" w:history="1">
              <w:r>
                <w:rPr>
                  <w:rStyle w:val="Hyperlink"/>
                  <w:rFonts w:ascii="Arial" w:hAnsi="Arial"/>
                  <w:sz w:val="16"/>
                </w:rPr>
                <w:t>BGDPV@pianoo.nl</w:t>
              </w:r>
            </w:hyperlink>
          </w:p>
          <w:p w14:paraId="4744A7E1" w14:textId="77777777" w:rsidR="006678CB" w:rsidRPr="003C0896" w:rsidRDefault="006678CB" w:rsidP="00E467BD">
            <w:pPr>
              <w:spacing w:line="240" w:lineRule="auto"/>
              <w:rPr>
                <w:rFonts w:ascii="Arial" w:hAnsi="Arial" w:cs="Arial"/>
                <w:color w:val="808080"/>
                <w:sz w:val="16"/>
                <w:szCs w:val="16"/>
                <w:lang w:val="fr-BE"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Lorsque vous êtes prêt, masquez les colonnes D et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IDENTIFIANT</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Description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Valeur</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Inclure une exigence?</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Explication pour le client</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Explication pour le soumissionnaire</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Vérification et validation</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Conséquences d’une performanc</w:t>
            </w:r>
            <w:r>
              <w:rPr>
                <w:rFonts w:ascii="Arial" w:hAnsi="Arial"/>
                <w:b/>
                <w:color w:val="FFFFFF"/>
              </w:rPr>
              <w:lastRenderedPageBreak/>
              <w:t>e insuffisante</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3" w:name="_Toc176857791"/>
            <w:bookmarkStart w:id="14" w:name="_Toc176860784"/>
            <w:r>
              <w:rPr>
                <w:rFonts w:ascii="Arial" w:hAnsi="Arial"/>
                <w:b/>
                <w:color w:val="000000"/>
              </w:rPr>
              <w:lastRenderedPageBreak/>
              <w:t>Exigences applicables à la construction</w:t>
            </w:r>
            <w:r>
              <w:rPr>
                <w:rFonts w:ascii="Arial" w:hAnsi="Arial"/>
                <w:b/>
                <w:color w:val="FF0000"/>
              </w:rPr>
              <w:t xml:space="preserve"> dans le cas des installations photovoltaïques EN TOITURE</w:t>
            </w:r>
            <w:bookmarkEnd w:id="13"/>
            <w:bookmarkEnd w:id="14"/>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5" w:name="_Toc176857792"/>
            <w:bookmarkStart w:id="16" w:name="_Toc176860785"/>
            <w:r>
              <w:rPr>
                <w:rFonts w:ascii="Arial" w:hAnsi="Arial"/>
                <w:sz w:val="18"/>
              </w:rPr>
              <w:t>5.1</w:t>
            </w:r>
            <w:bookmarkEnd w:id="15"/>
            <w:bookmarkEnd w:id="1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7" w:name="_Toc176857793"/>
            <w:bookmarkStart w:id="18" w:name="_Toc176860786"/>
            <w:r>
              <w:rPr>
                <w:rFonts w:ascii="Arial" w:hAnsi="Arial"/>
                <w:b/>
                <w:color w:val="000000"/>
                <w:sz w:val="18"/>
              </w:rPr>
              <w:t xml:space="preserve">La conception doit pouvoir résister à la charge prévue. </w:t>
            </w:r>
            <w:r>
              <w:rPr>
                <w:rFonts w:ascii="Arial" w:hAnsi="Arial"/>
                <w:color w:val="000000"/>
                <w:sz w:val="18"/>
              </w:rPr>
              <w:t>La conception de la structure et les matériaux de construction doivent être conformes aux normes NEN 7250 et Eurocode 1 (EN 1991-1-4). La conception doit être vérifiée après l’attribution mais avant le début de l’installation.</w:t>
            </w:r>
            <w:bookmarkEnd w:id="17"/>
            <w:bookmarkEnd w:id="18"/>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19" w:name="_Toc176857794"/>
            <w:bookmarkStart w:id="20" w:name="_Toc176860787"/>
            <w:r>
              <w:rPr>
                <w:rFonts w:ascii="Arial" w:hAnsi="Arial"/>
                <w:color w:val="000000"/>
                <w:sz w:val="18"/>
              </w:rPr>
              <w:t xml:space="preserve">Normes applicables à la construction et aux charges de vent. NEN 7250: </w:t>
            </w:r>
            <w:r>
              <w:rPr>
                <w:rFonts w:ascii="Arial" w:hAnsi="Arial"/>
                <w:i/>
                <w:color w:val="000000"/>
                <w:sz w:val="18"/>
              </w:rPr>
              <w:t xml:space="preserve">«Systèmes d’énergie solaire – intégration dans les toitures et façades – construction». </w:t>
            </w:r>
            <w:r>
              <w:rPr>
                <w:rFonts w:ascii="Arial" w:hAnsi="Arial"/>
                <w:color w:val="000000"/>
                <w:sz w:val="18"/>
              </w:rPr>
              <w:t xml:space="preserve">Eurocode 1 – EN 1991-1-4:  </w:t>
            </w:r>
            <w:r>
              <w:rPr>
                <w:rFonts w:ascii="Arial" w:hAnsi="Arial"/>
                <w:i/>
                <w:color w:val="000000"/>
                <w:sz w:val="18"/>
              </w:rPr>
              <w:t>«Actions sur les structures – Partie 1.4: actions générales – actions du vent»</w:t>
            </w:r>
            <w:bookmarkEnd w:id="19"/>
            <w:bookmarkEnd w:id="20"/>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21" w:name="_Toc176857795"/>
            <w:bookmarkStart w:id="22" w:name="_Toc176860788"/>
            <w:r>
              <w:rPr>
                <w:rFonts w:ascii="Arial" w:hAnsi="Arial"/>
                <w:sz w:val="18"/>
              </w:rPr>
              <w:t>Les fournisseurs de systèmes de fixation sur toiture se servent généralement d’un logiciel ou d’une application web qui permet de calculer le lestage nécessaire pour satisfaire à ces normes.</w:t>
            </w:r>
            <w:bookmarkEnd w:id="21"/>
            <w:bookmarkEnd w:id="22"/>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23" w:name="_Toc176857796"/>
            <w:bookmarkStart w:id="24" w:name="_Toc176860789"/>
            <w:r>
              <w:rPr>
                <w:rFonts w:ascii="Arial" w:hAnsi="Arial"/>
                <w:sz w:val="18"/>
              </w:rPr>
              <w:t>Rapport sur la conception proposée à partir du logiciel ou de l’application web du fournisseur de la structure de fixation, à communiquer à l’entrepreneur avant installation.</w:t>
            </w:r>
            <w:bookmarkEnd w:id="23"/>
            <w:bookmarkEnd w:id="24"/>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25" w:name="_Toc176857797"/>
            <w:bookmarkStart w:id="26" w:name="_Toc176860790"/>
            <w:r>
              <w:rPr>
                <w:rFonts w:ascii="Arial" w:hAnsi="Arial"/>
                <w:color w:val="000000"/>
                <w:sz w:val="18"/>
              </w:rPr>
              <w:t>Se concerter et adapter si nécessaire</w:t>
            </w:r>
            <w:bookmarkEnd w:id="25"/>
            <w:bookmarkEnd w:id="26"/>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7" w:name="_Toc176857798"/>
            <w:bookmarkStart w:id="28" w:name="_Toc176860791"/>
            <w:r>
              <w:rPr>
                <w:rFonts w:ascii="Arial" w:hAnsi="Arial"/>
                <w:sz w:val="18"/>
              </w:rPr>
              <w:t>5.2</w:t>
            </w:r>
            <w:bookmarkEnd w:id="27"/>
            <w:bookmarkEnd w:id="2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9" w:name="_Toc176857799"/>
            <w:bookmarkStart w:id="30" w:name="_Toc176860792"/>
            <w:r>
              <w:rPr>
                <w:rFonts w:ascii="Arial" w:hAnsi="Arial"/>
                <w:b/>
                <w:color w:val="000000"/>
                <w:sz w:val="18"/>
              </w:rPr>
              <w:t xml:space="preserve">La conception doit être adaptée au type de toiture. </w:t>
            </w:r>
            <w:r>
              <w:rPr>
                <w:rFonts w:ascii="Arial" w:hAnsi="Arial"/>
                <w:color w:val="000000"/>
                <w:sz w:val="18"/>
              </w:rPr>
              <w:t>La toiture dans son ensemble doit pouvoir supporter la charge que le système photovoltaïque peut exercer sur elle ainsi que des charges liées aux contraintes climatiques (neige) et résister dans le même temps aux conditions météorologiques (vent). La conception doit être vérifiée après l’attribution mais avant le début de l’installation.</w:t>
            </w:r>
            <w:bookmarkEnd w:id="29"/>
            <w:bookmarkEnd w:id="30"/>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31" w:name="_Toc176857800"/>
            <w:bookmarkStart w:id="32" w:name="_Toc176860793"/>
            <w:r>
              <w:rPr>
                <w:rFonts w:ascii="Arial" w:hAnsi="Arial"/>
                <w:sz w:val="18"/>
              </w:rPr>
              <w:t>Dans le cas de toitures fragiles, qui ne sont pas adaptées à un lestage standard lourd, il peut être envisagé de: renforcer la toiture (ou sa structure) au moyen de systèmes de fixation spéciaux, ou d’utiliser des panneaux solaires spéciaux collés à la toiture, par exemple.</w:t>
            </w:r>
            <w:bookmarkEnd w:id="31"/>
            <w:bookmarkEnd w:id="32"/>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33" w:name="_Toc176857801"/>
            <w:bookmarkStart w:id="34" w:name="_Toc176860794"/>
            <w:r>
              <w:rPr>
                <w:rFonts w:ascii="Arial" w:hAnsi="Arial"/>
                <w:color w:val="000000"/>
                <w:sz w:val="18"/>
              </w:rPr>
              <w:t>La conception de l’installation photovoltaïque, y compris les dessins de la structure avec emplacement et poids des éléments de lestage, doit être soumise à l’approbation de l’entrepreneur au moins 4 semaines avant l’installation.</w:t>
            </w:r>
            <w:bookmarkEnd w:id="33"/>
            <w:bookmarkEnd w:id="3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35" w:name="_Toc176857802"/>
            <w:bookmarkStart w:id="36" w:name="_Toc176860795"/>
            <w:r>
              <w:rPr>
                <w:rFonts w:ascii="Arial" w:hAnsi="Arial"/>
                <w:color w:val="000000"/>
                <w:sz w:val="18"/>
              </w:rPr>
              <w:t>Se concerter et adapter si nécessaire</w:t>
            </w:r>
            <w:bookmarkEnd w:id="35"/>
            <w:bookmarkEnd w:id="36"/>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37" w:name="_Toc176857803"/>
            <w:bookmarkStart w:id="38" w:name="_Toc176860796"/>
            <w:r>
              <w:rPr>
                <w:rFonts w:ascii="Arial" w:hAnsi="Arial"/>
                <w:sz w:val="18"/>
              </w:rPr>
              <w:t>5.3</w:t>
            </w:r>
            <w:bookmarkEnd w:id="37"/>
            <w:bookmarkEnd w:id="3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39" w:name="_Toc176857804"/>
            <w:bookmarkStart w:id="40" w:name="_Toc176860797"/>
            <w:r>
              <w:rPr>
                <w:rFonts w:ascii="Arial" w:hAnsi="Arial"/>
                <w:b/>
                <w:color w:val="000000"/>
                <w:sz w:val="18"/>
              </w:rPr>
              <w:t xml:space="preserve">Mise à la terre. </w:t>
            </w:r>
            <w:r>
              <w:rPr>
                <w:rFonts w:ascii="Arial" w:hAnsi="Arial"/>
                <w:color w:val="000000"/>
                <w:sz w:val="18"/>
              </w:rPr>
              <w:t>L’ensemble de la sous-structure du panneau doit être mis à la terre.</w:t>
            </w:r>
            <w:bookmarkEnd w:id="39"/>
            <w:bookmarkEnd w:id="40"/>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41" w:name="_Toc176857805"/>
            <w:bookmarkStart w:id="42" w:name="_Toc176860798"/>
            <w:r>
              <w:rPr>
                <w:rFonts w:ascii="Arial" w:hAnsi="Arial"/>
                <w:sz w:val="18"/>
              </w:rPr>
              <w:t>Inspection SCIOS Scope 12</w:t>
            </w:r>
            <w:bookmarkEnd w:id="41"/>
            <w:bookmarkEnd w:id="4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43" w:name="_Toc176857806"/>
            <w:bookmarkStart w:id="44" w:name="_Toc176860799"/>
            <w:r>
              <w:rPr>
                <w:rFonts w:ascii="Arial" w:hAnsi="Arial"/>
                <w:sz w:val="18"/>
              </w:rPr>
              <w:lastRenderedPageBreak/>
              <w:t>5.4</w:t>
            </w:r>
            <w:bookmarkEnd w:id="43"/>
            <w:bookmarkEnd w:id="44"/>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45" w:name="_Toc176857807"/>
            <w:bookmarkStart w:id="46" w:name="_Toc176860800"/>
            <w:r>
              <w:rPr>
                <w:rFonts w:ascii="Arial" w:hAnsi="Arial"/>
                <w:b/>
                <w:color w:val="000000"/>
                <w:sz w:val="18"/>
              </w:rPr>
              <w:t>Un dispositif de protection contre la foudre adéquat doit être installé</w:t>
            </w:r>
            <w:bookmarkEnd w:id="45"/>
            <w:bookmarkEnd w:id="4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47" w:name="_Toc176857808"/>
            <w:bookmarkStart w:id="48" w:name="_Toc176860801"/>
            <w:r>
              <w:rPr>
                <w:rFonts w:ascii="Arial" w:hAnsi="Arial"/>
                <w:b/>
                <w:sz w:val="18"/>
              </w:rPr>
              <w:t>?</w:t>
            </w:r>
            <w:bookmarkEnd w:id="47"/>
            <w:bookmarkEnd w:id="48"/>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49" w:name="_Toc176857809"/>
            <w:bookmarkStart w:id="50" w:name="_Toc176860802"/>
            <w:r>
              <w:rPr>
                <w:rFonts w:ascii="Arial" w:hAnsi="Arial"/>
                <w:sz w:val="18"/>
              </w:rPr>
              <w:t>Normalement, ce système est déjà en place; si ce n’est pas le cas, il sera installé indépendamment du système photovoltaïque. À déterminer en consultation avec les conseillers techniques.</w:t>
            </w:r>
            <w:bookmarkEnd w:id="49"/>
            <w:bookmarkEnd w:id="50"/>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51" w:name="_Toc176857810"/>
            <w:bookmarkStart w:id="52" w:name="_Toc176860803"/>
            <w:r>
              <w:rPr>
                <w:rFonts w:ascii="Arial" w:hAnsi="Arial"/>
                <w:sz w:val="18"/>
              </w:rPr>
              <w:t>N. B.: le dispositif de protection contre la foudre ne doit pas être utilisé pour la mise à la terre de la structure photovoltaïque.</w:t>
            </w:r>
            <w:bookmarkEnd w:id="51"/>
            <w:bookmarkEnd w:id="52"/>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53" w:name="_Toc176857811"/>
            <w:bookmarkStart w:id="54" w:name="_Toc176860804"/>
            <w:r>
              <w:rPr>
                <w:rFonts w:ascii="Arial" w:hAnsi="Arial"/>
                <w:sz w:val="18"/>
              </w:rPr>
              <w:t>Inspection SCIOS Scope 12</w:t>
            </w:r>
            <w:bookmarkEnd w:id="53"/>
            <w:bookmarkEnd w:id="5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55" w:name="_Toc176857812"/>
            <w:bookmarkStart w:id="56" w:name="_Toc176860805"/>
            <w:r>
              <w:rPr>
                <w:rFonts w:ascii="Arial" w:hAnsi="Arial"/>
                <w:sz w:val="18"/>
              </w:rPr>
              <w:t>5.5</w:t>
            </w:r>
            <w:bookmarkEnd w:id="55"/>
            <w:bookmarkEnd w:id="5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57" w:name="_Toc176857813"/>
            <w:bookmarkStart w:id="58" w:name="_Toc176860806"/>
            <w:r>
              <w:rPr>
                <w:rFonts w:ascii="Arial" w:hAnsi="Arial"/>
                <w:b/>
                <w:color w:val="000000"/>
                <w:sz w:val="18"/>
              </w:rPr>
              <w:t xml:space="preserve">Écarts de dilatation. </w:t>
            </w:r>
            <w:r>
              <w:rPr>
                <w:rFonts w:ascii="Arial" w:hAnsi="Arial"/>
                <w:color w:val="000000"/>
                <w:sz w:val="18"/>
              </w:rPr>
              <w:t>Les surfaces de contact entre le toit et la structure de montage photovoltaïque doivent être conçues de manière à ne pas endommager la toiture par des problèmes de dilatation différentielle entre la structure de montage et la toiture.</w:t>
            </w:r>
            <w:bookmarkEnd w:id="57"/>
            <w:bookmarkEnd w:id="5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59" w:name="_Toc176857814"/>
            <w:bookmarkStart w:id="60" w:name="_Toc176860807"/>
            <w:r>
              <w:rPr>
                <w:rFonts w:ascii="Arial" w:hAnsi="Arial"/>
                <w:sz w:val="18"/>
              </w:rPr>
              <w:t>Par exemple, une couche de caoutchouc et des pieds métalliques.</w:t>
            </w:r>
            <w:bookmarkEnd w:id="59"/>
            <w:bookmarkEnd w:id="60"/>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61" w:name="_Toc176857815"/>
            <w:bookmarkStart w:id="62" w:name="_Toc176860808"/>
            <w:r>
              <w:rPr>
                <w:rFonts w:ascii="Arial" w:hAnsi="Arial"/>
                <w:sz w:val="18"/>
              </w:rPr>
              <w:t>Vérifier la conception</w:t>
            </w:r>
            <w:bookmarkEnd w:id="61"/>
            <w:bookmarkEnd w:id="6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63" w:name="_Toc176857816"/>
            <w:bookmarkStart w:id="64" w:name="_Toc176860809"/>
            <w:r>
              <w:rPr>
                <w:rFonts w:ascii="Arial" w:hAnsi="Arial"/>
                <w:sz w:val="18"/>
              </w:rPr>
              <w:t>5.6</w:t>
            </w:r>
            <w:bookmarkEnd w:id="63"/>
            <w:bookmarkEnd w:id="6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65" w:name="_Toc176857817"/>
            <w:bookmarkStart w:id="66" w:name="_Toc176860810"/>
            <w:r>
              <w:rPr>
                <w:rFonts w:ascii="Arial" w:hAnsi="Arial"/>
                <w:b/>
                <w:color w:val="000000"/>
                <w:sz w:val="18"/>
              </w:rPr>
              <w:t xml:space="preserve">Prévention des fuites et des dégâts à la toiture. </w:t>
            </w:r>
            <w:r>
              <w:rPr>
                <w:rFonts w:ascii="Arial" w:hAnsi="Arial"/>
                <w:color w:val="000000"/>
                <w:sz w:val="18"/>
              </w:rPr>
              <w:t>Au besoin, l’entrepreneur doit protéger la toiture des dégâts éventuels et des fuites pendant les travaux.</w:t>
            </w:r>
            <w:bookmarkEnd w:id="65"/>
            <w:bookmarkEnd w:id="66"/>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67" w:name="_Toc176857818"/>
            <w:bookmarkStart w:id="68" w:name="_Toc176860811"/>
            <w:r>
              <w:rPr>
                <w:rFonts w:ascii="Arial" w:hAnsi="Arial"/>
                <w:sz w:val="18"/>
              </w:rPr>
              <w:t>Au besoin, l’entrepreneur peut protéger les passages empruntés par les installateurs en posant une couche protectrice. Les espaces de stockage sur toitures peuvent être protégés de la même manière. Le poids maximal que peut supporter la toiture, notamment au niveau des zones d’empilement de matériel/matériaux, ne doit pas être dépassé.</w:t>
            </w:r>
            <w:bookmarkEnd w:id="67"/>
            <w:bookmarkEnd w:id="68"/>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69" w:name="_Toc176857819"/>
            <w:bookmarkStart w:id="70" w:name="_Toc176860812"/>
            <w:r>
              <w:rPr>
                <w:rFonts w:ascii="Arial" w:hAnsi="Arial"/>
                <w:sz w:val="18"/>
              </w:rPr>
              <w:t>Inspection SCIOS Scope 12</w:t>
            </w:r>
            <w:bookmarkEnd w:id="69"/>
            <w:bookmarkEnd w:id="70"/>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71" w:name="_Toc176857820"/>
            <w:bookmarkStart w:id="72" w:name="_Toc176860813"/>
            <w:r>
              <w:rPr>
                <w:rFonts w:ascii="Arial" w:hAnsi="Arial"/>
                <w:color w:val="000000"/>
                <w:sz w:val="18"/>
              </w:rPr>
              <w:t>En cas de dégâts ou de fuites imputables à l’installation photovoltaïque ou aux travaux, le coût des réparations sera à la charge de l’entrepreneur.</w:t>
            </w:r>
            <w:bookmarkEnd w:id="71"/>
            <w:bookmarkEnd w:id="72"/>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73" w:name="_Toc176857821"/>
            <w:bookmarkStart w:id="74" w:name="_Toc176860814"/>
            <w:r>
              <w:rPr>
                <w:rFonts w:ascii="Arial" w:hAnsi="Arial"/>
                <w:sz w:val="18"/>
              </w:rPr>
              <w:t>5.7</w:t>
            </w:r>
            <w:bookmarkEnd w:id="73"/>
            <w:bookmarkEnd w:id="7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75" w:name="_Toc176857822"/>
            <w:bookmarkStart w:id="76" w:name="_Toc176860815"/>
            <w:r>
              <w:rPr>
                <w:rFonts w:ascii="Arial" w:hAnsi="Arial"/>
                <w:b/>
                <w:color w:val="000000"/>
                <w:sz w:val="18"/>
              </w:rPr>
              <w:t xml:space="preserve">Drainage. </w:t>
            </w:r>
            <w:r>
              <w:rPr>
                <w:rFonts w:ascii="Arial" w:hAnsi="Arial"/>
                <w:color w:val="000000"/>
                <w:sz w:val="18"/>
              </w:rPr>
              <w:t xml:space="preserve">La structure de montage ne doit pas obstruer les drains d’évacuation de l’eau présents sur le toit ou sur la façade et entraîner l’accumulation d’eau stagnante qui ne se produirait normalement </w:t>
            </w:r>
            <w:r>
              <w:rPr>
                <w:rFonts w:ascii="Arial" w:hAnsi="Arial"/>
                <w:color w:val="000000"/>
                <w:sz w:val="18"/>
              </w:rPr>
              <w:lastRenderedPageBreak/>
              <w:t>pas en l’absence de la structure de montage.</w:t>
            </w:r>
            <w:bookmarkEnd w:id="75"/>
            <w:bookmarkEnd w:id="7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77" w:name="_Toc176857823"/>
            <w:bookmarkStart w:id="78" w:name="_Toc176860816"/>
            <w:r>
              <w:rPr>
                <w:rFonts w:ascii="Arial" w:hAnsi="Arial"/>
                <w:sz w:val="18"/>
              </w:rPr>
              <w:t>Vérifier la conception</w:t>
            </w:r>
            <w:bookmarkEnd w:id="77"/>
            <w:bookmarkEnd w:id="7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79" w:name="_Toc176857824"/>
            <w:bookmarkStart w:id="80" w:name="_Toc176860817"/>
            <w:r>
              <w:rPr>
                <w:rFonts w:ascii="Arial" w:hAnsi="Arial"/>
                <w:b/>
                <w:color w:val="000000"/>
              </w:rPr>
              <w:t>Exigences applicables à la construction</w:t>
            </w:r>
            <w:r>
              <w:rPr>
                <w:rFonts w:ascii="Arial" w:hAnsi="Arial"/>
                <w:b/>
                <w:color w:val="7030A0"/>
              </w:rPr>
              <w:t xml:space="preserve"> dans le cas des installations photovoltaïques AU SOL</w:t>
            </w:r>
            <w:bookmarkEnd w:id="79"/>
            <w:bookmarkEnd w:id="80"/>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81" w:name="_Toc176857825"/>
            <w:bookmarkStart w:id="82" w:name="_Toc176860818"/>
            <w:r>
              <w:rPr>
                <w:rFonts w:ascii="Arial" w:hAnsi="Arial"/>
                <w:sz w:val="18"/>
              </w:rPr>
              <w:t>5.8</w:t>
            </w:r>
            <w:bookmarkEnd w:id="81"/>
            <w:bookmarkEnd w:id="8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83" w:name="_Toc176857826"/>
            <w:bookmarkStart w:id="84" w:name="_Toc176860819"/>
            <w:r>
              <w:rPr>
                <w:rFonts w:ascii="Arial" w:hAnsi="Arial"/>
                <w:b/>
                <w:color w:val="000000"/>
                <w:sz w:val="18"/>
              </w:rPr>
              <w:t xml:space="preserve">La conception doit pouvoir résister à la charge prévue. </w:t>
            </w:r>
            <w:r>
              <w:rPr>
                <w:rFonts w:ascii="Arial" w:hAnsi="Arial"/>
                <w:color w:val="000000"/>
                <w:sz w:val="18"/>
              </w:rPr>
              <w:t>La conception de la structure et les matériaux de construction doivent être conformes aux normes NEN 7250 et Eurocode 1 (EN 1991-1-4). Après l’attribution, mais avant le début de l’installation</w:t>
            </w:r>
            <w:bookmarkEnd w:id="83"/>
            <w:bookmarkEnd w:id="8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85" w:name="_Toc176857827"/>
            <w:bookmarkStart w:id="86" w:name="_Toc176860820"/>
            <w:r>
              <w:rPr>
                <w:rFonts w:ascii="Arial" w:hAnsi="Arial"/>
                <w:sz w:val="18"/>
              </w:rPr>
              <w:t>Les fournisseurs de systèmes de fixation sur toiture se servent généralement d’un logiciel ou d’une application web qui permet de calculer le lestage nécessaire pour satisfaire à ces normes.</w:t>
            </w:r>
            <w:bookmarkEnd w:id="85"/>
            <w:bookmarkEnd w:id="86"/>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87" w:name="_Toc176857828"/>
            <w:bookmarkStart w:id="88" w:name="_Toc176860821"/>
            <w:r>
              <w:rPr>
                <w:rFonts w:ascii="Arial" w:hAnsi="Arial"/>
                <w:sz w:val="18"/>
              </w:rPr>
              <w:t>Rapport sur la conception proposée à partir du logiciel ou de l’application web du fournisseur de la structure de fixation, à communiquer à l’entrepreneur avant installation.</w:t>
            </w:r>
            <w:bookmarkEnd w:id="87"/>
            <w:bookmarkEnd w:id="88"/>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89" w:name="_Toc176857829"/>
            <w:bookmarkStart w:id="90" w:name="_Toc176860822"/>
            <w:r>
              <w:rPr>
                <w:rFonts w:ascii="Arial" w:hAnsi="Arial"/>
                <w:sz w:val="18"/>
              </w:rPr>
              <w:t>5.9</w:t>
            </w:r>
            <w:bookmarkEnd w:id="89"/>
            <w:bookmarkEnd w:id="9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91" w:name="_Toc176857830"/>
            <w:bookmarkStart w:id="92" w:name="_Toc176860823"/>
            <w:r>
              <w:rPr>
                <w:rFonts w:ascii="Arial" w:hAnsi="Arial"/>
                <w:b/>
                <w:color w:val="000000"/>
                <w:sz w:val="18"/>
              </w:rPr>
              <w:t>Protection des fondations.</w:t>
            </w:r>
            <w:r>
              <w:rPr>
                <w:rFonts w:ascii="Arial" w:hAnsi="Arial"/>
                <w:color w:val="000000"/>
                <w:sz w:val="18"/>
              </w:rPr>
              <w:t xml:space="preserve"> Les composants (par exemple, les poteaux en acier) enfoncés dans le sol sont protégés contre la corrosion susceptible d’être causée par le pH du sol, de sorte que l’on puisse espérer que la durée de vie de l’installation sera d’au moins 25 ans.</w:t>
            </w:r>
            <w:bookmarkEnd w:id="91"/>
            <w:bookmarkEnd w:id="92"/>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93" w:name="_Toc176857831"/>
            <w:bookmarkStart w:id="94" w:name="_Toc176860824"/>
            <w:r>
              <w:rPr>
                <w:rFonts w:ascii="Arial" w:hAnsi="Arial"/>
                <w:b/>
                <w:color w:val="0070C0"/>
                <w:sz w:val="18"/>
              </w:rPr>
              <w:t>Le pH du sol est de...</w:t>
            </w:r>
            <w:bookmarkEnd w:id="93"/>
            <w:bookmarkEnd w:id="9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95" w:name="_Toc176857832"/>
            <w:bookmarkStart w:id="96" w:name="_Toc176860825"/>
            <w:r>
              <w:rPr>
                <w:rFonts w:ascii="Arial" w:hAnsi="Arial"/>
                <w:sz w:val="18"/>
              </w:rPr>
              <w:t>Il est recommandé de déterminer l’acidité du sol lors de l’étude préliminaire, ce qui permettra de choisir le type de revêtement à appliquer (notamment taille du grain, en μm, d’un alliage Zn-Mg)</w:t>
            </w:r>
            <w:bookmarkEnd w:id="95"/>
            <w:bookmarkEnd w:id="96"/>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97" w:name="_Toc176857833"/>
            <w:bookmarkStart w:id="98" w:name="_Toc176860826"/>
            <w:r>
              <w:rPr>
                <w:rFonts w:ascii="Arial" w:hAnsi="Arial"/>
                <w:sz w:val="18"/>
              </w:rPr>
              <w:t>Inspection SCIOS Scope 12</w:t>
            </w:r>
            <w:bookmarkEnd w:id="97"/>
            <w:bookmarkEnd w:id="9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99" w:name="_Toc176857834"/>
            <w:bookmarkStart w:id="100" w:name="_Toc176860827"/>
            <w:r>
              <w:rPr>
                <w:rFonts w:ascii="Arial" w:hAnsi="Arial"/>
                <w:b/>
                <w:color w:val="000000"/>
              </w:rPr>
              <w:t>Exigences applicables à la construction</w:t>
            </w:r>
            <w:r>
              <w:rPr>
                <w:rFonts w:ascii="Arial" w:hAnsi="Arial"/>
                <w:b/>
                <w:color w:val="00B0F0"/>
              </w:rPr>
              <w:t xml:space="preserve"> dans le cas des installations photovoltaïques FLOTTANTES</w:t>
            </w:r>
            <w:bookmarkEnd w:id="99"/>
            <w:bookmarkEnd w:id="100"/>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101" w:name="_Toc176857835"/>
            <w:bookmarkStart w:id="102" w:name="_Toc176860828"/>
            <w:r>
              <w:rPr>
                <w:rFonts w:ascii="Arial" w:hAnsi="Arial"/>
                <w:b/>
                <w:color w:val="FF0000"/>
                <w:sz w:val="18"/>
              </w:rPr>
              <w:t xml:space="preserve">N. B.: les structures photovoltaïques flottantes sont un phénomène relativement récent, même sur les voies navigables intérieures. L’élaboration de normes et de procédures d’essais visant à déterminer l’action du vent et des vagues est toujours en cours. Pour contacter le consortium Zon op Water, rendez-vous à l’adresse suivante: </w:t>
            </w:r>
            <w:hyperlink r:id="rId12" w:history="1">
              <w:r>
                <w:rPr>
                  <w:rStyle w:val="Hyperlink"/>
                  <w:rFonts w:ascii="Arial" w:hAnsi="Arial"/>
                  <w:b/>
                  <w:sz w:val="18"/>
                </w:rPr>
                <w:t>www.zonopwater.nl</w:t>
              </w:r>
              <w:bookmarkEnd w:id="101"/>
              <w:bookmarkEnd w:id="102"/>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103" w:name="_Toc176857836"/>
            <w:bookmarkStart w:id="104" w:name="_Toc176860829"/>
            <w:r>
              <w:rPr>
                <w:rFonts w:ascii="Arial" w:hAnsi="Arial"/>
                <w:sz w:val="18"/>
              </w:rPr>
              <w:t>5.10</w:t>
            </w:r>
            <w:bookmarkEnd w:id="103"/>
            <w:bookmarkEnd w:id="10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105" w:name="_Toc176857837"/>
            <w:bookmarkStart w:id="106" w:name="_Toc176860830"/>
            <w:r>
              <w:rPr>
                <w:rFonts w:ascii="Arial" w:hAnsi="Arial"/>
                <w:b/>
                <w:color w:val="000000"/>
                <w:sz w:val="18"/>
              </w:rPr>
              <w:t xml:space="preserve">Conception. </w:t>
            </w:r>
            <w:r>
              <w:rPr>
                <w:rFonts w:ascii="Arial" w:hAnsi="Arial"/>
                <w:color w:val="000000"/>
                <w:sz w:val="18"/>
              </w:rPr>
              <w:t>La structure et les matériaux de construction doivent avoir été conçus pour pouvoir résister à l’action du vent.</w:t>
            </w:r>
            <w:bookmarkEnd w:id="105"/>
            <w:bookmarkEnd w:id="106"/>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107" w:name="_Toc176857838"/>
            <w:bookmarkStart w:id="108" w:name="_Toc176860831"/>
            <w:r>
              <w:rPr>
                <w:rFonts w:ascii="Arial" w:hAnsi="Arial"/>
                <w:b/>
                <w:color w:val="0070C0"/>
                <w:sz w:val="18"/>
              </w:rPr>
              <w:t>À préciser</w:t>
            </w:r>
            <w:bookmarkEnd w:id="107"/>
            <w:bookmarkEnd w:id="10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109" w:name="_Toc176857839"/>
            <w:bookmarkStart w:id="110" w:name="_Toc176860832"/>
            <w:r>
              <w:rPr>
                <w:rFonts w:ascii="Arial" w:hAnsi="Arial"/>
                <w:sz w:val="18"/>
              </w:rPr>
              <w:t>Normes encore en cours d’élaboration. À décider après consultation du conseiller technique, en fonction de la localisation.</w:t>
            </w:r>
            <w:bookmarkEnd w:id="109"/>
            <w:bookmarkEnd w:id="110"/>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111" w:name="_Toc176857840"/>
            <w:bookmarkStart w:id="112" w:name="_Toc176860833"/>
            <w:r>
              <w:rPr>
                <w:rFonts w:ascii="Arial" w:hAnsi="Arial"/>
                <w:sz w:val="18"/>
              </w:rPr>
              <w:lastRenderedPageBreak/>
              <w:t>5.11</w:t>
            </w:r>
            <w:bookmarkEnd w:id="111"/>
            <w:bookmarkEnd w:id="112"/>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113" w:name="_Toc176857841"/>
            <w:bookmarkStart w:id="114" w:name="_Toc176860834"/>
            <w:r>
              <w:rPr>
                <w:rFonts w:ascii="Arial" w:hAnsi="Arial"/>
                <w:b/>
                <w:color w:val="000000"/>
                <w:sz w:val="18"/>
              </w:rPr>
              <w:t xml:space="preserve">Conception. </w:t>
            </w:r>
            <w:r>
              <w:rPr>
                <w:rFonts w:ascii="Arial" w:hAnsi="Arial"/>
                <w:color w:val="000000"/>
                <w:sz w:val="18"/>
              </w:rPr>
              <w:t>La structure, les matériaux de construction et le lestage doivent avoir été conçus pour pouvoir résister à l’action des vagues.</w:t>
            </w:r>
            <w:bookmarkEnd w:id="113"/>
            <w:bookmarkEnd w:id="114"/>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115" w:name="_Toc176857842"/>
            <w:bookmarkStart w:id="116" w:name="_Toc176860835"/>
            <w:r>
              <w:rPr>
                <w:rFonts w:ascii="Arial" w:hAnsi="Arial"/>
                <w:b/>
                <w:color w:val="0070C0"/>
                <w:sz w:val="18"/>
              </w:rPr>
              <w:t>À préciser</w:t>
            </w:r>
            <w:bookmarkEnd w:id="115"/>
            <w:bookmarkEnd w:id="116"/>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117" w:name="_Toc176857843"/>
            <w:bookmarkStart w:id="118" w:name="_Toc176860836"/>
            <w:r>
              <w:rPr>
                <w:rFonts w:ascii="Arial" w:hAnsi="Arial"/>
                <w:sz w:val="18"/>
              </w:rPr>
              <w:t>Normes encore en cours d’élaboration. À décider après consultation du conseiller technique, en fonction de la localisation.</w:t>
            </w:r>
            <w:bookmarkEnd w:id="117"/>
            <w:bookmarkEnd w:id="118"/>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119" w:name="_Toc176857844"/>
            <w:bookmarkStart w:id="120" w:name="_Toc176860837"/>
            <w:r>
              <w:rPr>
                <w:rFonts w:ascii="Arial" w:hAnsi="Arial"/>
                <w:b/>
              </w:rPr>
              <w:t>Matériaux</w:t>
            </w:r>
            <w:bookmarkEnd w:id="119"/>
            <w:bookmarkEnd w:id="120"/>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121" w:name="_Toc176857845"/>
            <w:bookmarkStart w:id="122" w:name="_Toc176860838"/>
            <w:r>
              <w:rPr>
                <w:rFonts w:ascii="Arial" w:hAnsi="Arial"/>
                <w:sz w:val="18"/>
              </w:rPr>
              <w:t>5.12</w:t>
            </w:r>
            <w:bookmarkEnd w:id="121"/>
            <w:bookmarkEnd w:id="12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123" w:name="_Toc176857846"/>
            <w:bookmarkStart w:id="124" w:name="_Toc176860839"/>
            <w:r>
              <w:rPr>
                <w:rFonts w:ascii="Arial" w:hAnsi="Arial"/>
                <w:b/>
                <w:sz w:val="18"/>
              </w:rPr>
              <w:t>Les éléments en acier doivent être protégés contre la corrosion.</w:t>
            </w:r>
            <w:bookmarkEnd w:id="123"/>
            <w:bookmarkEnd w:id="12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125" w:name="_Toc176857847"/>
            <w:bookmarkStart w:id="126" w:name="_Toc176860840"/>
            <w:r>
              <w:rPr>
                <w:rFonts w:ascii="Arial" w:hAnsi="Arial"/>
                <w:sz w:val="18"/>
              </w:rPr>
              <w:t>5.13</w:t>
            </w:r>
            <w:bookmarkEnd w:id="125"/>
            <w:bookmarkEnd w:id="12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127" w:name="_Toc176857848"/>
            <w:bookmarkStart w:id="128" w:name="_Toc176860841"/>
            <w:r>
              <w:rPr>
                <w:rFonts w:ascii="Arial" w:hAnsi="Arial"/>
                <w:b/>
                <w:sz w:val="18"/>
              </w:rPr>
              <w:t>Les éléments de fixation doivent être conformes à la norme NEN-EN-ISO 10683.</w:t>
            </w:r>
            <w:bookmarkEnd w:id="127"/>
            <w:bookmarkEnd w:id="12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129" w:name="_Toc176857849"/>
            <w:bookmarkStart w:id="130" w:name="_Toc176860842"/>
            <w:r>
              <w:rPr>
                <w:rFonts w:ascii="Arial" w:hAnsi="Arial"/>
                <w:color w:val="000000"/>
                <w:sz w:val="18"/>
              </w:rPr>
              <w:t xml:space="preserve">NEN-EN-ISO 10683: </w:t>
            </w:r>
            <w:r>
              <w:rPr>
                <w:rFonts w:ascii="Arial" w:hAnsi="Arial"/>
                <w:i/>
                <w:color w:val="000000"/>
                <w:sz w:val="18"/>
              </w:rPr>
              <w:t>«Fixations – Systèmes de revêtements non électrolytiques de zinc lamellaire»</w:t>
            </w:r>
            <w:bookmarkEnd w:id="129"/>
            <w:bookmarkEnd w:id="130"/>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131" w:name="_Toc176857850"/>
            <w:bookmarkStart w:id="132" w:name="_Toc176860843"/>
            <w:r>
              <w:rPr>
                <w:rFonts w:ascii="Arial" w:hAnsi="Arial"/>
                <w:sz w:val="18"/>
              </w:rPr>
              <w:t>5.14</w:t>
            </w:r>
            <w:bookmarkEnd w:id="131"/>
            <w:bookmarkEnd w:id="13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133" w:name="_Toc176857851"/>
            <w:bookmarkStart w:id="134" w:name="_Toc176860844"/>
            <w:r>
              <w:rPr>
                <w:rFonts w:ascii="Arial" w:hAnsi="Arial"/>
                <w:b/>
                <w:sz w:val="18"/>
              </w:rPr>
              <w:t>Les matériaux doivent être choisis de manière à éviter tout effet indésirable dû aux différences de noblesse entre les métaux et les matériaux utilisés.</w:t>
            </w:r>
            <w:bookmarkEnd w:id="133"/>
            <w:bookmarkEnd w:id="134"/>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135" w:name="_Toc176857852"/>
            <w:bookmarkStart w:id="136" w:name="_Toc176860845"/>
            <w:r>
              <w:rPr>
                <w:rFonts w:ascii="Arial" w:hAnsi="Arial"/>
                <w:sz w:val="18"/>
              </w:rPr>
              <w:t>Par exemple: un contact mécanique direct entre certains aciers (alliages métalliques) et des pièces en aluminium pourrait entraîner une corrosion galvanique à certains ratios résistance/poids.</w:t>
            </w:r>
            <w:bookmarkEnd w:id="135"/>
            <w:bookmarkEnd w:id="136"/>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137" w:name="_Toc176857853"/>
            <w:bookmarkStart w:id="138" w:name="_Toc176860846"/>
            <w:r>
              <w:rPr>
                <w:rFonts w:ascii="Arial" w:hAnsi="Arial"/>
                <w:sz w:val="18"/>
              </w:rPr>
              <w:t>5.15</w:t>
            </w:r>
            <w:bookmarkEnd w:id="137"/>
            <w:bookmarkEnd w:id="13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139" w:name="_Toc176857854"/>
            <w:bookmarkStart w:id="140" w:name="_Toc176860847"/>
            <w:r>
              <w:rPr>
                <w:rFonts w:ascii="Arial" w:hAnsi="Arial"/>
                <w:b/>
                <w:sz w:val="18"/>
              </w:rPr>
              <w:t>La solidité de la structure, visée dans la norme NEN-EN 1990, doit être suffisante pendant toute la durée d’utilisation.</w:t>
            </w:r>
            <w:bookmarkEnd w:id="139"/>
            <w:bookmarkEnd w:id="140"/>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141" w:name="_Toc176857855"/>
            <w:bookmarkStart w:id="142" w:name="_Toc176860848"/>
            <w:r>
              <w:rPr>
                <w:rFonts w:ascii="Arial" w:hAnsi="Arial"/>
                <w:color w:val="000000"/>
                <w:sz w:val="18"/>
              </w:rPr>
              <w:t xml:space="preserve">NEN-EN 1990: </w:t>
            </w:r>
            <w:r>
              <w:rPr>
                <w:rFonts w:ascii="Arial" w:hAnsi="Arial"/>
                <w:i/>
                <w:color w:val="000000"/>
                <w:sz w:val="18"/>
              </w:rPr>
              <w:t xml:space="preserve">«Eurocodes structuraux – Bases de calcul des structures» </w:t>
            </w:r>
            <w:r>
              <w:rPr>
                <w:rFonts w:ascii="Arial" w:hAnsi="Arial"/>
                <w:color w:val="000000"/>
                <w:sz w:val="18"/>
              </w:rPr>
              <w:t>Cette norme définit des principes et des exigences en matière de sécurité, d’aptitude au service et de durabilité des structures. Elle décrit les bases pour la conception, le dimensionnement et la vérification de celles-ci, et fournit des lignes directrices concernant les aspects de la fiabilité structurale qui s’y rattachent.</w:t>
            </w:r>
            <w:bookmarkEnd w:id="141"/>
            <w:bookmarkEnd w:id="142"/>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143" w:name="_Toc176857856"/>
            <w:bookmarkStart w:id="144" w:name="_Toc176860849"/>
            <w:r>
              <w:rPr>
                <w:rFonts w:ascii="Arial" w:hAnsi="Arial"/>
                <w:b/>
                <w:color w:val="0070C0"/>
              </w:rPr>
              <w:lastRenderedPageBreak/>
              <w:t>Facultatif</w:t>
            </w:r>
            <w:bookmarkEnd w:id="143"/>
            <w:bookmarkEnd w:id="144"/>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145" w:name="_Toc176857857"/>
            <w:bookmarkStart w:id="146" w:name="_Toc176860850"/>
            <w:r>
              <w:rPr>
                <w:rFonts w:ascii="Arial" w:hAnsi="Arial"/>
                <w:sz w:val="18"/>
              </w:rPr>
              <w:t>5.16</w:t>
            </w:r>
            <w:bookmarkEnd w:id="145"/>
            <w:bookmarkEnd w:id="146"/>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147" w:name="_Toc176857858"/>
            <w:bookmarkStart w:id="148" w:name="_Toc176860851"/>
            <w:r>
              <w:rPr>
                <w:rFonts w:ascii="Arial" w:hAnsi="Arial"/>
                <w:b/>
                <w:color w:val="000000"/>
                <w:sz w:val="18"/>
              </w:rPr>
              <w:t>Couleur des parties visibles de la structure de fixation</w:t>
            </w:r>
            <w:bookmarkEnd w:id="147"/>
            <w:bookmarkEnd w:id="14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149" w:name="_Toc176857859"/>
            <w:bookmarkStart w:id="150" w:name="_Toc176860852"/>
            <w:r>
              <w:rPr>
                <w:rFonts w:ascii="Arial" w:hAnsi="Arial"/>
                <w:b/>
                <w:sz w:val="18"/>
              </w:rPr>
              <w:t>?</w:t>
            </w:r>
            <w:bookmarkEnd w:id="149"/>
            <w:bookmarkEnd w:id="150"/>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151" w:name="_Toc176857860"/>
            <w:bookmarkStart w:id="152" w:name="_Toc176860853"/>
            <w:r>
              <w:rPr>
                <w:rFonts w:ascii="Arial" w:hAnsi="Arial"/>
                <w:sz w:val="18"/>
              </w:rPr>
              <w:t>Facultatif lorsque le montage se fait sur des toitures inclinées</w:t>
            </w:r>
            <w:bookmarkEnd w:id="151"/>
            <w:bookmarkEnd w:id="152"/>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153" w:name="_Toc176857861"/>
            <w:bookmarkStart w:id="154" w:name="_Toc176860854"/>
            <w:r>
              <w:rPr>
                <w:rFonts w:ascii="Arial" w:hAnsi="Arial"/>
                <w:sz w:val="18"/>
              </w:rPr>
              <w:t>5.17</w:t>
            </w:r>
            <w:bookmarkEnd w:id="153"/>
            <w:bookmarkEnd w:id="154"/>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155" w:name="_Toc176857862"/>
            <w:bookmarkStart w:id="156" w:name="_Toc176860855"/>
            <w:r>
              <w:rPr>
                <w:rFonts w:ascii="Arial" w:hAnsi="Arial"/>
                <w:b/>
                <w:sz w:val="18"/>
              </w:rPr>
              <w:t>Les raccordements entre les éléments doivent contribuer à la prévention des vols.</w:t>
            </w:r>
            <w:bookmarkEnd w:id="155"/>
            <w:bookmarkEnd w:id="156"/>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157" w:name="_Toc176857863"/>
            <w:bookmarkStart w:id="158" w:name="_Toc176860856"/>
            <w:r>
              <w:rPr>
                <w:rFonts w:ascii="Arial" w:hAnsi="Arial"/>
                <w:b/>
                <w:sz w:val="18"/>
              </w:rPr>
              <w:t>?</w:t>
            </w:r>
            <w:bookmarkEnd w:id="157"/>
            <w:bookmarkEnd w:id="158"/>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159" w:name="_Toc176857864"/>
            <w:bookmarkStart w:id="160" w:name="_Toc176860857"/>
            <w:r>
              <w:rPr>
                <w:rFonts w:ascii="Arial" w:hAnsi="Arial"/>
                <w:color w:val="000000"/>
                <w:sz w:val="18"/>
              </w:rPr>
              <w:t>Facultatif pour les lieux isolés/difficiles d’accès: afin de prévenir les vols, les connexions ne doivent pas pouvoir être détachées au moyen d’outils standard.</w:t>
            </w:r>
            <w:bookmarkEnd w:id="159"/>
            <w:bookmarkEnd w:id="160"/>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3C0896" w:rsidRDefault="00E732CC" w:rsidP="00026952">
      <w:pPr>
        <w:spacing w:after="160" w:line="278" w:lineRule="auto"/>
        <w:rPr>
          <w:rFonts w:eastAsia="Aptos"/>
          <w:kern w:val="2"/>
          <w:sz w:val="16"/>
          <w:szCs w:val="16"/>
          <w:lang w:val="fr-BE" w:eastAsia="en-US"/>
          <w14:ligatures w14:val="standardContextual"/>
        </w:rPr>
      </w:pPr>
    </w:p>
    <w:p w14:paraId="779104DA" w14:textId="212EEE2E" w:rsidR="00E05E85" w:rsidRPr="003C0896" w:rsidRDefault="00E05E85" w:rsidP="00026952">
      <w:pPr>
        <w:spacing w:after="160" w:line="278" w:lineRule="auto"/>
        <w:rPr>
          <w:rFonts w:eastAsia="Aptos"/>
          <w:kern w:val="2"/>
          <w:sz w:val="16"/>
          <w:szCs w:val="16"/>
          <w:lang w:val="fr-BE" w:eastAsia="en-US"/>
          <w14:ligatures w14:val="standardContextual"/>
        </w:rPr>
      </w:pPr>
    </w:p>
    <w:p w14:paraId="2E5E43CE" w14:textId="1A394517" w:rsidR="00E05E85" w:rsidRPr="003C0896" w:rsidRDefault="00E05E85" w:rsidP="00026952">
      <w:pPr>
        <w:spacing w:after="160" w:line="278" w:lineRule="auto"/>
        <w:rPr>
          <w:rFonts w:eastAsia="Aptos"/>
          <w:kern w:val="2"/>
          <w:sz w:val="16"/>
          <w:szCs w:val="16"/>
          <w:lang w:val="fr-BE" w:eastAsia="en-US"/>
          <w14:ligatures w14:val="standardContextual"/>
        </w:rPr>
      </w:pPr>
    </w:p>
    <w:p w14:paraId="7408CF0F" w14:textId="1BA50AD4" w:rsidR="00E05E85" w:rsidRPr="003C0896" w:rsidRDefault="00E05E85" w:rsidP="00026952">
      <w:pPr>
        <w:spacing w:after="160" w:line="278" w:lineRule="auto"/>
        <w:rPr>
          <w:rFonts w:eastAsia="Aptos"/>
          <w:kern w:val="2"/>
          <w:sz w:val="16"/>
          <w:szCs w:val="16"/>
          <w:lang w:val="fr-BE"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3C0896" w:rsidRDefault="00E05E85" w:rsidP="00026952">
      <w:pPr>
        <w:spacing w:after="160" w:line="278" w:lineRule="auto"/>
        <w:rPr>
          <w:rFonts w:eastAsia="Aptos"/>
          <w:kern w:val="2"/>
          <w:sz w:val="16"/>
          <w:szCs w:val="16"/>
          <w:lang w:val="fr-BE"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w:lastRenderedPageBreak/>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3C0896" w:rsidRDefault="00E05E85" w:rsidP="00026952">
      <w:pPr>
        <w:spacing w:after="160" w:line="278" w:lineRule="auto"/>
        <w:rPr>
          <w:rFonts w:eastAsia="Aptos"/>
          <w:kern w:val="2"/>
          <w:sz w:val="16"/>
          <w:szCs w:val="16"/>
          <w:lang w:val="fr-BE" w:eastAsia="en-US"/>
          <w14:ligatures w14:val="standardContextual"/>
        </w:rPr>
      </w:pPr>
    </w:p>
    <w:p w14:paraId="641FF13E" w14:textId="77777777" w:rsidR="00E05E85" w:rsidRPr="003C0896" w:rsidRDefault="00E05E85" w:rsidP="00026952">
      <w:pPr>
        <w:spacing w:after="160" w:line="278" w:lineRule="auto"/>
        <w:rPr>
          <w:rFonts w:eastAsia="Aptos"/>
          <w:kern w:val="2"/>
          <w:sz w:val="16"/>
          <w:szCs w:val="16"/>
          <w:lang w:val="fr-BE"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414012">
      <w:pPr>
        <w:pStyle w:val="MH2"/>
      </w:pPr>
      <w:bookmarkStart w:id="161" w:name="_Toc177479635"/>
      <w:r>
        <w:t>10.6 – Exigences – Structure de fixation</w:t>
      </w:r>
      <w:bookmarkEnd w:id="161"/>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550"/>
        <w:gridCol w:w="3014"/>
        <w:gridCol w:w="1364"/>
        <w:gridCol w:w="89"/>
        <w:gridCol w:w="397"/>
        <w:gridCol w:w="721"/>
        <w:gridCol w:w="2289"/>
        <w:gridCol w:w="1995"/>
        <w:gridCol w:w="523"/>
        <w:gridCol w:w="1115"/>
        <w:gridCol w:w="879"/>
        <w:gridCol w:w="1051"/>
        <w:gridCol w:w="336"/>
        <w:gridCol w:w="265"/>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414012">
            <w:pPr>
              <w:pStyle w:val="MH3"/>
            </w:pPr>
            <w:bookmarkStart w:id="162" w:name="_Toc177479636"/>
            <w:r>
              <w:t>Exigences – achèvement, inspection et vérifications</w:t>
            </w:r>
            <w:bookmarkEnd w:id="162"/>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Instructions</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Modèle de cahier des charges et de critères d’attribution pour la fourniture et l’installation de panneaux photovoltaïques</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Modifier les champs jaunes avec du texte en bleu</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Version: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Exigences facultatives dans les champs roses: supprimer le point d’interrogation dans la colonne C si cette exigence n’est pas incluse. Sinon, indiquer «oui» ou «1». Le numéro de l’exigence sera alors supprimé et la numérotation des exigences suivantes s’adaptera automatiquement.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Éditeur: Buyer Group voor Duurzame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Saisissez toutes les exigences supplémentaires dans les champs vides. Si des lignes supplémentaires sont insérées, veuillez adapter les formules de numérotation automatique des colonnes A et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Retour d’information/erreurs/ajouts: envoyez un courriel à</w:t>
            </w:r>
            <w:r>
              <w:t xml:space="preserve"> </w:t>
            </w:r>
            <w:hyperlink r:id="rId13" w:history="1">
              <w:r>
                <w:rPr>
                  <w:rStyle w:val="Hyperlink"/>
                  <w:rFonts w:ascii="Arial" w:hAnsi="Arial"/>
                  <w:color w:val="104D54"/>
                  <w:sz w:val="16"/>
                </w:rPr>
                <w:t>BGDPV@pianoo.nl</w:t>
              </w:r>
            </w:hyperlink>
          </w:p>
          <w:p w14:paraId="37FEE408" w14:textId="77777777" w:rsidR="00CE1B5F" w:rsidRPr="003C0896" w:rsidRDefault="00CE1B5F" w:rsidP="001A0646">
            <w:pPr>
              <w:spacing w:line="240" w:lineRule="auto"/>
              <w:rPr>
                <w:rFonts w:ascii="Arial" w:hAnsi="Arial" w:cs="Arial"/>
                <w:color w:val="808080"/>
                <w:sz w:val="16"/>
                <w:szCs w:val="16"/>
                <w:lang w:val="fr-BE" w:eastAsia="en-GB"/>
              </w:rPr>
            </w:pPr>
          </w:p>
          <w:p w14:paraId="23F5E4D4" w14:textId="77777777" w:rsidR="00CE1B5F" w:rsidRPr="003C0896" w:rsidRDefault="00CE1B5F" w:rsidP="001A0646">
            <w:pPr>
              <w:spacing w:line="240" w:lineRule="auto"/>
              <w:rPr>
                <w:rFonts w:ascii="Arial" w:hAnsi="Arial" w:cs="Arial"/>
                <w:color w:val="808080"/>
                <w:sz w:val="16"/>
                <w:szCs w:val="16"/>
                <w:lang w:val="fr-BE"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Lorsque vous êtes prêt, masquez les colonnes D et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IDENTIFIANT</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Description de l’exigence</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Valeur</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Inclure une exigence?</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Explication pour le client</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Explication pour le soumissionnaire</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Vérification et validation</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Conséquences d’une performance</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insuffisante</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Rapport d’achèvement</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À l’achèvement, un document doit être produit </w:t>
            </w:r>
            <w:r>
              <w:rPr>
                <w:rFonts w:ascii="Arial" w:hAnsi="Arial"/>
                <w:b/>
                <w:color w:val="000000"/>
                <w:sz w:val="20"/>
                <w:u w:val="single"/>
              </w:rPr>
              <w:t>pour chaque site</w:t>
            </w:r>
            <w:r>
              <w:rPr>
                <w:rFonts w:ascii="Arial" w:hAnsi="Arial"/>
                <w:b/>
                <w:color w:val="000000"/>
                <w:sz w:val="20"/>
              </w:rPr>
              <w:t xml:space="preserve"> qui prend la forme d’un dossier des ouvrages exécutés (DOE). Le contenu du DOE est le suivant:</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Comparer le rapport d’achèvement aux documents, plans et dessins initiaux</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Corriger les écarts par rapport aux valeurs définies en phase de conception, si le maître d’ouvrage le juge nécessaire</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Nom et adresse de l’installation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Manuel d’utilisation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Consignes de sécurité</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Détail quantitatif estimatif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w:t>
            </w:r>
            <w:r>
              <w:rPr>
                <w:rFonts w:ascii="Arial" w:hAnsi="Arial"/>
                <w:color w:val="000000"/>
                <w:sz w:val="20"/>
              </w:rPr>
              <w:tab/>
              <w:t>Schémas des panneaux, onduleurs et chaînes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Diagrammes schématiques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Structure de support</w:t>
            </w:r>
            <w:r>
              <w:rPr>
                <w:rFonts w:ascii="Arial" w:hAnsi="Arial"/>
                <w:color w:val="000000"/>
                <w:sz w:val="20"/>
              </w:rPr>
              <w:t>: spécifications techniques, attestation de stabilité, garanties et certificats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Panneaux solaires</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Fiche technique avec spécifications techniques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Évaluation carbone simplifiée délivrée par Certisolis conformément au cahier des charges des appels d’offres «PPE2» et «CRE4»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Garantie commerciale + garantie de parfait achèvement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Liste des numéros de série des panneaux + données des «tests flash» (courbe I-V) pour chaque numéro de série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Instructions pour le montage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Si une feuille de fond en plastique a été utilisée et qu’elle n’est </w:t>
            </w:r>
            <w:r>
              <w:rPr>
                <w:rFonts w:ascii="Arial" w:hAnsi="Arial"/>
                <w:i/>
                <w:iCs/>
                <w:color w:val="000000"/>
                <w:sz w:val="20"/>
              </w:rPr>
              <w:t>pas</w:t>
            </w:r>
            <w:r>
              <w:rPr>
                <w:rFonts w:ascii="Arial" w:hAnsi="Arial"/>
                <w:color w:val="000000"/>
                <w:sz w:val="20"/>
              </w:rPr>
              <w:t xml:space="preserve"> mentionnée sur la fiche technique des matériaux utilisés, une attestation «sans PFAS» est requise.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L’attestation «sans PFAS» est un document établi et signé par le fabricant, indiquant les matériaux utilisés dans la fabrication de la feuille de fond et confirmant que celle-ci est exempte de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Par le conseiller technique du maître d’ouvrage</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Installation électrique, courant continu: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Calculs du câblage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Diagramme schématique de la chaîne de panneaux et code ou étiquette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Spécifications techniques pour le câblage, les connecteurs et les boîtes de jonction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Certificats pour le câblage et les connecteurs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Installation électrique, courant alternatif: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Calculs du câblage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Diagrammes schématiques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Spécifications techniques pour protection de découplage, relais, disjoncteur, protection contre les surtensions, interrupteurs utilisés, fusibles et câblage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Onduleur(s):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Spécifications techniques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Certificats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Manuel d’utilisation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Numéro de série avec code de référence de chaque onduleur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Données de surveillance</w:t>
            </w:r>
            <w:r>
              <w:rPr>
                <w:rFonts w:ascii="Arial" w:hAnsi="Arial"/>
                <w:color w:val="000000"/>
                <w:sz w:val="20"/>
              </w:rPr>
              <w:t>; spécifications techniques pour l’enregistreur de données, identifiants de connexion et manuel d’utilisation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Garanties de rendement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Preuve d’enregistrement auprès du gestionnaire de réseau et de la société </w:t>
            </w:r>
            <w:r>
              <w:rPr>
                <w:rFonts w:ascii="Arial" w:hAnsi="Arial"/>
                <w:b/>
                <w:color w:val="000000"/>
                <w:sz w:val="20"/>
              </w:rPr>
              <w:lastRenderedPageBreak/>
              <w:t>chargée de relever les compteurs (</w:t>
            </w:r>
            <w:r>
              <w:rPr>
                <w:rFonts w:ascii="Arial" w:hAnsi="Arial"/>
                <w:b/>
                <w:i/>
                <w:iCs/>
                <w:color w:val="000000"/>
                <w:sz w:val="20"/>
              </w:rPr>
              <w:t>Het Meetbedrijf</w:t>
            </w:r>
            <w:r>
              <w:rPr>
                <w:rFonts w:ascii="Arial" w:hAnsi="Arial"/>
                <w:b/>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Code EAN pour l’injection dans le réseau</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Facultatif: pour les installations photovoltaïques d’une puissance supérieure à 1 MWc</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L’entrepreneur doit accepter le procès-verbal (PV) de réception provisoire délivré à l’issue de l’inspection SCIOS Scope 12 et commencer à remédier aux non-conformités constatées.</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Le PV de réception provisoire énonce les non-conformités majeures et mineures (évaluées par un conseiller technique) et recense également les problèmes qui doivent être corrigés avant la réception définitive.</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Rapport de l’inspection SCIOS Scope 12 / du conseiller technique</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0B1F24D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L’installateur/la société de services énergétiques/le constructeur doit apporter des améliorations</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L’entrepreneur doit avoir pris toutes les mesures nécessaires pour que le procès-verbal (PV) de réception définitive puisse être délivré dans un délai de... mois à compter de la réception provisoire.</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dans un délai de x mois</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Le PV de réception définitive est un document indiquant, pour chaque non-conformité relevée dans le PV de réception provisoire, si elle a été corrigée de la manière stipulée par le maître d’ouvrage/le conseiller technique. Ainsi: toutes les non-conformités relevées dans le PV de réception provisoire doivent avoir été corrigées; le ratio de performance réel sur les 30 jours écoulés doit être d’au moins 98 % du taux de rendement théorique (voir critères d’attribution); le rapport d’achèvement doit avoir été mis à jour à l’aide du DEO.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Rapport de l’inspection SCIOS Scope 12 / du conseiller technique</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Facultatif: pour les installations photovoltaïques d’une puissance supérieure à 10 MWc</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Tests sur échantillons, afin de vérifier la puissance et la qualité des panneaux solaires fournis.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P_test &gt; 99 % P_fabricant. 2) État acceptable.</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Généralement uniquement pour les projets &gt; 10 MWc. Les tests sur échantillons portent sur les éléments suivants: 1) la puissance de l’échantillon de panneaux, conformément à un test indépendant I-V, doit être &gt; 99 % de la puissance selon le fabricant; 2) les échantillons doivent être dans un état acceptable – inspection visuelle, nombre de microfissures révélées par électroluminescence (test EL), etc.</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Rapport de données I-V et images par électroluminescence des modules photovoltaïques selon la norme ISO 2859, nombre d’échantillons déterminé selon les limites de qualité acceptables (AQL) S2 ou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Doit être approuvé par le conseiller technique.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En cas de performance significativement insuffisante (&gt; 1 %), des panneaux complémentaires doivent être fournis jusqu’à ce que la puissance réelle en courant continu corresponde à celle indiquée dans l’offre, ou une remise proportionnelle à l’écart sera consentie sur le coût global du projet.</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Audit de fabrication</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Évaluation: «suffisant»</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Généralement uniquement pour les projets photovoltaïques d’une puissance &gt; 10 MWc. Coûte entre 3 000 et 7 000 EUR environ. L’unité de fabrication dans laquelle les modules sont fabriqués doit être inspectée avant ou pendant la fabrication des panneaux et l’inspection comprend </w:t>
            </w:r>
            <w:r>
              <w:rPr>
                <w:rFonts w:ascii="Arial" w:hAnsi="Arial"/>
                <w:color w:val="000000"/>
                <w:sz w:val="20"/>
              </w:rPr>
              <w:lastRenderedPageBreak/>
              <w:t xml:space="preserve">également un contrôle de la qualité des matériaux et du processus de fabrication.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414012">
      <w:pPr>
        <w:pStyle w:val="MH2"/>
      </w:pPr>
      <w:bookmarkStart w:id="163" w:name="_Toc177479637"/>
      <w:r>
        <w:t>10.7 – Exigences – achèvement, inspection et vérifications</w:t>
      </w:r>
      <w:bookmarkEnd w:id="163"/>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585"/>
        <w:gridCol w:w="2702"/>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414012">
            <w:pPr>
              <w:pStyle w:val="MH2"/>
            </w:pPr>
            <w:bookmarkStart w:id="164" w:name="_Toc177479638"/>
            <w:r>
              <w:t>Exigences – Entretien et surveillance</w:t>
            </w:r>
            <w:bookmarkEnd w:id="164"/>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N. B.: uniquement si l’entretien et la surveillance de l’installation une fois livrée ont été demandés dans le contrat/l’appel d’offres</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Modèle de cahier des charges et de critères d’attribution pour la fourniture et l’installation de panneaux photovoltaïques</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Instructions</w:t>
            </w:r>
            <w:r>
              <w:rPr>
                <w:rFonts w:ascii="Arial" w:hAnsi="Arial"/>
                <w:color w:val="808080"/>
                <w:sz w:val="16"/>
              </w:rPr>
              <w:t xml:space="preserve"> </w:t>
            </w:r>
            <w:r>
              <w:rPr>
                <w:rFonts w:ascii="Arial" w:hAnsi="Arial"/>
                <w:color w:val="808080"/>
                <w:sz w:val="16"/>
              </w:rPr>
              <w:br/>
              <w:t>1. Modifier les champs jaunes avec du texte en bleu</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Exigences facultatives dans les champs roses: supprimer le point d’interrogation dans la colonne C si cette exigence n’est pas incluse. Sinon, indiquer «oui» ou «1». Le numéro de l’exigence sera alors supprimé et la numérotation des exigences suivantes s’adaptera automatiquement.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Éditeur: Buyer Group voor Duurzame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Saisissez toutes les exigences supplémentaires dans les champs vides. Si des lignes supplémentaires sont insérées, veuillez adapter les formules de numérotation automatique des colonnes A et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Retour d’information/erreurs/ajouts: envoyez un courriel à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Lorsque vous êtes prêt, masquez les colonnes D et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IDENTIFIANT</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Description</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Valeur</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Inclure une exigence?</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Explication pour le client</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Vérification et validation</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Conséquences d’une performance insuffisante</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Entretien et réparations</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Disponibilité de l’installation</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Systèmes &lt; 1 MWc: &gt; 98 %;   Systèmes &gt; 1 MWc: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À déterminer en consultation avec le conseiller technique. Cette exigence n’est pas toujours incluse. La disponibilité indique qu’une installation fonctionne pendant 98 % ou 99 % des heures </w:t>
            </w:r>
            <w:r>
              <w:rPr>
                <w:rFonts w:ascii="Arial" w:hAnsi="Arial"/>
                <w:sz w:val="18"/>
              </w:rPr>
              <w:lastRenderedPageBreak/>
              <w:t xml:space="preserve">d’ensoleillement. Toute intervention d’entretien doit être brève et les dysfonctionnements doivent être résolus rapidement.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 xml:space="preserve">À l’aide du système de surveillance ou, à défaut, des rapports du </w:t>
            </w:r>
            <w:r>
              <w:rPr>
                <w:rFonts w:ascii="Arial" w:hAnsi="Arial"/>
                <w:sz w:val="18"/>
              </w:rPr>
              <w:lastRenderedPageBreak/>
              <w:t>système de surveillance.</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Facultatif: les contrats/marchés pour grandes installations prévoient souvent une clause de pénalité</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Le taux de rendement effectif</w:t>
            </w:r>
            <w:r>
              <w:rPr>
                <w:rFonts w:ascii="Arial" w:hAnsi="Arial"/>
                <w:color w:val="000000"/>
                <w:sz w:val="18"/>
              </w:rPr>
              <w:t>, sur 1 an, doit être d’au moins 97 % du taux de rendement théorique (selon la conception, voir fiche de travail 9 – Critères d’attribution)</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du taux de rendement théorique</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 Cette exigence n’est pas toujours incluse. Le taux de rendement effectif est calculé en divisant la production d’énergie sur 1 an par la puissance photovoltaïque installée (courant continu crête) et par l’irradiation réelle par m</w:t>
            </w:r>
            <w:r>
              <w:rPr>
                <w:rFonts w:ascii="Arial" w:hAnsi="Arial"/>
                <w:sz w:val="18"/>
                <w:vertAlign w:val="superscript"/>
              </w:rPr>
              <w:t>2</w:t>
            </w:r>
            <w:r>
              <w:rPr>
                <w:rFonts w:ascii="Arial" w:hAnsi="Arial"/>
                <w:sz w:val="18"/>
              </w:rPr>
              <w:t xml:space="preserve"> au cours de la même année (données, par exemple, d’un observatoire météorologique de l’Institut Royal de météorologie des Pays-Bas situé à proximité ou d’un compteur d’irradiation sur site).  Des écarts supérieurs à 3 % indiquent des problèmes dans l’installation.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Annuellement à l’aide du système de surveillance ou un rapport annuel du système de surveillance</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Facultatif: les contrats/marchés pour grandes installations prévoient souvent une clause de pénalité, par exemple 60 EUR par MWh de production manquante par rapport à la production qui serait obtenue si le taux de rendement effectif était = 97 % du taux de rendement théorique.</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Plan d’inspection et d’entretien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Document précisant comment et à quelle fréquence les inspections et les interventions d’entretien seront à effectuer.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Contrat d’entretien correctif/accord de niveau de service – A.</w:t>
            </w:r>
            <w:r>
              <w:rPr>
                <w:rFonts w:ascii="Arial" w:hAnsi="Arial"/>
                <w:color w:val="000000"/>
                <w:sz w:val="18"/>
              </w:rPr>
              <w:t xml:space="preserve"> En cas de défaillance d’un transformateur, d’un onduleur ou d’un système de suivi: rechercher la cause et proposer des mesures correctives dans les délais suivants: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Pour les systèmes &gt; 1 MWc: 4 heures; Pour les systèmes &gt; 100 kW, &lt; 1MWc: 24 heures; Pour les systèmes &lt; 100 kW: 72 heures</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Contrat d’entretien correctif/accord de niveau de service – B.</w:t>
            </w:r>
            <w:r>
              <w:rPr>
                <w:rFonts w:ascii="Arial" w:hAnsi="Arial"/>
                <w:color w:val="000000"/>
                <w:sz w:val="18"/>
              </w:rPr>
              <w:t xml:space="preserve"> En cas de défaillance d’une chaîne de panneaux ou de défaillance de </w:t>
            </w:r>
            <w:r>
              <w:rPr>
                <w:rFonts w:ascii="Arial" w:hAnsi="Arial"/>
                <w:color w:val="000000"/>
                <w:sz w:val="18"/>
              </w:rPr>
              <w:lastRenderedPageBreak/>
              <w:t xml:space="preserve">plus de 4 modules photovoltaïques, rechercher la cause et proposer des mesures correctives dans les délais suivants: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 xml:space="preserve">Pour les systèmes &gt; 1 MWc: 24 heures; Pour les systèmes &gt; 100 kW, &lt; 1MWc: 72 heures; Pour les </w:t>
            </w:r>
            <w:r>
              <w:rPr>
                <w:rFonts w:ascii="Arial" w:hAnsi="Arial"/>
                <w:b/>
                <w:color w:val="0070C0"/>
                <w:sz w:val="18"/>
              </w:rPr>
              <w:lastRenderedPageBreak/>
              <w:t>systèmes &lt; 100 kW: 1 semaine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w:t>
            </w:r>
            <w:r>
              <w:rPr>
                <w:rFonts w:ascii="Arial" w:hAnsi="Arial"/>
                <w:sz w:val="18"/>
              </w:rPr>
              <w:lastRenderedPageBreak/>
              <w:t xml:space="preserve">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Contrat d’entretien correctif/accord de niveau de service – C.</w:t>
            </w:r>
            <w:r>
              <w:rPr>
                <w:rFonts w:ascii="Arial" w:hAnsi="Arial"/>
                <w:color w:val="000000"/>
                <w:sz w:val="18"/>
              </w:rPr>
              <w:t xml:space="preserve"> En cas de défaillance de 1 module photovoltaïque, rechercher la cause et proposer des mesures correctives dans les délais suivants: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Pour les systèmes &gt; 1 MWc: 72 heures; Pour les systèmes &gt; 100 kW, &lt; 1MWc: 1 semaine; Pour les systèmes &lt; 100 kW: 1 semaine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Entretien préventif des onduleurs et, si nécessaire, du transformateur.</w:t>
            </w:r>
            <w:r>
              <w:rPr>
                <w:rFonts w:ascii="Arial" w:hAnsi="Arial"/>
                <w:color w:val="000000"/>
                <w:sz w:val="18"/>
              </w:rPr>
              <w:t xml:space="preserve"> Le transformateur et les onduleurs doivent faire l’objet d’interventions d’entretien préventif, comme stipulé par le fabricant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tous les ans / deux fois par an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Entretien préventif des panneaux solaires, câbles, connecteurs, sous-structure. </w:t>
            </w:r>
            <w:r>
              <w:rPr>
                <w:rFonts w:ascii="Arial" w:hAnsi="Arial"/>
                <w:color w:val="000000"/>
                <w:sz w:val="18"/>
              </w:rPr>
              <w:t xml:space="preserve">Sous la forme d’une inspection visuelle et d’éventuelles réparations/réglages sur site, effectués à la même fréquence que l’entretien préventif des onduleurs.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À préciser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Nettoyage des panneaux solaires. </w:t>
            </w:r>
            <w:r>
              <w:rPr>
                <w:rFonts w:ascii="Arial" w:hAnsi="Arial"/>
                <w:color w:val="000000"/>
                <w:sz w:val="18"/>
              </w:rPr>
              <w:t xml:space="preserve">Sous réserve d’une inspection visuelle et du taux de rendement du système, sur décision de la partie responsable de l’entretien et de la surveillance.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À préciser</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 Aux Pays-Bas, le volume de précipitations est habituellement tel que les panneaux sont nettoyés automatiquement: cela ne vaut souvent pas la peine d’engager des dépenses supplémentaires pour une éventuelle augmentation, minime, du taux de rendement. Toutefois, en cas de salissures persistantes, un nettoyage peut être utile. Celles-ci peuvent être dues aux conditions météorologiques, à la présence de nombreux oiseaux sur certains sites, à la faible inclinaison des panneaux ou au fait que les cellules des rangées inférieures accumulent des mousses/des algues.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Entretien de la végétation</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À préciser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À déterminer en consultation avec le conseiller technique. Normalement, la végétation ne doit pas envahir les modules, ni entraver le bon fonctionnement des panneaux.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Au préalable: plan d’inspection et d’entretien à l’issue de l’année 1: vérification éventuelle par le maître d’ouvrage de la bonne exécution des interventions.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Gestion des sinistres couverts par une garantie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À préciser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Document précisant qui est responsable en cas de bris de panneaux ou d’onduleurs et la procédure à suivre pour déclarer le sinistre.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Surveillance</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La capacité de production des panneaux photovoltaïques (kWh par unité de temps) doit être mesurable par le système de </w:t>
            </w:r>
            <w:r>
              <w:rPr>
                <w:rFonts w:ascii="Arial" w:hAnsi="Arial"/>
                <w:b/>
                <w:sz w:val="18"/>
              </w:rPr>
              <w:lastRenderedPageBreak/>
              <w:t>surveillance au niveau de la chaîne de panneaux.</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L’installation d’énergie solaire doit être équipée d’un système de surveillance permettant une lecture à distance 24 heures sur 24/7 jours sur 7 du système au moyen d’une liaison (sans fil).</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En tout état de cause, le système de surveillance doit afficher les éléments suivants: </w:t>
            </w:r>
            <w:r>
              <w:rPr>
                <w:rFonts w:ascii="Arial" w:hAnsi="Arial"/>
                <w:b/>
                <w:sz w:val="18"/>
              </w:rPr>
              <w:br/>
              <w:t>– valeurs de production en temps réel en kWh/onduleur;</w:t>
            </w:r>
            <w:r>
              <w:rPr>
                <w:rFonts w:ascii="Arial" w:hAnsi="Arial"/>
                <w:b/>
                <w:sz w:val="18"/>
              </w:rPr>
              <w:br/>
              <w:t xml:space="preserve">– production totale, en kWh, de tous les onduleurs; </w:t>
            </w:r>
            <w:r>
              <w:rPr>
                <w:rFonts w:ascii="Arial" w:hAnsi="Arial"/>
                <w:b/>
                <w:sz w:val="18"/>
              </w:rPr>
              <w:br/>
              <w:t>– puissance totale en courant alternatif, exprimée en watts, de tous les onduleurs;</w:t>
            </w:r>
            <w:r>
              <w:rPr>
                <w:rFonts w:ascii="Arial" w:hAnsi="Arial"/>
                <w:b/>
                <w:sz w:val="18"/>
              </w:rPr>
              <w:br/>
              <w:t>– tension en courant continu en volts/onduleur;</w:t>
            </w:r>
            <w:r>
              <w:rPr>
                <w:rFonts w:ascii="Arial" w:hAnsi="Arial"/>
                <w:b/>
                <w:sz w:val="18"/>
              </w:rPr>
              <w:br/>
              <w:t>– courant continu en ampères/onduleur;</w:t>
            </w:r>
            <w:r>
              <w:rPr>
                <w:rFonts w:ascii="Arial" w:hAnsi="Arial"/>
                <w:b/>
                <w:sz w:val="18"/>
              </w:rPr>
              <w:br/>
              <w:t>– puissance en courant continu en watts/onduleur;</w:t>
            </w:r>
            <w:r>
              <w:rPr>
                <w:rFonts w:ascii="Arial" w:hAnsi="Arial"/>
                <w:b/>
                <w:sz w:val="18"/>
              </w:rPr>
              <w:br/>
              <w:t>– tension en courant alternatif par phase/onduleur;</w:t>
            </w:r>
            <w:r>
              <w:rPr>
                <w:rFonts w:ascii="Arial" w:hAnsi="Arial"/>
                <w:b/>
                <w:sz w:val="18"/>
              </w:rPr>
              <w:br/>
              <w:t>– courant alternatif par phase/onduleur;</w:t>
            </w:r>
            <w:r>
              <w:rPr>
                <w:rFonts w:ascii="Arial" w:hAnsi="Arial"/>
                <w:b/>
                <w:sz w:val="18"/>
              </w:rPr>
              <w:br/>
              <w:t>– état de fonctionnement/onduleur;</w:t>
            </w:r>
            <w:r>
              <w:rPr>
                <w:rFonts w:ascii="Arial" w:hAnsi="Arial"/>
                <w:b/>
                <w:sz w:val="18"/>
              </w:rPr>
              <w:br/>
              <w:t xml:space="preserve">– défectuosités de l’onduleur; </w:t>
            </w:r>
            <w:r>
              <w:rPr>
                <w:rFonts w:ascii="Arial" w:hAnsi="Arial"/>
                <w:b/>
                <w:sz w:val="18"/>
              </w:rPr>
              <w:br/>
              <w:t xml:space="preserve">– échec de la communication; </w:t>
            </w:r>
            <w:r>
              <w:rPr>
                <w:rFonts w:ascii="Arial" w:hAnsi="Arial"/>
                <w:b/>
                <w:sz w:val="18"/>
              </w:rPr>
              <w:br/>
            </w:r>
            <w:r>
              <w:rPr>
                <w:rFonts w:ascii="Arial" w:hAnsi="Arial"/>
                <w:b/>
                <w:sz w:val="18"/>
              </w:rPr>
              <w:lastRenderedPageBreak/>
              <w:t xml:space="preserve">– valeurs réalisées par rapport aux valeurs attendues.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Le système de surveillance doit avoir une disponibilité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Facultatif</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Un rapport périodique contenant les données du système de suivi pour le mois écoulé doit être envoyé dans les 15 jours suivant la fin du mois.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L’entreprise responsable de l’entretien et de la surveillance doit avoir une expérience du domaine et avoir préalablement géré un nombre minimum d’installations photovoltaïques:</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MWc</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L’entreprise responsable de l’entretien et de la surveillance doit pouvoir </w:t>
            </w:r>
            <w:r>
              <w:rPr>
                <w:rFonts w:ascii="Arial" w:hAnsi="Arial"/>
                <w:b/>
                <w:sz w:val="18"/>
              </w:rPr>
              <w:lastRenderedPageBreak/>
              <w:t>faire état de bons résultats par le passé</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moyenne &gt; 95 GPR et disponibilité &gt; 98 % au cours des 2 dernières années</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À déterminer en consultation avec le conseiller technique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3C0896" w:rsidRDefault="003070E7" w:rsidP="003339C0">
      <w:pPr>
        <w:rPr>
          <w:b/>
          <w:bCs/>
          <w:color w:val="92D050"/>
          <w:lang w:val="fr-BE"/>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3C0896" w:rsidRDefault="003070E7" w:rsidP="003339C0">
      <w:pPr>
        <w:rPr>
          <w:b/>
          <w:bCs/>
          <w:color w:val="92D050"/>
          <w:lang w:val="fr-BE"/>
        </w:rPr>
      </w:pPr>
    </w:p>
    <w:p w14:paraId="1D71BBAC" w14:textId="10712AB3" w:rsidR="003070E7" w:rsidRPr="003C0896" w:rsidRDefault="003070E7" w:rsidP="003339C0">
      <w:pPr>
        <w:rPr>
          <w:b/>
          <w:bCs/>
          <w:color w:val="92D050"/>
          <w:lang w:val="fr-BE"/>
        </w:rPr>
      </w:pPr>
    </w:p>
    <w:p w14:paraId="4C3F6BB7" w14:textId="5F688E32" w:rsidR="003070E7" w:rsidRPr="003C0896" w:rsidRDefault="003070E7" w:rsidP="003339C0">
      <w:pPr>
        <w:rPr>
          <w:b/>
          <w:bCs/>
          <w:color w:val="92D050"/>
          <w:lang w:val="fr-BE"/>
        </w:rPr>
      </w:pPr>
    </w:p>
    <w:p w14:paraId="61DAB9FF" w14:textId="6AB8FB56" w:rsidR="00343E75" w:rsidRPr="003C0896" w:rsidRDefault="00343E75" w:rsidP="003339C0">
      <w:pPr>
        <w:rPr>
          <w:b/>
          <w:bCs/>
          <w:color w:val="92D050"/>
          <w:lang w:val="fr-BE"/>
        </w:rPr>
      </w:pPr>
    </w:p>
    <w:p w14:paraId="67F1A444" w14:textId="7D15F93D" w:rsidR="00343E75" w:rsidRPr="003C0896" w:rsidRDefault="00343E75" w:rsidP="003339C0">
      <w:pPr>
        <w:rPr>
          <w:b/>
          <w:bCs/>
          <w:color w:val="92D050"/>
          <w:lang w:val="fr-BE"/>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3C0896" w:rsidRDefault="00343E75" w:rsidP="003339C0">
      <w:pPr>
        <w:rPr>
          <w:b/>
          <w:bCs/>
          <w:color w:val="92D050"/>
          <w:lang w:val="fr-BE"/>
        </w:rPr>
      </w:pPr>
    </w:p>
    <w:p w14:paraId="450BA66A" w14:textId="31599682" w:rsidR="00343E75" w:rsidRPr="003C0896" w:rsidRDefault="00343E75" w:rsidP="003339C0">
      <w:pPr>
        <w:rPr>
          <w:b/>
          <w:bCs/>
          <w:color w:val="92D050"/>
          <w:lang w:val="fr-BE"/>
        </w:rPr>
      </w:pPr>
    </w:p>
    <w:p w14:paraId="638A39F7" w14:textId="45E7D93E" w:rsidR="00343E75" w:rsidRPr="003C0896" w:rsidRDefault="00343E75" w:rsidP="003339C0">
      <w:pPr>
        <w:rPr>
          <w:b/>
          <w:bCs/>
          <w:color w:val="92D050"/>
          <w:lang w:val="fr-BE"/>
        </w:rPr>
      </w:pPr>
    </w:p>
    <w:p w14:paraId="2180D07C" w14:textId="77777777" w:rsidR="00343E75" w:rsidRPr="003C0896" w:rsidRDefault="00343E75" w:rsidP="003339C0">
      <w:pPr>
        <w:rPr>
          <w:b/>
          <w:bCs/>
          <w:color w:val="92D050"/>
          <w:lang w:val="fr-BE"/>
        </w:rPr>
      </w:pPr>
    </w:p>
    <w:p w14:paraId="33514DCD" w14:textId="75FFDC4B" w:rsidR="00343E75" w:rsidRPr="003C0896" w:rsidRDefault="00343E75" w:rsidP="003339C0">
      <w:pPr>
        <w:rPr>
          <w:b/>
          <w:bCs/>
          <w:color w:val="92D050"/>
          <w:lang w:val="fr-BE"/>
        </w:rPr>
      </w:pPr>
    </w:p>
    <w:p w14:paraId="30E6402C" w14:textId="77777777" w:rsidR="00343E75" w:rsidRPr="003C0896" w:rsidRDefault="00343E75" w:rsidP="003339C0">
      <w:pPr>
        <w:rPr>
          <w:b/>
          <w:bCs/>
          <w:color w:val="92D050"/>
          <w:lang w:val="fr-BE"/>
        </w:rPr>
      </w:pPr>
    </w:p>
    <w:p w14:paraId="755E4515" w14:textId="3B74B7A9" w:rsidR="00343E75" w:rsidRPr="003C0896" w:rsidRDefault="00343E75" w:rsidP="003339C0">
      <w:pPr>
        <w:rPr>
          <w:b/>
          <w:bCs/>
          <w:color w:val="92D050"/>
          <w:lang w:val="fr-BE"/>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3C0896" w:rsidRDefault="00343E75" w:rsidP="003339C0">
      <w:pPr>
        <w:rPr>
          <w:b/>
          <w:bCs/>
          <w:color w:val="92D050"/>
          <w:lang w:val="fr-BE"/>
        </w:rPr>
      </w:pPr>
    </w:p>
    <w:p w14:paraId="7CEB30B2" w14:textId="569667EF" w:rsidR="00343E75" w:rsidRPr="003C0896" w:rsidRDefault="00343E75" w:rsidP="003339C0">
      <w:pPr>
        <w:rPr>
          <w:b/>
          <w:bCs/>
          <w:color w:val="92D050"/>
          <w:lang w:val="fr-BE"/>
        </w:rPr>
      </w:pPr>
    </w:p>
    <w:p w14:paraId="60444455" w14:textId="0ADE5594" w:rsidR="00343E75" w:rsidRPr="003C0896" w:rsidRDefault="00343E75" w:rsidP="003339C0">
      <w:pPr>
        <w:rPr>
          <w:b/>
          <w:bCs/>
          <w:color w:val="92D050"/>
          <w:lang w:val="fr-BE"/>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5B25186B" w14:textId="77777777" w:rsidR="002103A0" w:rsidRDefault="002103A0" w:rsidP="00414012">
      <w:pPr>
        <w:pStyle w:val="MH2"/>
      </w:pPr>
      <w:r>
        <w:br w:type="page"/>
      </w:r>
    </w:p>
    <w:p w14:paraId="7F9B8A19" w14:textId="521DC540" w:rsidR="003339C0" w:rsidRDefault="003339C0" w:rsidP="00414012">
      <w:pPr>
        <w:pStyle w:val="MH2"/>
      </w:pPr>
      <w:bookmarkStart w:id="165" w:name="_Toc177479639"/>
      <w:r>
        <w:lastRenderedPageBreak/>
        <w:t>10.8 – Exigences – Entretien et surveillance</w:t>
      </w:r>
      <w:bookmarkEnd w:id="165"/>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414012">
            <w:pPr>
              <w:pStyle w:val="MH3"/>
            </w:pPr>
            <w:bookmarkStart w:id="166" w:name="_Toc177479640"/>
            <w:r>
              <w:t>Exigences – Écologie et biodiversité</w:t>
            </w:r>
            <w:bookmarkEnd w:id="166"/>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Instructions</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Modèle de cahier des charges et de critères d’attribution pour la fourniture et l’installation de panneaux photovoltaïques</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Modifier les champs jaunes avec du texte en bleu</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Exigences facultatives dans les champs roses: supprimer le point d’interrogation dans la colonne C si cette exigence n’est pas incluse. Sinon, indiquer «oui» ou «1». Le numéro de l’exigence sera alors supprimé et la numérotation des exigences suivantes s’adaptera automatiquement.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Éditeur: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Saisissez toutes les exigences supplémentaires dans les champs vides. Si des lignes supplémentaires sont insérées, veuillez adapter les formules de numérotation automatique des colonnes A et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Retour d’information/erreurs/ajouts: envoyez un courriel à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Lorsque vous êtes prêt, masquez les colonnes D et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IDENTIFIANT</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Description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Inclure une exigence?</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Explication</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Vérification et validation</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Conséquences d’une performance insuffisante</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SYSTÈMES INSTALLÉS EN PLEIN CHAMP/TERRESTRES</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Ensoleillement suffisant au sol; taux de couverture. </w:t>
            </w:r>
            <w:r>
              <w:rPr>
                <w:rFonts w:ascii="Arial" w:hAnsi="Arial"/>
                <w:color w:val="000000"/>
                <w:sz w:val="18"/>
              </w:rPr>
              <w:t>Afin de garantir la présence suffisante d’organismes vivants du sol, il convient que le taux de couverture ne dépasse pas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Le taux de couverture est la zone effectivement couverte par les rangées de panneaux solaires installées dans le champ, y compris l’ombre qu’elles projettent.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Irrigation suffisante du sous-sol; orientation «Paysage » des panneaux et distance entre les panneaux &gt; 2 cm.</w:t>
            </w:r>
            <w:r>
              <w:rPr>
                <w:rFonts w:ascii="Arial" w:hAnsi="Arial"/>
                <w:color w:val="000000"/>
                <w:sz w:val="18"/>
              </w:rPr>
              <w:t xml:space="preserve"> Un espace d’au moins 2 cm doit être laissé entre les panneaux, que ce soit dans la largeur ou dans la longueur, pour permettre l’écoulement des eaux de pluie jusqu’au sol.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L’installation photovoltaïque doit être conforme à l’essai au sol mis au point par le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Il est conseillé d’inclure cet essai pour les installations photovoltaïques d’une puissance supérieure à 2 MWc.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lastRenderedPageBreak/>
              <w:t>SYSTÈMES PHOTOVOLTAÏQUES FLOTTANTS</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N. B.: pour les installations flottantes, plusieurs exigences spécifiques au projet et au site doivent d’abord être déterminées conjointement avec le service des eaux.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Des matériaux lixiviables ne doivent en aucun cas être utilisés.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La directive-cadre sur l’eau dispose que les eaux doivent être en bon état, à la fois en bon état chimique et en bon état écologique. La lixiviation de certaines substances peut affecter le bon état écologique de la masse d’eau considérée.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Taux de couverture ne dépassant pas:</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N. B.: le service des eaux détermine généralement le taux maximal de couverture en collaboration avec un ingénieur écologue.</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3C0896" w:rsidRDefault="00A92923" w:rsidP="00DB3C55">
      <w:pPr>
        <w:ind w:left="-900"/>
        <w:rPr>
          <w:b/>
          <w:bCs/>
          <w:color w:val="92D050"/>
          <w:lang w:val="fr-BE"/>
        </w:rPr>
      </w:pPr>
    </w:p>
    <w:p w14:paraId="4914BD13" w14:textId="77777777" w:rsidR="00A92923" w:rsidRPr="003C0896" w:rsidRDefault="00A92923" w:rsidP="00DB3C55">
      <w:pPr>
        <w:ind w:left="-900"/>
        <w:rPr>
          <w:b/>
          <w:bCs/>
          <w:color w:val="92D050"/>
          <w:lang w:val="fr-BE"/>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3C0896" w:rsidRDefault="00A92923" w:rsidP="00DB3C55">
      <w:pPr>
        <w:ind w:left="-900"/>
        <w:rPr>
          <w:b/>
          <w:bCs/>
          <w:color w:val="92D050"/>
          <w:lang w:val="fr-BE"/>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3C0896" w:rsidRDefault="00A92923" w:rsidP="00DB3C55">
      <w:pPr>
        <w:ind w:left="-900"/>
        <w:rPr>
          <w:b/>
          <w:bCs/>
          <w:color w:val="92D050"/>
          <w:lang w:val="fr-BE"/>
        </w:rPr>
      </w:pPr>
    </w:p>
    <w:p w14:paraId="68EDDFCF" w14:textId="5C96501B" w:rsidR="00A92923" w:rsidRPr="003C0896" w:rsidRDefault="00A92923" w:rsidP="00DB3C55">
      <w:pPr>
        <w:ind w:left="-900"/>
        <w:rPr>
          <w:b/>
          <w:bCs/>
          <w:color w:val="92D050"/>
          <w:lang w:val="fr-BE"/>
        </w:rPr>
      </w:pPr>
    </w:p>
    <w:p w14:paraId="6098F31E" w14:textId="3C7AE79D" w:rsidR="00A92923" w:rsidRPr="003C0896" w:rsidRDefault="00A92923" w:rsidP="00DB3C55">
      <w:pPr>
        <w:ind w:left="-900"/>
        <w:rPr>
          <w:b/>
          <w:bCs/>
          <w:color w:val="92D050"/>
          <w:lang w:val="fr-BE"/>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3C0896" w:rsidRDefault="00A92923" w:rsidP="00DB3C55">
      <w:pPr>
        <w:ind w:left="-900"/>
        <w:rPr>
          <w:b/>
          <w:bCs/>
          <w:color w:val="92D050"/>
          <w:lang w:val="fr-BE"/>
        </w:rPr>
      </w:pPr>
    </w:p>
    <w:p w14:paraId="4A921ED9" w14:textId="3C383FFE" w:rsidR="00A92923" w:rsidRPr="003C0896" w:rsidRDefault="00A92923" w:rsidP="00DB3C55">
      <w:pPr>
        <w:ind w:left="-900"/>
        <w:rPr>
          <w:b/>
          <w:bCs/>
          <w:color w:val="92D050"/>
          <w:lang w:val="fr-BE"/>
        </w:rPr>
      </w:pPr>
    </w:p>
    <w:p w14:paraId="03B20077" w14:textId="77777777" w:rsidR="00A92923" w:rsidRPr="003C0896" w:rsidRDefault="00A92923" w:rsidP="00DB3C55">
      <w:pPr>
        <w:ind w:left="-900"/>
        <w:rPr>
          <w:b/>
          <w:bCs/>
          <w:color w:val="92D050"/>
          <w:lang w:val="fr-BE"/>
        </w:rPr>
      </w:pPr>
    </w:p>
    <w:p w14:paraId="4D59C320" w14:textId="42D95209" w:rsidR="00A92923" w:rsidRPr="003C0896" w:rsidRDefault="00A92923" w:rsidP="00DB3C55">
      <w:pPr>
        <w:ind w:left="-900"/>
        <w:rPr>
          <w:b/>
          <w:bCs/>
          <w:color w:val="92D050"/>
          <w:lang w:val="fr-BE"/>
        </w:rPr>
      </w:pPr>
    </w:p>
    <w:p w14:paraId="0CB8CFEE" w14:textId="77F1B3CF" w:rsidR="00A92923" w:rsidRPr="003C0896" w:rsidRDefault="00A92923" w:rsidP="00DB3C55">
      <w:pPr>
        <w:ind w:left="-900"/>
        <w:rPr>
          <w:b/>
          <w:bCs/>
          <w:color w:val="92D050"/>
          <w:lang w:val="fr-BE"/>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3C0896" w:rsidRDefault="00A92923" w:rsidP="00DB3C55">
      <w:pPr>
        <w:ind w:left="-900"/>
        <w:rPr>
          <w:b/>
          <w:bCs/>
          <w:color w:val="92D050"/>
          <w:lang w:val="fr-BE"/>
        </w:rPr>
      </w:pPr>
    </w:p>
    <w:p w14:paraId="3A56A566" w14:textId="77777777" w:rsidR="00A92923" w:rsidRPr="003C0896" w:rsidRDefault="00A92923" w:rsidP="00DB3C55">
      <w:pPr>
        <w:ind w:left="-900"/>
        <w:rPr>
          <w:b/>
          <w:bCs/>
          <w:color w:val="92D050"/>
          <w:lang w:val="fr-BE"/>
        </w:rPr>
      </w:pPr>
    </w:p>
    <w:p w14:paraId="030121B8" w14:textId="18101FDD" w:rsidR="00A92923" w:rsidRPr="003C0896" w:rsidRDefault="00A92923" w:rsidP="00DB3C55">
      <w:pPr>
        <w:ind w:left="-900"/>
        <w:rPr>
          <w:b/>
          <w:bCs/>
          <w:color w:val="92D050"/>
          <w:lang w:val="fr-BE"/>
        </w:rPr>
      </w:pPr>
    </w:p>
    <w:p w14:paraId="44A343D9" w14:textId="4CF70060" w:rsidR="00A92923" w:rsidRPr="003C0896" w:rsidRDefault="00A92923" w:rsidP="00DB3C55">
      <w:pPr>
        <w:ind w:left="-900"/>
        <w:rPr>
          <w:b/>
          <w:bCs/>
          <w:color w:val="92D050"/>
          <w:lang w:val="fr-BE"/>
        </w:rPr>
      </w:pPr>
    </w:p>
    <w:p w14:paraId="22D17B6A" w14:textId="77777777" w:rsidR="00A92923" w:rsidRPr="003C0896" w:rsidRDefault="00A92923" w:rsidP="00DB3C55">
      <w:pPr>
        <w:ind w:left="-900"/>
        <w:rPr>
          <w:b/>
          <w:bCs/>
          <w:color w:val="92D050"/>
          <w:lang w:val="fr-BE"/>
        </w:rPr>
      </w:pPr>
    </w:p>
    <w:p w14:paraId="078AA046" w14:textId="1A48CA1E" w:rsidR="00086957" w:rsidRPr="00FF29AA" w:rsidRDefault="00DB3C55" w:rsidP="00414012">
      <w:pPr>
        <w:pStyle w:val="MH2"/>
      </w:pPr>
      <w:bookmarkStart w:id="167" w:name="_Toc177479641"/>
      <w:r>
        <w:t>10.9 – Exigences – Écologie et biodiversité</w:t>
      </w:r>
      <w:bookmarkEnd w:id="167"/>
    </w:p>
    <w:p w14:paraId="0906D6B2" w14:textId="77777777" w:rsidR="00086957" w:rsidRPr="003C0896" w:rsidRDefault="00086957" w:rsidP="003339C0">
      <w:pPr>
        <w:rPr>
          <w:b/>
          <w:bCs/>
          <w:color w:val="92D050"/>
          <w:sz w:val="10"/>
          <w:szCs w:val="10"/>
          <w:lang w:val="fr-BE"/>
        </w:rPr>
      </w:pPr>
    </w:p>
    <w:p w14:paraId="1500325A" w14:textId="5ABC6634" w:rsidR="001B0E84" w:rsidRPr="00FF29AA" w:rsidRDefault="00DB60F4" w:rsidP="00414012">
      <w:pPr>
        <w:pStyle w:val="MH3"/>
      </w:pPr>
      <w:bookmarkStart w:id="168" w:name="_Toc177479642"/>
      <w:r>
        <w:t>Documents à soumettre pour que l’offre soit valable</w:t>
      </w:r>
      <w:bookmarkEnd w:id="168"/>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3C0896" w:rsidRDefault="00776A72" w:rsidP="001B0E84">
            <w:pPr>
              <w:spacing w:line="240" w:lineRule="auto"/>
              <w:rPr>
                <w:rFonts w:ascii="Calibri" w:hAnsi="Calibri" w:cs="Calibri"/>
                <w:b/>
                <w:bCs/>
                <w:color w:val="3DC3C6"/>
                <w:sz w:val="28"/>
                <w:szCs w:val="28"/>
                <w:lang w:val="fr-BE" w:eastAsia="en-GB"/>
              </w:rPr>
            </w:pPr>
          </w:p>
          <w:p w14:paraId="2A9770E9" w14:textId="77777777" w:rsidR="00776A72" w:rsidRPr="003C0896" w:rsidRDefault="00776A72" w:rsidP="001B0E84">
            <w:pPr>
              <w:spacing w:line="240" w:lineRule="auto"/>
              <w:rPr>
                <w:rFonts w:ascii="Calibri" w:hAnsi="Calibri" w:cs="Calibri"/>
                <w:b/>
                <w:bCs/>
                <w:color w:val="000000"/>
                <w:sz w:val="28"/>
                <w:szCs w:val="28"/>
                <w:lang w:val="fr-BE"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Nº</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Intitulé</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Description</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Fiche de travail sur les critères d’attribution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Fiche de travail complétée contenant les détails de votre proposition</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Rapport(s) de simulation par site,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Intégration de votre projet/proposition au moyen de logiciels de simulation reconnus tels que PVsyst, PV*SOL, etc.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Panneaux solaires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Fiche technique des panneaux solaires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Garantie commerciale des panneaux solaires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Garantie commerciale ou garantie de parfait achèvement</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Attestation du bilan carbone des panneaux solaires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Conformément à l’</w:t>
            </w:r>
            <w:r>
              <w:rPr>
                <w:rFonts w:ascii="Arial" w:hAnsi="Arial"/>
                <w:i/>
                <w:iCs/>
                <w:color w:val="000000"/>
              </w:rPr>
              <w:t>évaluation carbone simplifiée</w:t>
            </w:r>
            <w:r>
              <w:rPr>
                <w:rFonts w:ascii="Arial" w:hAnsi="Arial"/>
                <w:color w:val="000000"/>
              </w:rPr>
              <w:t xml:space="preserve"> selon l’ADEME – applicable aux appels d’offres dits «CRE4» ou «PPE2»</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Si pas de panneaux bi-verre et sans exclusion explicite des PFAS sur la fiche technique: attestation «sans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Document du fabricant du panneau confirmant qu’une feuille de fond sans PFAS a été utilisée.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Onduleur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Fiche technique de l’onduleur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Votre organisation</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3 références concernant des projets photovoltaïques antérieurs</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Rapport de l’inspection SCIOS Scope 12 ou référence de clients; concernant 3 projets d’une puissance crête d’au moins 30 % de la puissance de l’installation, réalisés au cours des 4 dernières années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Document unique de marché européen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Document officiel utilisé pour chaque appel d’offres européen, dans lequel les soumissionnaires indiquent, entre autres, si les motifs d’exclusion s’appliquent à leur société, quelles parties doivent être enregistrées, quelle forme juridique a été choisie s’il s’agit d’une offre multipartite (sous-traitance ou groupement) et quelle(s) personne(s) agira(agiront) en qualité de mandataire du ou des soumissionnaires.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Facultatif: tout certificat supplémentaire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Exemples: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Détail quantitatif estimatif renseigné</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Les soumissionnaires doivent également indiquer un prix pour les produits/services à déclarer, authentifié par une signature. </w:t>
            </w:r>
          </w:p>
        </w:tc>
      </w:tr>
    </w:tbl>
    <w:p w14:paraId="34C9C1B9" w14:textId="324707D6" w:rsidR="00026952" w:rsidRPr="00A11B94" w:rsidRDefault="00DB60F4" w:rsidP="00414012">
      <w:pPr>
        <w:pStyle w:val="MH3"/>
      </w:pPr>
      <w:bookmarkStart w:id="169" w:name="_Toc177479643"/>
      <w:r>
        <w:t>Historique des versions</w:t>
      </w:r>
      <w:bookmarkEnd w:id="169"/>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278"/>
        <w:gridCol w:w="1653"/>
        <w:gridCol w:w="1980"/>
        <w:gridCol w:w="1848"/>
        <w:gridCol w:w="1556"/>
        <w:gridCol w:w="1608"/>
        <w:gridCol w:w="1883"/>
        <w:gridCol w:w="1359"/>
        <w:gridCol w:w="2424"/>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Description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Valeur</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Inclure une exigence?</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Explication pour le client</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Explication pour le soumissionnaire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Vérification et validation</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Conséquences d’une performance insuffisante</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Retrait de la garantie commerciale, objections de diverses parties</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bCs/>
                <w:color w:val="000000"/>
                <w:sz w:val="18"/>
              </w:rPr>
              <w:t>Garantie commerciale/garantie de parfait achèvement</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ans</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39583492"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Recommandation: 30 ans pour la durabilité et faibles coûts totaux moyens actualisés de l’énergie produite. Pour les projets plus courts, éventuellement 25 ans. Pour les projets courts (5 à 10 ans), envisager d’installer des panneaux d’occasion.</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Cette période de garantie est un indicateur de la durée de vie technique prévue. Elle est liée à la garantie commerciale. N. B.: de nombreux panneaux solaires classiques bénéficient d’une garantie commerciale de 10 à 12 ans seulement.</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Garantie commerciale: se reporter au rapport d’achèvement et à l’inspection SCIOS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Remplacement par des panneaux solaires qui satisfont à l’exigence</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0A82C97B" w:rsidR="00030397" w:rsidRPr="003732C9" w:rsidRDefault="00E73E38" w:rsidP="002D00CE">
    <w:pPr>
      <w:pStyle w:val="Header"/>
      <w:tabs>
        <w:tab w:val="clear" w:pos="4513"/>
        <w:tab w:val="center" w:pos="8080"/>
      </w:tabs>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COMMUNAUTÉ DES ACHETEURS PUBLICS</w:t>
    </w:r>
    <w:r>
      <w:rPr>
        <w:rFonts w:ascii="Arial" w:hAnsi="Arial"/>
        <w:color w:val="104D55"/>
      </w:rPr>
      <w:tab/>
    </w:r>
    <w:r>
      <w:rPr>
        <w:rFonts w:ascii="Arial" w:hAnsi="Arial"/>
        <w:color w:val="104D55"/>
      </w:rPr>
      <w:tab/>
    </w:r>
    <w:r>
      <w:rPr>
        <w:rFonts w:ascii="Arial" w:hAnsi="Arial"/>
        <w:b/>
        <w:color w:val="104D54"/>
      </w:rPr>
      <w:t>ÉTAPES PRÉLIMINAIRES D’UN PROJET PHOTOVOLTAÏQUE</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103A0"/>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87F00"/>
    <w:rsid w:val="0029163B"/>
    <w:rsid w:val="0029348A"/>
    <w:rsid w:val="00293FAD"/>
    <w:rsid w:val="00295EA1"/>
    <w:rsid w:val="0029731C"/>
    <w:rsid w:val="002B681B"/>
    <w:rsid w:val="002C36C7"/>
    <w:rsid w:val="002C5DFF"/>
    <w:rsid w:val="002C7DD6"/>
    <w:rsid w:val="002D00CE"/>
    <w:rsid w:val="002E4ADD"/>
    <w:rsid w:val="002E77C8"/>
    <w:rsid w:val="002F5274"/>
    <w:rsid w:val="00301A85"/>
    <w:rsid w:val="003070E7"/>
    <w:rsid w:val="00313287"/>
    <w:rsid w:val="003152D2"/>
    <w:rsid w:val="00321C0F"/>
    <w:rsid w:val="0032494C"/>
    <w:rsid w:val="003339C0"/>
    <w:rsid w:val="00336216"/>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0896"/>
    <w:rsid w:val="003C1054"/>
    <w:rsid w:val="003C3812"/>
    <w:rsid w:val="003D42A2"/>
    <w:rsid w:val="003D6184"/>
    <w:rsid w:val="003E17C3"/>
    <w:rsid w:val="003E4FFB"/>
    <w:rsid w:val="003E7B8F"/>
    <w:rsid w:val="004071CC"/>
    <w:rsid w:val="00411443"/>
    <w:rsid w:val="00414012"/>
    <w:rsid w:val="004150A7"/>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D4149"/>
    <w:rsid w:val="005E0F49"/>
    <w:rsid w:val="005E0F9F"/>
    <w:rsid w:val="005E16E5"/>
    <w:rsid w:val="005E3DD0"/>
    <w:rsid w:val="005E7E4F"/>
    <w:rsid w:val="005F351C"/>
    <w:rsid w:val="005F4DD2"/>
    <w:rsid w:val="006171C0"/>
    <w:rsid w:val="00624300"/>
    <w:rsid w:val="00635E05"/>
    <w:rsid w:val="00643D1E"/>
    <w:rsid w:val="00647B2F"/>
    <w:rsid w:val="006566B6"/>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55C48"/>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63B9"/>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E6EF8"/>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2CB1"/>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E7B33"/>
    <w:rsid w:val="00BF060B"/>
    <w:rsid w:val="00BF07D8"/>
    <w:rsid w:val="00BF0F4B"/>
    <w:rsid w:val="00BF4CB3"/>
    <w:rsid w:val="00BF519F"/>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414012"/>
  </w:style>
  <w:style w:type="character" w:customStyle="1" w:styleId="Style2Char">
    <w:name w:val="Style2 Char"/>
    <w:basedOn w:val="Heading1Char"/>
    <w:link w:val="Style2"/>
    <w:rsid w:val="00414012"/>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14012"/>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14012"/>
    <w:pPr>
      <w:ind w:left="-851"/>
    </w:pPr>
  </w:style>
  <w:style w:type="character" w:customStyle="1" w:styleId="SUB1Char">
    <w:name w:val="SUB1 Char"/>
    <w:basedOn w:val="DefaultParagraphFont"/>
    <w:link w:val="SUB1"/>
    <w:rsid w:val="00414012"/>
    <w:rPr>
      <w:rFonts w:ascii="Arial" w:eastAsia="Times New Roman" w:hAnsi="Arial" w:cs="Arial"/>
      <w:b/>
      <w:color w:val="104D54"/>
      <w:sz w:val="36"/>
      <w:szCs w:val="36"/>
      <w:lang w:eastAsia="nl-NL"/>
    </w:rPr>
  </w:style>
  <w:style w:type="character" w:customStyle="1" w:styleId="MH2Char">
    <w:name w:val="MH2 Char"/>
    <w:basedOn w:val="SUB1Char"/>
    <w:link w:val="MH2"/>
    <w:rsid w:val="00414012"/>
    <w:rPr>
      <w:rFonts w:ascii="Arial" w:eastAsia="Times New Roman" w:hAnsi="Arial" w:cs="Arial"/>
      <w:b/>
      <w:color w:val="104D54"/>
      <w:sz w:val="36"/>
      <w:szCs w:val="36"/>
      <w:lang w:eastAsia="nl-NL"/>
    </w:rPr>
  </w:style>
  <w:style w:type="paragraph" w:customStyle="1" w:styleId="MH3">
    <w:name w:val="MH3"/>
    <w:basedOn w:val="SUB2"/>
    <w:link w:val="MH3Char"/>
    <w:qFormat/>
    <w:rsid w:val="00414012"/>
    <w:pPr>
      <w:ind w:hanging="709"/>
    </w:pPr>
  </w:style>
  <w:style w:type="character" w:customStyle="1" w:styleId="SUB2Char">
    <w:name w:val="SUB2 Char"/>
    <w:basedOn w:val="DefaultParagraphFont"/>
    <w:link w:val="SUB2"/>
    <w:rsid w:val="00414012"/>
    <w:rPr>
      <w:rFonts w:ascii="Arial" w:eastAsia="Times New Roman" w:hAnsi="Arial" w:cs="Arial"/>
      <w:b/>
      <w:color w:val="104D54"/>
      <w:sz w:val="28"/>
      <w:szCs w:val="28"/>
      <w:lang w:eastAsia="nl-NL"/>
    </w:rPr>
  </w:style>
  <w:style w:type="character" w:customStyle="1" w:styleId="MH3Char">
    <w:name w:val="MH3 Char"/>
    <w:basedOn w:val="SUB2Char"/>
    <w:link w:val="MH3"/>
    <w:rsid w:val="00414012"/>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414012"/>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54</Pages>
  <Words>10203</Words>
  <Characters>60302</Characters>
  <Application>Microsoft Office Word</Application>
  <DocSecurity>0</DocSecurity>
  <Lines>3350</Lines>
  <Paragraphs>1052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69453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2024-09-17T12:32:00Z</dcterms:created>
  <dcterms:modified xsi:type="dcterms:W3CDTF">2024-10-22T17:46:00Z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