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904945">
      <w:pPr>
        <w:pStyle w:val="MH1"/>
      </w:pPr>
      <w:bookmarkStart w:id="0" w:name="_Toc176854554"/>
      <w:bookmarkStart w:id="1" w:name="_Toc177478477"/>
      <w:r>
        <w:t>Prilog 10. – Zahtjevi</w:t>
      </w:r>
      <w:bookmarkEnd w:id="0"/>
      <w:bookmarkEnd w:id="1"/>
    </w:p>
    <w:p w14:paraId="245D9095" w14:textId="77777777" w:rsidR="007061E0" w:rsidRDefault="007061E0" w:rsidP="007061E0">
      <w:pPr>
        <w:rPr>
          <w:lang w:val="el-GR"/>
        </w:rPr>
      </w:pPr>
    </w:p>
    <w:p w14:paraId="7F7E8800" w14:textId="7D985EFF" w:rsidR="007061E0" w:rsidRPr="007061E0" w:rsidRDefault="007061E0" w:rsidP="00904945">
      <w:pPr>
        <w:pStyle w:val="MH2"/>
      </w:pPr>
      <w:bookmarkStart w:id="2" w:name="_Toc177478478"/>
      <w:r>
        <w:t>10.1 – Opći zahtjevi</w:t>
      </w:r>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904945">
            <w:pPr>
              <w:pStyle w:val="MH3"/>
            </w:pPr>
            <w:bookmarkStart w:id="3" w:name="_Toc177478479"/>
            <w:r>
              <w:t>Zahtjevi – Općenito</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Upute za naručitelje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Predložak zahtjeva i kriterija za dodjelu za fotonaponske projekte</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Izmijenite žuta polja s plavim tekstom</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Verzija: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Povratne informacije/pogreške/dodaci: Poslati e-poruku na e-adresu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Neobvezni zahtjevi u ružičastim poljima: brisati upitnik u stupcu C </w:t>
            </w:r>
            <w:r>
              <w:rPr>
                <w:rFonts w:ascii="Arial" w:hAnsi="Arial"/>
                <w:color w:val="808080"/>
                <w:sz w:val="16"/>
              </w:rPr>
              <w:br/>
              <w:t xml:space="preserve">ako taj zahtjev nije uključen. U protivnom upišite „da” ili „1”. </w:t>
            </w:r>
            <w:r>
              <w:rPr>
                <w:rFonts w:ascii="Arial" w:hAnsi="Arial"/>
                <w:color w:val="808080"/>
                <w:sz w:val="16"/>
              </w:rPr>
              <w:br/>
              <w:t xml:space="preserve">Broj zahtjeva će se tada izbrisati, a </w:t>
            </w:r>
            <w:r>
              <w:rPr>
                <w:rFonts w:ascii="Arial" w:hAnsi="Arial"/>
                <w:color w:val="808080"/>
                <w:sz w:val="16"/>
              </w:rPr>
              <w:br/>
              <w:t>numeriranje sljedećih zahtjeva automatski će se prilagoditi.</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U prazna polja upišite sve dodatne zahtjeve. Ako su umetnuti dodatni redci, </w:t>
            </w:r>
            <w:r>
              <w:rPr>
                <w:rFonts w:ascii="Arial" w:hAnsi="Arial"/>
                <w:color w:val="808080"/>
                <w:sz w:val="16"/>
              </w:rPr>
              <w:br/>
              <w:t>prilagodite formule za automatsko numeriranje u stupcima A i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Kad budete spremni, sakrijte stupce D i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Identifikacijska oznaka</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Opis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Vrijednost</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Uključiti zahtjev?</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Objašnjenje </w:t>
            </w:r>
            <w:r>
              <w:rPr>
                <w:rFonts w:ascii="Arial" w:hAnsi="Arial"/>
                <w:b/>
                <w:color w:val="FFFFFF"/>
                <w:sz w:val="21"/>
              </w:rPr>
              <w:br/>
              <w:t>za naručitelje</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Objašnjenje za ponuditelje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Verifikacija/</w:t>
            </w:r>
            <w:r>
              <w:rPr>
                <w:rFonts w:ascii="Arial" w:hAnsi="Arial"/>
                <w:b/>
                <w:color w:val="FFFFFF"/>
                <w:sz w:val="21"/>
              </w:rPr>
              <w:br/>
              <w:t>validacija</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Posljedice loših rezultata</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Mjesto i trajanje projekta</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Opis lokacije projekta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Vidjeti Prilog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Izradite prilog u kojem se za svako područje navodi: adresa, oznaka krova/zemljišta, fotografije lokacije, procijenjena istosmjerna snaga, priključak na mrežu, opterećenje krova itd.</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Glavni ciljevi: instalacija za solarnu energiju</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Istosmjerna snaga predloženih solarnih ploča mora biti veća od: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Vidjeti studiju izvedivosti.</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Ukupna kombinirana vršna snaga svih solarnih ploča koje će se ugraditi, na temelju snage u standardnim uvjetima ispitivanja na tehničkom listu solarnih ploča za prednju stranu (jednostrana).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1. tehnički list solarnih ploča; 2. izvješće o simulaciji fotonaponske instalacije izrađeno s odobrenim softverom (npr. PVsyst, PV*SOL itd.)</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Ponuda nije valjana</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Električna energija koju proizvedu fotonaponske instalacije u kWh u prvoj godini mora biti veća od:</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Vidjeti studiju izvedivosti u kojoj se upotrebljava „vrijednost P50” (prosječni prinos tijekom duljeg razdoblja) za simulacijsko razdoblje 2010. – 2020. prema bazi podataka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Odnosi se na vrijednost P50 za simulacijsko razdoblje 2010. – 2020., prema bazi podataka .... Izvješće o simulaciji za predloženu fotonaponsku instalaciju, u prvoj godini, na temelju nominalnog ozračivanja = prosječno dugoročno očekivanje, „P50” s priznatim softverom (PVsyst, PV*SOL ili sličan paket).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Izvješće o simulaciji za predloženu fotonaponsku instalaciju</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Ponuda nije valjana</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Napajanje fotonaponske instalacije izmjeničnom strujom trebalo bi biti manje od:</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Neobvezni zahtjev ako se, na primjer, mora uzeti u obzir veličina postojećeg priključka na mrežu. Napomena: Za projekte SDE++ na mrežu se može priključiti najviše 50 % ukupne snage istosmjerne struje ploče.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Može se postići ograničavanjem invertera na određenu snagu.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i/>
                <w:iCs/>
                <w:sz w:val="18"/>
              </w:rPr>
              <w:t>Ex post</w:t>
            </w:r>
            <w:r>
              <w:rPr>
                <w:rFonts w:ascii="Arial" w:hAnsi="Arial"/>
                <w:sz w:val="18"/>
              </w:rPr>
              <w:t xml:space="preserve"> inspekcija u okviru inspekcije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Ponuda nije valjana</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Održavanje i praćenje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Tijekom prve dvije do četiri godine</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Neobvezni zahtjev (često se primjenjuje, preporučuje) da poduzeće za ugradnju provodi održavanje i praćenje prve dvije do četiri godine</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Ponuda nije valjana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Sigurnost</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Električna instalacija mora biti projektirana i izrađena u skladu s normom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i/>
                <w:iCs/>
                <w:sz w:val="18"/>
              </w:rPr>
              <w:t>Ex post</w:t>
            </w:r>
            <w:r>
              <w:rPr>
                <w:rFonts w:ascii="Arial" w:hAnsi="Arial"/>
                <w:sz w:val="18"/>
              </w:rPr>
              <w:t xml:space="preserve"> inspekcija u okviru inspekcije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Izvođač mora osigurati da instalacija bude u skladu s normom NEN 1010 u razumnom roku, u protivnom će to učiniti naručitelj na trošak izvođača.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Potvrda izvođača o SCC certifikatu</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Tvrtke moraju imati SCC certifikat (Sigurnosni certifikat za izvođače) ako obavljaju sljedeće aktivnosti: ugradnja sustava za pričvršćivanje, ugradnja solarnih ploča, elektrotehnički radovi.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Tijekom faze izgradnje, SCC certifikat voditelja gradilišta mora biti prikazan na zahtjev naručitelja.</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Zaustavite rad i angažirajte upravitelja gradilišta koji ima SCC certifikat, sve dodatne troškove snosi izvođač.</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Sigurnost – siguran rad na visini (&gt; 250 cm). </w:t>
            </w:r>
            <w:r>
              <w:rPr>
                <w:rFonts w:ascii="Arial" w:hAnsi="Arial"/>
                <w:color w:val="000000"/>
                <w:sz w:val="18"/>
              </w:rPr>
              <w:t>Kako bi se radnici mogli sigurno kretati, ploče se ne smiju postavljati u širini od 2 metra duž ruba krova, a pri radu na visini mora se na odgovarajući način zajamčiti sigurnost.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Certifikat SOS (Sigurnost za operativne nadzornike) SCC. Prema Zakonu o radnim uvjetima, pravilu politike 3.16, zaposlenici i poslodavci </w:t>
            </w:r>
            <w:r>
              <w:rPr>
                <w:rFonts w:ascii="Arial" w:hAnsi="Arial"/>
                <w:color w:val="000000"/>
                <w:sz w:val="18"/>
              </w:rPr>
              <w:lastRenderedPageBreak/>
              <w:t xml:space="preserve">zajednički su odgovorni za siguran rad na visini.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Nacrt fotonaponske instalacije (tlocrtni crteži).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Sigurnost – moraju se poštovati važeći akti i direktive o zdravlju i sigurnosti na radu.</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One uključuju:</w:t>
            </w:r>
            <w:r>
              <w:rPr>
                <w:rFonts w:ascii="Arial" w:hAnsi="Arial"/>
                <w:color w:val="000000"/>
                <w:sz w:val="18"/>
              </w:rPr>
              <w:t xml:space="preserve"> 1. Zakon o radnim uvjetima, Uredbu o radnim uvjetima, Pravilnik o radnim uvjetima; 2. Europske direktive o: zdravlju i sigurnosti (89/391/EEZ), radu na privremenim ili pokretnim gradilištima (92/57/EEZ), teškim teretima (90/269/EEZ), osobnoj zaštitnoj opremi (89/656), radnoj opremi (Direktiva 2009/104/EZ), zaštiti od vibracija (2002/44/EZ) i strojevima (Direktiva 2006/42/EZ),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Električna sigurnost – siguran rad s električnim instalacijama: u skladu s normom NEN 3140</w:t>
            </w:r>
            <w:r>
              <w:rPr>
                <w:rFonts w:ascii="Arial" w:hAnsi="Arial"/>
                <w:color w:val="000000"/>
                <w:sz w:val="18"/>
              </w:rPr>
              <w:t xml:space="preserve"> (&lt; 1,5 kV istosmjerne struje i &lt; 1 kV izmjenične struje) </w:t>
            </w:r>
            <w:r>
              <w:rPr>
                <w:rFonts w:ascii="Arial" w:hAnsi="Arial"/>
                <w:b/>
                <w:color w:val="000000"/>
                <w:sz w:val="18"/>
              </w:rPr>
              <w:t>ili NEN 3840</w:t>
            </w:r>
            <w:r>
              <w:rPr>
                <w:rFonts w:ascii="Arial" w:hAnsi="Arial"/>
                <w:color w:val="000000"/>
                <w:sz w:val="18"/>
              </w:rPr>
              <w:t xml:space="preserve"> (&gt; 1,5 kV ili &gt; 1 kV izmjenične struje)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„relevantni zahtjevi za rad instalacija niskog napona”. </w:t>
            </w:r>
            <w:r>
              <w:rPr>
                <w:rFonts w:ascii="Arial" w:hAnsi="Arial"/>
                <w:color w:val="000000"/>
                <w:sz w:val="18"/>
              </w:rPr>
              <w:t>NEN 3840:</w:t>
            </w:r>
            <w:r>
              <w:rPr>
                <w:rFonts w:ascii="Arial" w:hAnsi="Arial"/>
                <w:i/>
                <w:color w:val="000000"/>
                <w:sz w:val="18"/>
              </w:rPr>
              <w:t xml:space="preserve"> „relevantni zahtjevi za rad instalacija visokog napona”.</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Sigurnost elektronskih uređaja. </w:t>
            </w:r>
            <w:r>
              <w:rPr>
                <w:rFonts w:ascii="Arial" w:hAnsi="Arial"/>
                <w:color w:val="000000"/>
                <w:sz w:val="18"/>
              </w:rPr>
              <w:t xml:space="preserve">Oni koji rade s električnim priključcima moraju biti certificirani električari.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Voditelji gradilišta moraju biti stručno osposobljeni i imati potrebne certifikate. Izvođači moraju imati voditelja radova ugradnje koji ima potrebne certifikate o kojem mora obavijestiti </w:t>
            </w:r>
            <w:r>
              <w:rPr>
                <w:rFonts w:ascii="Arial" w:hAnsi="Arial"/>
                <w:sz w:val="18"/>
              </w:rPr>
              <w:lastRenderedPageBreak/>
              <w:t xml:space="preserve">naručitelja te mu dostaviti podatke za kontakt. Naručitelj mora izvođaču dostaviti podatke o postupku priključenja i isključenja te drugim radnim postupcima.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Iskustvo i znanje izvođača</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Iskustvo s fotonaponskim projektima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Tri usporediva projekta provedena su na zadovoljavajući način</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Tri projekta u posljednje četiri godine s veličinom projekta od najmanje 30 % broja ploča u predmetnom projektu.</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Navesti takvo iskustvo i reference koje dokazuju zadovoljstvo klijenata ili izvješćem o provedenoj inspekciji Scope 12 koje je izradila neovisna strana.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Osiguranje izvođača</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CAR (osiguranje od svih građevinskih rizika)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milijuna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Osiguranje CAR pokriva rizike za vrijeme rada izvođača. Osigurani iznos iznosi najmanje 1 milijun EUR i najmanje koliko procijenjena vrijednost ugovora. Ponekad su osigurani iznosi uključeni u opće uvjete kupnje; u tom se slučaju taj iznos može primijeniti i ovdje. Napomena: po izboru, naručitelj može ugovoriti i vlastito CAR osiguranje. Pogledajte i opće uvjete kupnje.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Predočiti policu osiguranja CAR prije početka izgradnje na zahtjev naručitelja.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Odmah obustaviti radove dok se ne ugovori osiguranje.</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Osiguranje od poslovne odgovornosti (</w:t>
            </w:r>
            <w:r>
              <w:rPr>
                <w:rFonts w:ascii="Arial" w:hAnsi="Arial"/>
                <w:b/>
                <w:i/>
                <w:sz w:val="18"/>
              </w:rPr>
              <w:t>Aansprakelijkheidsverzekering voor Bedrijven</w:t>
            </w:r>
            <w:r>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milijuna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Obuhvaća štetu koju su prouzročili zaposlenici ili proizvodi izvođača. To može uključivati manju, ali i veću štetu (uključujući ozljede).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Predočiti policu osiguranja AVB prije početka izgradnje na zahtjev naručitelja.</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Odmah obustaviti radove dok se ne ugovori osiguranje.</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Kvaliteta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Sustav mora biti projektiran i proveden u skladu s najnovijom verzijom ISSO-ova priručnika za solarnu energiju (Handboek Zonne-energie, Hbze, npr.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Taj se zahtjev može prema potrebi uključiti za projekte manje od 1 MWp. Nije potrebno za posebne ili velike projekte koje provode veliki/međunarodni izvođači EPC-a.</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Naknada za odlaganje i kraj životnog vijeka</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Naknada za odlaganje solarnih ploča na kraju njihova životnog vijeka mora se platiti (putem dobavljača) zakladi OPEN (Stichting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Od 1. srpnja 2023. ta se naknada navodi na računima trgovaca na veliko i drugih uvoznika.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Kad je riječ o solarnim pločama koje je uvezao izvođač, koji stoga postaje zakonski „proizvođač”, naručitelj se prijavljuje zakladi OPEN. Nakon toga preuzimaju se administrativne obveze, odnosno izjava proizvođača i plaćanje naknade za gospodarenje otpadom. Kad kupuje solarne ploče od stranke iz Nizozemske, kao što je trgovac na veliko, izvođač mora utvrditi je li ta stranka član zaklade OPEN. Pregled svih registriranih proizvoda dostupan je na internetskim stranicama zaklade OPEN.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i/>
                <w:iCs/>
                <w:sz w:val="18"/>
              </w:rPr>
              <w:t>Ex post</w:t>
            </w:r>
            <w:r>
              <w:rPr>
                <w:rFonts w:ascii="Arial" w:hAnsi="Arial"/>
                <w:sz w:val="18"/>
              </w:rPr>
              <w:t>, nije obvezno: provjeriti račun za isporučene solarne ploče.</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Radni uvjeti, usklađenost s pravilima</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Moraju se poštovati </w:t>
            </w:r>
            <w:r>
              <w:rPr>
                <w:rFonts w:ascii="Arial" w:hAnsi="Arial"/>
                <w:b/>
                <w:color w:val="000000"/>
                <w:sz w:val="18"/>
              </w:rPr>
              <w:t>upute za ugradnju</w:t>
            </w:r>
            <w:r>
              <w:rPr>
                <w:rFonts w:ascii="Arial" w:hAnsi="Arial"/>
                <w:color w:val="000000"/>
                <w:sz w:val="18"/>
              </w:rPr>
              <w:t xml:space="preserve"> koje daju dobavljači/proizvođači solarnih ploča, invertera i spojnih elemenata.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Inspekcija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Radni uvjeti u Nizozemskoj </w:t>
            </w:r>
            <w:r>
              <w:rPr>
                <w:rFonts w:ascii="Arial" w:hAnsi="Arial"/>
                <w:color w:val="000000"/>
                <w:sz w:val="18"/>
              </w:rPr>
              <w:t xml:space="preserve">Mora se poštovati nizozemsko radno pravo, koje se primjenjuje i na radnike migrante.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Ako se angažiraju radnici migranti, naručitelj mora osigurati odgovarajući smještaj i naknadu, a radno vrijeme utvrđeno zakonom ne smije se prekoračiti. </w:t>
            </w:r>
            <w:r>
              <w:rPr>
                <w:rFonts w:ascii="Arial" w:hAnsi="Arial"/>
                <w:color w:val="000000"/>
                <w:sz w:val="16"/>
              </w:rPr>
              <w:t>Smještaj: ako se upotrebljavaju radnici migranti, ne smije postojati izravna ili neizravna financijska ovisnost između tih radnika i naručitelja u odnosu na smještaj. Čak i ako su radnici zaposleni preko agencije za privremeno zapošljavanje, ne smije postojati financijska ovisnost između agencije za privremeno zapošljavanje i smještaja radnika.</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Različiti neobvezni opći zahtjevi</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Jamstvo matičnog poduzeća. Ako izvođač ima većinskog dioničara, on mu mora biti financijski jamac.</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Nije obvezno Ponekad su već obuhvaćeni standardnim uvjetima kupnje. Alternativa jamstvu matičnog društva je rad pod uvjetima plaćanja niskog rizika.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Datoteka PAN treće strane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Nije obvezno za velike projekte veće od 20 MW. Digitalna verzija podataka koja se upotrebljava u programima kao što su PVsyst i PV*SOL za predviđanje rezultata solarnog parka. U neovisnim datotekama PAN provjerava se omjer radne učinkovitosti i prinos projekta.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Kultura sigurnosti. ISO45001 ili najmanje treći korak ljestvice kulture sigurnosti.</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Nije obvezno za velike projekte snage veće od 20 MWp u kojima sudjeluju velike provedbene organizacije.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5ADEC65F" w:rsidR="00C3372C" w:rsidRDefault="00C3372C">
      <w:pPr>
        <w:spacing w:line="240" w:lineRule="auto"/>
      </w:pPr>
      <w:r>
        <w:br w:type="page"/>
      </w: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904945">
      <w:pPr>
        <w:pStyle w:val="MH2"/>
      </w:pPr>
      <w:bookmarkStart w:id="5" w:name="_Toc177478480"/>
      <w:r>
        <w:t>10.2 – Opći zahtjevi</w:t>
      </w:r>
      <w:bookmarkEnd w:id="5"/>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904945">
            <w:pPr>
              <w:pStyle w:val="MH3"/>
            </w:pPr>
            <w:bookmarkStart w:id="6" w:name="_Toc177478481"/>
            <w:r>
              <w:t>Zahtjevi – Rad</w:t>
            </w:r>
            <w:bookmarkEnd w:id="6"/>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Upute za naručitelje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Predložak zahtjeva i kriterija za dodjelu </w:t>
            </w:r>
            <w:r>
              <w:rPr>
                <w:rFonts w:ascii="Arial" w:hAnsi="Arial"/>
                <w:i/>
                <w:color w:val="104D54"/>
                <w:sz w:val="21"/>
              </w:rPr>
              <w:br/>
              <w:t>za fotonaponske projekte</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Izmijenite žuta polja s plavim tekstom</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Verzija: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Neobvezni zahtjevi u ružičastim poljima: izbrišite upitnik u stupcu C ako taj zahtjev nije uključen. U protivnom upišite „da” ili „1”. Broj zahtjeva zatim će se izbrisati, a numeriranje sljedećih zahtjeva automatski će se prilagoditi.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Objavio: Grupa kupaca za održivu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U prazna polja upišite sve dodatne zahtjeve. Ako su umetnuti dodatni redci, prilagodite formule za automatsko numeriranje u stupcima A i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Povratne informacije/pogreške/dodaci: poslati e-poruku na e-adresu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Kad budete spremni, sakrijte stupce D i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Identifikacijska oznaka</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Opis zahtjeva</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Kada?</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Uključiti zahtjev?</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Objašnjenje za naručitelja</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Objašnjenje za ponuditelja</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Verifikacija/validacija</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Posljedice loših rezultata</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Datumi, planiranje i savjetovanje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Rad mora započeti:</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za lokaciju ... u roku od ... mjeseci od dodjele / na datum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Moguće je uključiti popis datuma po lokacijama</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 mora biti privremeno dovršen do:</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za lokaciju ... u roku od ... mjeseci od dodjele / do datuma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Privremeno dovršenje („izgradnja dovršena”): završeni su svi planirani radovi i instalacije je u načelu spremna za isporuku </w:t>
            </w:r>
            <w:r>
              <w:rPr>
                <w:rFonts w:ascii="Arial" w:hAnsi="Arial"/>
                <w:sz w:val="18"/>
              </w:rPr>
              <w:lastRenderedPageBreak/>
              <w:t xml:space="preserve">električne energije u mrežu. Zatim će se provesti inspekcija Scope 12. Moguće je uključiti popis datuma po lokacijama.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Osim ako je potpuno izvan kontrole izvođača, ako se dovršetak odgodi za više od 30 dana, primjenjivat će se dnevna kazna od 0,1 % cijene iz ponude u razdoblju od 1. listopada do 31. ožujka i 0,15 % u razdoblju od 1. travnja do 30. rujna.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Planiranje – izrada, dogovor (s naručiteljem/krajnjim korisnikom) i izdavanje plana rada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Nakon dodjele, ali prije početka provedbe</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Izvođenje radova u skladu s dogovorenim planom</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Plan se može prilagoditi nakon savjetovanja i zajedničkog odobrenja.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Sudjelovanje na sastancima na lokaciji ili radnim sastancima ako naručitelj smatra da je to potrebno</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Dokumentacija, nacrti, izračuni</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Podnošenje različitih dokumenata, nacrta i izračuna: </w:t>
            </w:r>
          </w:p>
          <w:p w14:paraId="1005A9B8" w14:textId="77777777" w:rsidR="00E05E85" w:rsidRPr="00644DBC"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dijagrami s jednom linijom (izmjenična i istosmjerna struja te priključak na postojeću instalaciju)</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plan rasporeda fotonaponskih ploča</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za krovne projekte: građevinski izračuni / izračuni jačine vjetra</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izračun gubitaka snage kabela (kabeli za izmjeničnu i istosmjernu struju)</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Nakon dodjele, ali prije početka provedbe</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tehnički listovi za solarne ploče, invertere, potpornu konstrukciju, kabele, mjerne ploče</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za krovne projekte: plan provedbe, uključujući plan za postavljanje fotonaponskih ploča tijekom ugradnje na krov i plan podizanja.</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Procjena i evaluacija rizika (RI&amp;E)</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Izrada procjene i evaluacije rizika za rad i mjere upravljanja koje treba poduzeti</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Nakon dodjele, ali prije početka provedbe</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Članak 5. Zakona o radnim uvjetima – izvođač mora izraditi procjenu i evaluaciju rizika za pojedinu lokaciju. U mnogim se slučajevima sadržaj prethodnih procjena i evaluacija rizika uglavnom može ponovno upotrijebiti, pri </w:t>
            </w:r>
            <w:r>
              <w:rPr>
                <w:rFonts w:ascii="Arial" w:hAnsi="Arial"/>
                <w:sz w:val="18"/>
              </w:rPr>
              <w:lastRenderedPageBreak/>
              <w:t xml:space="preserve">čemu se 10 % prilagođava projektu.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Izvješće o procjeni i evaluaciji rizika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Izvođačevi radovi na provedbi</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Isporuka, ugradnja i montaža fotonaponskih ploča i sustava za pričvršćivanje.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Isporuka, ugradnja i funkcionalna električna veza odgovarajućeg električnog sustava, uključujući kabele, invertere i pripadajuće komponente spojene na solarne ploče.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Priključak na postojeću električnu mrežu ILI priključak na novu električnu mrežu</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Registracija fotonaponske instalacije kod operatora sustava i na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Preslika registracije</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Priključak kalibriranog mjerača bruto izlazne snage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Obavljanje bilo kojeg drugog posla koji proizlazi iz prethodno navedenih odjeljaka kako bi se mogao isporučiti projekt po načelu „ključ u ruke”</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Dostavljanje potpunog izvješća o dovršetku koje sadržava informacije opisane u zahtjevu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Izvješće o dovršetku</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Ako je potrebno, poboljšanje instalacije dok se ne ispune zahtjevi iz ovog dokumenta (na primjer, ako su tijekom inspekcije Scope 12 otkrivena </w:t>
            </w:r>
            <w:r>
              <w:rPr>
                <w:rFonts w:ascii="Arial" w:hAnsi="Arial"/>
                <w:b/>
                <w:sz w:val="18"/>
              </w:rPr>
              <w:lastRenderedPageBreak/>
              <w:t>odstupanja od zahtjeva)</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Inspekcija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NB: naručitelj će organizirati neovisnu inspekciju cjelokupne instalacije za solarnu energiju u skladu s inspekcijom SCIOS Scope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Održavanje i praćenje rada tijekom prve dvije (ili četiri) godine, kako je opisano u radnom listu 7: Zahtjevi – Održavanje i praćenje</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Izvješća o održavanju i praćenju</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bookmarkStart w:id="7" w:name="_Toc177478482"/>
    <w:p w14:paraId="51B385A8" w14:textId="6E6F6389" w:rsidR="00D109C4" w:rsidRDefault="00A11B94" w:rsidP="00904945">
      <w:pPr>
        <w:pStyle w:val="MH2"/>
      </w:pPr>
      <w:r>
        <w:rPr>
          <w:noProof/>
        </w:rPr>
        <w:lastRenderedPageBreak/>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7"/>
    </w:p>
    <w:p w14:paraId="2AF26C50" w14:textId="6F1B54CC" w:rsidR="00E14CBD" w:rsidRDefault="007061E0" w:rsidP="00904945">
      <w:pPr>
        <w:pStyle w:val="MH2"/>
      </w:pPr>
      <w:bookmarkStart w:id="8" w:name="_Toc177478483"/>
      <w:r>
        <w:t>10.3 – Zahtjevi – Rad</w:t>
      </w:r>
      <w:bookmarkEnd w:id="8"/>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904945">
            <w:pPr>
              <w:pStyle w:val="MH3"/>
            </w:pPr>
            <w:bookmarkStart w:id="9" w:name="_Toc177478484"/>
            <w:r>
              <w:t>Zahtjevi za solarne ploče</w:t>
            </w:r>
            <w:bookmarkEnd w:id="9"/>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Predložak zahtjeva i kriterija za dodjelu za fotonaponske projekte</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Verzija: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Povratne informacije/pogreške/dodaci: Poslati e-poruku na e-adresu</w:t>
            </w:r>
            <w:r>
              <w:t xml:space="preserve"> </w:t>
            </w:r>
            <w:hyperlink r:id="rId10" w:history="1">
              <w:r>
                <w:rPr>
                  <w:rStyle w:val="Hyperlink"/>
                  <w:rFonts w:ascii="Arial" w:hAnsi="Arial"/>
                  <w:color w:val="104D54"/>
                  <w:sz w:val="16"/>
                </w:rPr>
                <w:t>BGDPV@pianoo.nl</w:t>
              </w:r>
            </w:hyperlink>
            <w:r>
              <w:t>.</w:t>
            </w:r>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Upute za naručitelje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Izmijenite žuta polja s plavim tekstom</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Neobvezni zahtjevi u ružičastim poljima: izbrišite upitnik u stupcu C ako taj zahtjev nije uključen. U protivnom upišite „da” ili „1”. Broj zahtjeva zatim će se izbrisati, a numeriranje sljedećih zahtjeva automatski će se prilagoditi.</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U prazna polja upišite sve dodatne zahtjeve. Ako se umetnu dodatni redci, prilagodite formule za automatsko numeriranje u stupcima A i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Kad budete spremni, sakrijte stupce D i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Identifikacijska oznaka</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Opis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Uključiti zahtjev?</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Objašnjenje za naručitelja</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Objašnjenje za ponuditelja</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Verifikacija i validacija</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Posljedice loših rezultata</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Kvaliteta i sigurnost</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Ploče moraju biti u skladu s normama IEC 61215, IEC 61730-1 i IEC 61730-2. Minimalan sigurnosni razred II prema normi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je minimalni zahtjev kvalitete kako bi se dokazalo da će ploča trajati najmanje pet godina. IEC 61730 odnosi se na električnu sigurnost i protupožarni razred solarne ploče.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Standardni zahtjev: sve uobičajene solarne ploče koje nude veletrgovci u skladu su s tim standardima. To je navedeno u tehničkom listu.</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Provjera izvješća o dovršetku, koje mora sadržavati tehnički list solarne ploče, ili inspekcija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Zamjena solarnim pločama koje ispunjavaju zahtjev.</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Jamstvo za proizvodnju najmanje 85 % energije u 25. godini</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Gotovo sve standardne solarne ploče ispunjavaju taj zahtjev.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U 25. godini ploča još uvijek mora proizvoditi najmanje 85 % energije koju je proizvodila kad je bila nova.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Jamstvo proizvodnje električne energije putem izvješća o </w:t>
            </w:r>
            <w:r>
              <w:rPr>
                <w:rFonts w:ascii="Arial" w:hAnsi="Arial"/>
                <w:sz w:val="18"/>
              </w:rPr>
              <w:lastRenderedPageBreak/>
              <w:t>dovršetku i inspekcije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Zamjena solarnim pločama koje ispunjavaju zahtjev.</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Priključci za istosmjernu struju moraju biti MC4 ili MC4-EVO i biti u skladu s normom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MC4/MC4-EVO najčešće je korištena spojnica i ima dokazanu kvalitetu.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Standardno, vidjeti tehnički list solarne ploče. Međutim, pobrinite se za to da se za sve kabele za istosmjernu struju koriste potpuno isti priključci (isti proizvođač i tip) i da se mogu kupiti odvojeno.</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Tehnički list solarnih ploča putem izvješća o dovršetku i inspekcija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Zamjena solarnim pločama koje ispunjavaju zahtjev.</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Ako se koristi p-tip ćelija od kristalnog silicija, solarne ploče moraju biti u skladu s normom IEC 62804 (otporno na potencijalnu induciranu degradaciju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Ako solarne ploče (npr. PERC ćelije) sadržavaju p-tip ćelija od kristalnog silicija, njihovu izlaznu snagu može ozbiljno smanjiti potencijalna inducirana degradacija (PID). To se može spriječiti korištenjem određenih materijala i ispitati primjenom navedenog standarda.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Ako se predlažu solarne ploče s p-tipom ćelija od kristalnog silicija (npr. PERC), one moraju biti u skladu s normom IEC 62804 (navedenom na tehničkom listu). Napomena: za mnoge druge vrste solarnih ćelija (HJT, Topcon, IBC, CdTe, CIGS, a-Si, n-PERT) taj učinak ne postoji i taj test nije potreban.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Tehnički list putem izvješća o dovršetku i inspekcija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Zamjena solarnim pločama koje ispunjavaju zahtjev.</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Održivost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Maksimalni ugljični otisak od 550 kg Co</w:t>
            </w:r>
            <w:r>
              <w:rPr>
                <w:rFonts w:ascii="Arial" w:hAnsi="Arial"/>
                <w:b/>
                <w:color w:val="000000"/>
                <w:sz w:val="18"/>
                <w:vertAlign w:val="subscript"/>
              </w:rPr>
              <w:t>2</w:t>
            </w:r>
            <w:r>
              <w:rPr>
                <w:rFonts w:ascii="Arial" w:hAnsi="Arial"/>
                <w:b/>
                <w:color w:val="000000"/>
                <w:sz w:val="18"/>
              </w:rPr>
              <w:t>-eq po kW</w:t>
            </w:r>
            <w:r>
              <w:rPr>
                <w:rFonts w:ascii="Arial" w:hAnsi="Arial"/>
                <w:b/>
                <w:color w:val="000000"/>
                <w:sz w:val="18"/>
                <w:vertAlign w:val="subscript"/>
              </w:rPr>
              <w:t>p</w:t>
            </w:r>
            <w:r>
              <w:rPr>
                <w:rFonts w:ascii="Arial" w:hAnsi="Arial"/>
                <w:color w:val="000000"/>
                <w:sz w:val="18"/>
              </w:rPr>
              <w:t>, u skladu s francuskom pojednostavnjenom procjenom emisija ugljika (</w:t>
            </w:r>
            <w:r>
              <w:rPr>
                <w:rFonts w:ascii="Arial" w:hAnsi="Arial"/>
                <w:i/>
                <w:color w:val="000000"/>
                <w:sz w:val="18"/>
              </w:rPr>
              <w:t>Evaluation carbone simplifiée</w:t>
            </w:r>
            <w:r>
              <w:rPr>
                <w:rFonts w:ascii="Arial" w:hAnsi="Arial"/>
                <w:color w:val="000000"/>
                <w:sz w:val="18"/>
              </w:rPr>
              <w:t>, ECS) kojom upravlja francuska agencija za okoliš Adème.</w:t>
            </w:r>
            <w:r>
              <w:rPr>
                <w:rFonts w:ascii="Arial" w:hAnsi="Arial"/>
                <w:b/>
                <w:color w:val="000000"/>
                <w:sz w:val="18"/>
              </w:rPr>
              <w:t xml:space="preserve"> </w:t>
            </w:r>
            <w:r>
              <w:rPr>
                <w:rFonts w:ascii="Arial" w:hAnsi="Arial"/>
                <w:color w:val="000000"/>
                <w:sz w:val="18"/>
              </w:rPr>
              <w:t xml:space="preserve">Certifikat mora biti valjan na početku izgradnje i sastavljen u skladu sa smjernicama agencije Adème u okviru certifikata CRE4 / 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To je ograničenje isto kao i u Francuskoj te se njime ugljični otisak glavnih ploča smanjuje za pola, a istodobno se omogućuje širok izbor, uključujući kineske proizvođače iz skupine društva prve razine, po niskoj dodatnoj cijeni.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U dokumentu „</w:t>
            </w:r>
            <w:r>
              <w:rPr>
                <w:rFonts w:ascii="Arial" w:hAnsi="Arial"/>
                <w:i/>
                <w:color w:val="000000"/>
                <w:sz w:val="18"/>
              </w:rPr>
              <w:t>Duurzaamheidsaspecten en marktscan Duurzamere Zonnepanelen</w:t>
            </w:r>
            <w:r>
              <w:rPr>
                <w:rFonts w:ascii="Arial" w:hAnsi="Arial"/>
                <w:color w:val="000000"/>
                <w:sz w:val="18"/>
              </w:rPr>
              <w:t xml:space="preserve">” (Aspekti održivosti i istraživanje tržišta održivijih solarnih ploča) i navode se proizvođači koji mogu ispuniti taj zahtjev, ali to mogu i drugi proizvođači. Certifikat ECS-a može se zatražiti preko proizvođača ili trgovca na veliko.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Provjera izvješća o dovršetku, koje mora sadržavati certifikat ECS koji odgovara ugrađenim solarnim pločama, ili tijekom inspekcije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Zamjena solarnim pločama koje ispunjavaju zahtjev.</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Stražnja strana bez PFAS-a: </w:t>
            </w:r>
            <w:r>
              <w:rPr>
                <w:rFonts w:ascii="Arial" w:hAnsi="Arial"/>
                <w:color w:val="000000"/>
                <w:sz w:val="18"/>
              </w:rPr>
              <w:t xml:space="preserve">Na primjer, staklena ploča (solarne ploče staklo-staklo) ili plastična stražnja ploča bez fluoropolimera.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Većina solarnih ploča sadržava PVDF (Tedlar), PVF (Kynar) ili druge fluorirane polimere i premaze.  Ti PFAS materijali mogu završiti u okolišu tijekom proizvodnje ili uporabe (u obliku praha ili ljuštenjem) i štetno utjecati na zdravlje. Dodatni troškovi alternativnih tvari bez PFAS-a neznatni su ili ih nema.</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U dokumentu „</w:t>
            </w:r>
            <w:r>
              <w:rPr>
                <w:rFonts w:ascii="Arial" w:hAnsi="Arial"/>
                <w:i/>
                <w:color w:val="000000"/>
                <w:sz w:val="18"/>
              </w:rPr>
              <w:t>Duurzaamheidsaspecten en marktscan Duurzamere Zonnepanelen</w:t>
            </w:r>
            <w:r>
              <w:rPr>
                <w:rFonts w:ascii="Arial" w:hAnsi="Arial"/>
                <w:color w:val="000000"/>
                <w:sz w:val="18"/>
              </w:rPr>
              <w:t xml:space="preserve">” nalaze se primjeri solarnih ploča koje ispunjavaju taj zahtjev. Raspitajte se kod trgovaca na veliko / proizvođača. Ako se primjenjuju solarne ploče s plastičnim poklopcem i ako u tehničkom listu nije izričito navedeno od kojih se materijala sastoji stražnja strana, od proizvođača ploča zahtijeva se zasebna potvrda da solarne ploče sadržavaju poklopac bez PFS-a.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Provjera izvješća o dovršetku, koje mora sadržavati tehnički list solarne ploče ili certifikat, ili inspekcija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Zamjena solarnim pločama koje ispunjavaju zahtjev.</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Neobvezni zahtjevi za solarne ploče</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Ploče moraju biti u skladu s: IEC 62716 (otpornost na amonijak)</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Obično nije potrebno, ali je neophodno za stočne nastambe. Otpornost na amonijak potrebna je samo ako postoji visoka koncentracija amonijaka, npr. ako se drži stoka (kokoši/svinje/goveda).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Navodi se u mnogim tehničkim listovima.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Tehnički list putem izvješća o dovršetku i inspekcija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Ploče moraju biti u skladu s: IEC 61701 (otpornost na slanu maglu)</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Obično nije potrebno, ali je neophodno u obalnim područjima. Otpornost na slani zrak (slana magla) potrebna je samo ako je fotonaponska instalacija blizu mora (manje od 1 km udaljena)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Navodi se u mnogim tehničkim listovima.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Tehnički list putem izvješća o dovršetku i inspekcija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Boja stražnje strane ploče – vidljiva između ćelija</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To nije nužno za mnoge projekte. „Potpuno crne” ploče prvenstveno se upotrebljavaju na vidljivim, kosim krovovima. One su nešto skuplje i imaju nešto slabiju radnu </w:t>
            </w:r>
            <w:r>
              <w:rPr>
                <w:rFonts w:ascii="Arial" w:hAnsi="Arial"/>
                <w:sz w:val="18"/>
              </w:rPr>
              <w:lastRenderedPageBreak/>
              <w:t>učinkovitost u usporedbi s pločama koje imaju bijelu stražnju stranu. Obojene solarne ploče znatno su skuplji i imaju manju učinkovitost.</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Boja okvira solarne ploče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Crni ili obojeni okviri često nisu potrebni, ali su skuplji.</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644DBC"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904945">
      <w:pPr>
        <w:pStyle w:val="MH2"/>
      </w:pPr>
      <w:bookmarkStart w:id="10" w:name="_Toc177478485"/>
      <w:r>
        <w:lastRenderedPageBreak/>
        <w:t>10.4 – Zahtjevi za solarne ploče</w:t>
      </w:r>
      <w:bookmarkEnd w:id="10"/>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904945">
            <w:pPr>
              <w:pStyle w:val="MH3"/>
            </w:pPr>
            <w:bookmarkStart w:id="11" w:name="_Toc177478486"/>
            <w:r>
              <w:t xml:space="preserve">Zahtjevi za električne instalacije, invertere, </w:t>
            </w:r>
            <w:r>
              <w:br/>
              <w:t>kabele i ostale električne komponente</w:t>
            </w:r>
            <w:bookmarkEnd w:id="11"/>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Upute za naručitelje</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Predložak zahtjeva i kriterija za dodjelu za fotonaponske projekte</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Izmijenite žuta polja s plavim tekstom.</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Verzija: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Neobvezni zahtjevi u ružičastim poljima: izbrišite upitnik u stupcu C ako taj zahtjev nije uključen. U protivnom upišite „da” ili „1”. Broj zahtjeva zatim će se izbrisati, a numeriranje sljedećih zahtjeva automatski će se prilagoditi.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Objavio: Grupa kupaca za održivu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Upišite sve dodatne zahtjeve u prazna polja. Ako su umetnuti dodatni redci, prilagodite formule za automatsko numeriranje u stupcima A i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Povratne informacije/pogreške/dodaci: poslati e-poruku na e-adresu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Kad budete spremni, sakrijte stupce D i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Identifikacijska oznaka</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Opis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Vrijednost</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Uključiti zahtjev?</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Objašnjenje za naručitelja</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Objašnjenje za ponuditelja</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Verifikacija i validacija</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Posljedice loših rezultata</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Elektroinstalacijski radovi</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Instalacija mora biti sigurna i u skladu s NEN 1010 i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Inspekcija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Sustav mora biti opremljen izolatorom istosmjerne struje za potrebe održavanja. </w:t>
            </w:r>
            <w:r>
              <w:rPr>
                <w:rFonts w:ascii="Arial" w:hAnsi="Arial"/>
                <w:color w:val="000000"/>
                <w:sz w:val="18"/>
              </w:rPr>
              <w:t xml:space="preserve">On se mora nalaziti pored ili unutar invertera.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Inspekcija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Indukcijske petlje između pozitivnih i negativnih kabela za istosmjernu struju (crveni/crni) moraju biti male. </w:t>
            </w:r>
            <w:r>
              <w:rPr>
                <w:rFonts w:ascii="Arial" w:hAnsi="Arial"/>
                <w:color w:val="000000"/>
                <w:sz w:val="18"/>
              </w:rPr>
              <w:t>Modularni i povratni kabel svakog niza slijede isti put i razmaknuti su najviše jedan metar.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Inspekcija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 za istosmjernu struju moraju biti kodirani prema polaritetu (crno/crveno ili +/-) i broju niza.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Prenaponska zaštitna naprava mora biti ugrađena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Prenaponska zaštitna naprava štiti inverter od požara zbog izravnog ili neizravnog udara groma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Inspekcija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Spajanje solarnih ploča</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Ploče spojene na inverter u seriji (na prvi niz) moraju imati isti kut nagiba i orijentaciju.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Inverteri</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Inverteri moraju biti u skladu sa: EN50524, IEC61683, IEC 62109, NEN-EN 50438, IEC 60068.</w:t>
            </w:r>
            <w:r>
              <w:rPr>
                <w:rFonts w:ascii="Arial" w:hAnsi="Arial"/>
                <w:color w:val="000000"/>
                <w:sz w:val="18"/>
              </w:rPr>
              <w:t xml:space="preserve"> IEC 61683: Mjerenje učinkovitosti poboljšivača snage u fotonaponskim sustavima. EN 50524: Informacije iz tehničkog lista za fotonaponske invertere. IEC 62109: Sigurnost energetskih pretvarača u fotonaponskim sustavima. NEN-EN 50438: Mikropostrojenja priključena na javne niskonaponske distribucijske mreže. EN 60068: Ispitivanje utjecaja na okoliš, sposobnost funkcioniranja u očekivanim uvjetima prijevoza, skladištenja i uporabe.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Standardni zahtjevi</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Većina invertera ispunjava te zahtjeve – navedeno u tehničkom listu.</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Inverteri moraju imati jamstvo proizvođača od najmanje:</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 – 10 godina</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Zahtjevi za elektromagnetsku kompatibilnost (EMC). </w:t>
            </w:r>
            <w:r>
              <w:rPr>
                <w:rFonts w:ascii="Arial" w:hAnsi="Arial"/>
                <w:color w:val="000000"/>
                <w:sz w:val="18"/>
              </w:rPr>
              <w:t>Inverteri, solarne ploče i sva druga oprema moraju ispunjavati zahtjeve elektromagnetske kompatibilnosti (EMC) u skladu s NEN-EN-IEC 61000-6-2 (imunitet) i NEN-EN-IEC 61000-6-4 (emisije).</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Kad je riječ o krovnoj instalaciji, inverter mora biti ugrađen najmanje sa stupnjem zaštite IP65, uključujući zaštitu od sunčeve svjetlosti i u skladu s drugim zahtjevima proizvođača.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 moraju imati europsku učinkovitost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Sami inverteri moraju biti opremljeni uređajem za otkrivanje kvarova na luku ili mora postojati vanjski uređaj za otkrivanje kvarova na luku za sve nizove solarnih ploča spojene na invertere.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Proizvođač invertera mora biti renomiran i posjedovati certifikate ISO 9001 i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Rezervni dijelovi obično se moraju isporučiti u roku od 72 sata (npr. preko poduzeća za skladištenje u EU-u).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Inverteri moraju biti u skladu sa smjernicama mrežnih operatora, prikladni za nizozemsku elektroenergetsku mrežu i nositi oznaku CE (usklađenost s propisima EU-a)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Prekidač se mora postaviti na onu stranu invertera na kojoj je izmjenična struja tako da se može izolirati, npr. za potrebe održavanja.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Inverteri moraju imati integrirani uređaj za isključivanje mreže koji je sukladan s normom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Za Drenthe, Groningen, Friesland, Overijssel i Gelderland: ako se solarna instalacija nalazi unutar zone zaštite Astrona (https://www.astron.nl/beschermingszones/</w:t>
            </w:r>
            <w:r>
              <w:rPr>
                <w:rFonts w:ascii="Arial" w:hAnsi="Arial"/>
                <w:sz w:val="18"/>
              </w:rPr>
              <w:lastRenderedPageBreak/>
              <w:t xml:space="preserve">), inverteri moraju ispunjavati zahtjeve te zone. Vidjeti „bijeli popis” odobrenih invertera na gore navedenim internetskim stranicama.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Razmaci Između invertera moraju biti dovoljno veliki i u skladu sa zahtjevima proizvođača.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Lokaciju invertera mora predložiti izvođač, a potom se određuje u dogovoru s naručiteljem.</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 moraju biti lako dostupni za servisiranje i održavanje.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Inverteri se moraju zvučno izolirati od zida ili okvira kako bi se izbjegla buka koja nastaje u dodiru sa zidovima, konstrukcijama i podovima.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Ako bi buka mogla biti problem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Inverter mora biti otporan na slanu maglu u skladu s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Ako se nalazi blizu mora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Kad je riječ o krovnoj instalaciji, inverter mora biti ugrađen najmanje sa stupnjem zaštite IP65, uključujući zaštitu od sunčeve svjetlosti i u skladu s drugim zahtjevima proizvođača.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za sprječavanje oštećenja od oluja itd. IPx5 kako bi se spriječilo da prerevni čistač s vrtnim crijevom razbije inverter.</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Inverteri moraju biti pravilno zapečaćeni i ne smiju biti dostupni neovlaštenim osobama.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Kako bi se spriječila nepravilna uporaba, krađa ili vandalizam, inverteri moraju biti zapečaćeni.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Kabeli, priključci, kanali</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Priključci za istosmjernu struju moraju biti MC4 i u skladu s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Priključci za istosmjernu struju koji se međusobno spajaju (muško-ženski) moraju biti istog tipa i proizvođača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Priključak za istosmjernu struju mora imati najmanje stupanj zaštite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Svi kabeli moraju biti u skladu s odjeljkom 712.522. norme IEC 60364-7-712 (zahtjevi za sustave za fotonaponsku energetsku opskrbu) te normama IEC 60364-5-52 (električni kabeli u zgradama), IEC 60332-1-2 (otpornost na požar) i EN 50396 (neelektrična ispitivanja).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Svi kabeli za istosmjernu struju moraju biti prikladni za solarne primjene i otporni na UV zrake i ozon.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Sve komponente na strani istosmjerne struje (uključujući kabele i priključke) moraju biti projektirane tako da izdrže ≥ 1,15 puta napon otvorenog kruga na trasi žice.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Različite vrste kabela</w:t>
            </w:r>
            <w:r>
              <w:rPr>
                <w:rFonts w:ascii="Arial" w:hAnsi="Arial"/>
                <w:color w:val="000000"/>
                <w:sz w:val="18"/>
              </w:rPr>
              <w:t xml:space="preserve"> (npr. kabeli za istosmjernu struju, izmjeničnu struju i podatkovni kabeli) moraju se upotrebljavati odvojeno.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Inspekcija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Dimenzije kabela moraju biti u skladu s normom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Gubici kabela: pod maksimalnim opterećenjem može doći do gubitka od najviše 2 % na strani istosmjerne struje i gubitka od 1 % na strani izmjenične struje.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Ti se parametri mogu prilagoditi specifičnim situacijama; za vrlo duge kabele može se prihvatiti veći postotak gubitka u odnosu na ravnotežu troškova i koristi.</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Ako instalacija sadržava više nizova kabela, oni moraju biti u skladu s normom IEC 60364-7-712 i zaštićeni od preopterećenja osiguračima na strani plus i minus ili odgovarajućim dimenzijama.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 moraju biti u skladu s razredom Cca iz Uredbe o građevnim proizvodima u skladu s normom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 moraju biti ispravno mehanički pričvršćeni.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 moraju biti provučeni kroz kanale ili cijevi. Kabelska trasa solarnog energetskog sustava može se napuniti do 80 % za nove trase i do 100 % za postojeće trase.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Kabelski kanali ne smiju se postavljati izravno na krov, već moraju biti pričvršćeni za krov ili donju konstrukciju gumenim poklopcima ili nogicama i mora postojati zaštita od uleknuća.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Kabelski kanal mora u svakom trenutku visjeti ili biti iznad maksimalne razine vode na krovu.</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Kabeli se mogu polagati u zavojima do 90 stupnjeva.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 se mora ugraditi tako da se smanji vjerojatnost ulaska vlage ili tekućina u kabele ili priključke.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Kabelski priključci i krovni priključci moraju biti vodonepropusni. To se mora provesti </w:t>
            </w:r>
            <w:r>
              <w:rPr>
                <w:rFonts w:ascii="Arial" w:hAnsi="Arial"/>
                <w:sz w:val="18"/>
              </w:rPr>
              <w:lastRenderedPageBreak/>
              <w:t>u skladu s najnovijom verzijom „trgovinskih smjernica za sustav zatvorenih krovova” (vakrichtlijn gesloten daksysteem), dok se zidni priključci moraju izraditi u skladu s Uredbom o gradnji iz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Kabeli moraju biti položeni tako da su zaštićeni od prekidanja.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Svi krovni otvori moraju biti pravilno postavljeni tako da krov ostane vodonepropusan čak i za vrijeme padalina.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Kutija brojila i priključak na mrežu</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Mjesto priključenja mora imati jedan krug po inverteru, dodatni krug potrošnje za sustave za praćenje i mjerač bruto proizvodnje za sustav.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Mjerač bruto proizvodnje mora biti u skladu sa zahtjevima utvrđenima u programu subvencija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Pri prilagodbi razvodne kutije na odgovarajućim (automatskim) osiguračima mora biti navedeno da je riječ o instalacija za solarnu energiju s naljepnicom i/ili plastičnom pločom na kojoj piše: „OPREZ: solarna instalacija” </w:t>
            </w:r>
            <w:r>
              <w:rPr>
                <w:rFonts w:ascii="Arial" w:hAnsi="Arial"/>
                <w:b/>
                <w:sz w:val="18"/>
              </w:rPr>
              <w:lastRenderedPageBreak/>
              <w:t>(ili jednakovrijedno). Osim toga, ove naljepnice moraju biti postavljene na instalacijski vod i sve razvodne kutije.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Neobvezni zahtjevi za invertere</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Moguć popravak: proizvođač mora imati servisni centar u Europi koji može popravljati invertere ili moraju postojati vanjska poduzeća u Europi koja su ovlaštena za njihovo popravljanje.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Svaki inverter mora imati sljedeće funkcije:</w:t>
            </w:r>
            <w:r>
              <w:rPr>
                <w:rFonts w:ascii="Arial" w:hAnsi="Arial"/>
                <w:b/>
                <w:sz w:val="18"/>
              </w:rPr>
              <w:br/>
              <w:t>– postavljanje parametara</w:t>
            </w:r>
            <w:r>
              <w:rPr>
                <w:rFonts w:ascii="Arial" w:hAnsi="Arial"/>
                <w:b/>
                <w:sz w:val="18"/>
              </w:rPr>
              <w:br/>
              <w:t>– slanje obavijesti čim napon (izmjenične ili istosmjerne struje) padne</w:t>
            </w:r>
            <w:r>
              <w:rPr>
                <w:rFonts w:ascii="Arial" w:hAnsi="Arial"/>
                <w:b/>
                <w:sz w:val="18"/>
              </w:rPr>
              <w:br/>
              <w:t>– prikaz parametara mreže (frekvencija, napon itd.)</w:t>
            </w:r>
            <w:r>
              <w:rPr>
                <w:rFonts w:ascii="Arial" w:hAnsi="Arial"/>
                <w:b/>
                <w:sz w:val="18"/>
              </w:rPr>
              <w:br/>
              <w:t>– gašenje čim mreža izađe izvan dopuštenog raspona.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Inverteri moraju omogućiti prilagodbu proizvedene energije u skladu s potražnjom za električnom energijom na lokaciji kako bi se izbjegao unos u mrežu.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Na primjer, u slučaju zagušenja mreže na području koje privremeno sprečava priključak.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303EED17" w14:textId="0141BFAC" w:rsidR="006678CB" w:rsidRPr="00644DBC" w:rsidRDefault="00A11B9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01D7814D" w14:textId="77777777" w:rsidR="006678CB" w:rsidRPr="00644DBC"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644DBC"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644DBC"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1C25FB2F" w14:textId="16D06688" w:rsidR="00E732CC" w:rsidRPr="007061E0" w:rsidRDefault="00E732CC" w:rsidP="00904945">
      <w:pPr>
        <w:pStyle w:val="MH2"/>
      </w:pPr>
      <w:bookmarkStart w:id="12" w:name="_Toc177478487"/>
      <w:r>
        <w:lastRenderedPageBreak/>
        <w:t>10.5 – Zahtjevi za električne instalacije, invertere, kabele i druge električne komponente</w:t>
      </w:r>
      <w:bookmarkEnd w:id="12"/>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904945">
            <w:pPr>
              <w:pStyle w:val="MH3"/>
            </w:pPr>
            <w:bookmarkStart w:id="13" w:name="_Toc177478488"/>
            <w:r>
              <w:t xml:space="preserve">Zahtjevi: </w:t>
            </w:r>
            <w:r>
              <w:br/>
              <w:t>Konstrukcija za pričvršćivanje</w:t>
            </w:r>
            <w:bookmarkEnd w:id="13"/>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Upute za naručitelje</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Predložak zahtjeva i kriterija za dodjelu za fotonaponske projekte</w:t>
            </w:r>
          </w:p>
          <w:p w14:paraId="5F0E241B" w14:textId="77777777" w:rsidR="006678CB" w:rsidRPr="00644DBC"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Izmijenite žuta polja s plavim tekstom</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Verzija: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Neobvezni zahtjevi u ružičastim poljima: izbrišite upitnik u stupcu C ako taj zahtjev nije uključen. U protivnom upišite „da” ili „1”. Broj zahtjeva zatim će se izbrisati, a numeriranje sljedećih zahtjeva automatski će se prilagoditi.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Objavio: Grupa kupaca za održivu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U prazna polja upišite sve dodatne zahtjeve. Ako su umetnuti dodatni redci, prilagodite formule za automatsko numeriranje u stupcima A i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Povratne informacije/pogreške/dodaci: Poslati e-poruku na </w:t>
            </w:r>
            <w:hyperlink r:id="rId11" w:history="1">
              <w:r>
                <w:rPr>
                  <w:rStyle w:val="Hyperlink"/>
                  <w:rFonts w:ascii="Arial" w:hAnsi="Arial"/>
                  <w:sz w:val="16"/>
                </w:rPr>
                <w:t>BGDPV@pianoo.nl</w:t>
              </w:r>
            </w:hyperlink>
          </w:p>
          <w:p w14:paraId="4744A7E1" w14:textId="77777777" w:rsidR="006678CB" w:rsidRPr="00904945" w:rsidRDefault="006678CB" w:rsidP="00E467BD">
            <w:pPr>
              <w:spacing w:line="240" w:lineRule="auto"/>
              <w:rPr>
                <w:rFonts w:ascii="Arial" w:hAnsi="Arial" w:cs="Arial"/>
                <w:color w:val="808080"/>
                <w:sz w:val="16"/>
                <w:szCs w:val="16"/>
                <w:lang w:val="da-DK"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Kad budete spremni, sakrijte stupce D i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Identifikacijska oznaka</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Opis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Vrijednost</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Uključiti zahtjev?</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Objašnjenje za naručitelja</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Objašnjenje za ponuditelja</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Verifikacija i validacija</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Posljedice loših rezultata</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4" w:name="_Toc176854555"/>
            <w:r>
              <w:rPr>
                <w:rFonts w:ascii="Arial" w:hAnsi="Arial"/>
                <w:b/>
                <w:color w:val="000000"/>
              </w:rPr>
              <w:t xml:space="preserve">Građevinski zahtjevi </w:t>
            </w:r>
            <w:r>
              <w:rPr>
                <w:rFonts w:ascii="Arial" w:hAnsi="Arial"/>
                <w:b/>
                <w:color w:val="FF0000"/>
              </w:rPr>
              <w:t>za fotonaponske sustave na KROVU</w:t>
            </w:r>
            <w:bookmarkEnd w:id="14"/>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5" w:name="_Toc176854556"/>
            <w:r>
              <w:rPr>
                <w:rFonts w:ascii="Arial" w:hAnsi="Arial"/>
                <w:sz w:val="18"/>
              </w:rPr>
              <w:t>5.1.</w:t>
            </w:r>
            <w:bookmarkEnd w:id="1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6" w:name="_Toc176854557"/>
            <w:r>
              <w:rPr>
                <w:rFonts w:ascii="Arial" w:hAnsi="Arial"/>
                <w:b/>
                <w:color w:val="000000"/>
                <w:sz w:val="18"/>
              </w:rPr>
              <w:t xml:space="preserve">Konstrukcija mora moći izdržati očekivano opterećenje. </w:t>
            </w:r>
            <w:r>
              <w:rPr>
                <w:rFonts w:ascii="Arial" w:hAnsi="Arial"/>
                <w:color w:val="000000"/>
                <w:sz w:val="18"/>
              </w:rPr>
              <w:t>Konstrukcija i konstrukcijski materijal moraju biti u skladu s normom NEN 7250 i Eurokodom 1 (EN 1991-1-4). Provjerite dizajn nakon dodjele, ali prije početka ugradnje.</w:t>
            </w:r>
            <w:bookmarkEnd w:id="16"/>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17" w:name="_Toc176854558"/>
            <w:r>
              <w:rPr>
                <w:rFonts w:ascii="Arial" w:hAnsi="Arial"/>
                <w:color w:val="000000"/>
                <w:sz w:val="18"/>
              </w:rPr>
              <w:t xml:space="preserve">Norme povezane s građevinskim aspektima i opterećenjima vjetrom. NEN 7250: </w:t>
            </w:r>
            <w:r>
              <w:rPr>
                <w:rFonts w:ascii="Arial" w:hAnsi="Arial"/>
                <w:i/>
                <w:color w:val="000000"/>
                <w:sz w:val="18"/>
              </w:rPr>
              <w:t xml:space="preserve">Solarni energetski sustavi – integracija u krovove i fasade – građevinski aspekti. </w:t>
            </w:r>
            <w:r>
              <w:rPr>
                <w:rFonts w:ascii="Arial" w:hAnsi="Arial"/>
                <w:color w:val="000000"/>
                <w:sz w:val="18"/>
              </w:rPr>
              <w:t xml:space="preserve">Eurokod 1 – EN 1991-1-4:  </w:t>
            </w:r>
            <w:r>
              <w:rPr>
                <w:rFonts w:ascii="Arial" w:hAnsi="Arial"/>
                <w:i/>
                <w:color w:val="000000"/>
                <w:sz w:val="18"/>
              </w:rPr>
              <w:t>Djelovanja na konstrukcije – Dio 1.4: Opća djelovanja – Djelovanje vjetra</w:t>
            </w:r>
            <w:bookmarkEnd w:id="17"/>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18" w:name="_Toc176854559"/>
            <w:r>
              <w:rPr>
                <w:rFonts w:ascii="Arial" w:hAnsi="Arial"/>
                <w:sz w:val="18"/>
              </w:rPr>
              <w:t>Dobavljači krovnih konstrukcija za pričvršćivanje obično imaju softver ili mrežnu aplikaciju koja može izračunati balast potreban za ispunjavanje tih standarda.</w:t>
            </w:r>
            <w:bookmarkEnd w:id="18"/>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19" w:name="_Toc176854560"/>
            <w:r>
              <w:rPr>
                <w:rFonts w:ascii="Arial" w:hAnsi="Arial"/>
                <w:sz w:val="18"/>
              </w:rPr>
              <w:t>Izvješće o predloženom dizajnu iz softvera ili mežne aplikacije dobavljača konstrukcije za pričvršćivanje, koje se dostavlja izvođaču prije ugradnje.</w:t>
            </w:r>
            <w:bookmarkEnd w:id="19"/>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0" w:name="_Toc176854561"/>
            <w:r>
              <w:rPr>
                <w:rFonts w:ascii="Arial" w:hAnsi="Arial"/>
                <w:color w:val="000000"/>
                <w:sz w:val="18"/>
              </w:rPr>
              <w:t>Proučite i, prema potrebi, prilagodite.</w:t>
            </w:r>
            <w:bookmarkEnd w:id="20"/>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1" w:name="_Toc176854562"/>
            <w:r>
              <w:rPr>
                <w:rFonts w:ascii="Arial" w:hAnsi="Arial"/>
                <w:sz w:val="18"/>
              </w:rPr>
              <w:lastRenderedPageBreak/>
              <w:t>5.2.</w:t>
            </w:r>
            <w:bookmarkEnd w:id="2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2" w:name="_Toc176854563"/>
            <w:r>
              <w:rPr>
                <w:rFonts w:ascii="Arial" w:hAnsi="Arial"/>
                <w:b/>
                <w:color w:val="000000"/>
                <w:sz w:val="18"/>
              </w:rPr>
              <w:t xml:space="preserve">Konstrukcija mora biti kompatibilna s krovom. </w:t>
            </w:r>
            <w:r>
              <w:rPr>
                <w:rFonts w:ascii="Arial" w:hAnsi="Arial"/>
                <w:color w:val="000000"/>
                <w:sz w:val="18"/>
              </w:rPr>
              <w:t>Konstrukcija krova i krov mora biti u stanju izdržati opterećenje koje na njih može vršiti fotonaponski sustav u kombinaciji s vremenskim uvjetima (snijeg, vjetar). Provjerite dizajn nakon dodjele, ali prije početka ugradnje.</w:t>
            </w:r>
            <w:bookmarkEnd w:id="2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23" w:name="_Toc176854564"/>
            <w:r>
              <w:rPr>
                <w:rFonts w:ascii="Arial" w:hAnsi="Arial"/>
                <w:sz w:val="18"/>
              </w:rPr>
              <w:t>U slučaju „lakih” krovova koji nisu prikladni za standardne teške balastne konstrukcije, može se razmotriti sljedeće: jačanje krova ili krovne konstrukcije s pomoću posebnih pričvrsnih konstrukcija ili posebnih solarnih ploča koje su, na primjer, zalijepljene na krov</w:t>
            </w:r>
            <w:bookmarkEnd w:id="23"/>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24" w:name="_Toc176854565"/>
            <w:r>
              <w:rPr>
                <w:rFonts w:ascii="Arial" w:hAnsi="Arial"/>
                <w:color w:val="000000"/>
                <w:sz w:val="18"/>
              </w:rPr>
              <w:t>Projekt fotonaponske instalacije, uključujući nacrte konstrukcije s mjestima balasta i utezima, mora se dostaviti izvođaču radova na odobrenje najmanje četiri tjedna prije ugradnje.</w:t>
            </w:r>
            <w:bookmarkEnd w:id="2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25" w:name="_Toc176854566"/>
            <w:r>
              <w:rPr>
                <w:rFonts w:ascii="Arial" w:hAnsi="Arial"/>
                <w:color w:val="000000"/>
                <w:sz w:val="18"/>
              </w:rPr>
              <w:t>Proučite i, prema potrebi, prilagodite.</w:t>
            </w:r>
            <w:bookmarkEnd w:id="25"/>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26" w:name="_Toc176854567"/>
            <w:r>
              <w:rPr>
                <w:rFonts w:ascii="Arial" w:hAnsi="Arial"/>
                <w:sz w:val="18"/>
              </w:rPr>
              <w:t>5.3.</w:t>
            </w:r>
            <w:bookmarkEnd w:id="2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27" w:name="_Toc176854568"/>
            <w:r>
              <w:rPr>
                <w:rFonts w:ascii="Arial" w:hAnsi="Arial"/>
                <w:b/>
                <w:color w:val="000000"/>
                <w:sz w:val="18"/>
              </w:rPr>
              <w:t xml:space="preserve">Uzemljenje </w:t>
            </w:r>
            <w:r>
              <w:rPr>
                <w:rFonts w:ascii="Arial" w:hAnsi="Arial"/>
                <w:color w:val="000000"/>
                <w:sz w:val="18"/>
              </w:rPr>
              <w:t>Cijela donja konstrukcija ploče mora biti uzemljena.</w:t>
            </w:r>
            <w:bookmarkEnd w:id="27"/>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28" w:name="_Toc176854569"/>
            <w:r>
              <w:rPr>
                <w:rFonts w:ascii="Arial" w:hAnsi="Arial"/>
                <w:sz w:val="18"/>
              </w:rPr>
              <w:t>Inspekcija Scope 12</w:t>
            </w:r>
            <w:bookmarkEnd w:id="2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29" w:name="_Toc176854570"/>
            <w:r>
              <w:rPr>
                <w:rFonts w:ascii="Arial" w:hAnsi="Arial"/>
                <w:sz w:val="18"/>
              </w:rPr>
              <w:t>5.4.</w:t>
            </w:r>
            <w:bookmarkEnd w:id="29"/>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30" w:name="_Toc176854571"/>
            <w:r>
              <w:rPr>
                <w:rFonts w:ascii="Arial" w:hAnsi="Arial"/>
                <w:b/>
                <w:color w:val="000000"/>
                <w:sz w:val="18"/>
              </w:rPr>
              <w:t>Mora se ugraditi odgovarajući sustav zaštite od udara munje</w:t>
            </w:r>
            <w:bookmarkEnd w:id="3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31" w:name="_Toc176854572"/>
            <w:r>
              <w:rPr>
                <w:rFonts w:ascii="Arial" w:hAnsi="Arial"/>
                <w:b/>
                <w:sz w:val="18"/>
              </w:rPr>
              <w:t>?</w:t>
            </w:r>
            <w:bookmarkEnd w:id="31"/>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32" w:name="_Toc176854573"/>
            <w:r>
              <w:rPr>
                <w:rFonts w:ascii="Arial" w:hAnsi="Arial"/>
                <w:sz w:val="18"/>
              </w:rPr>
              <w:t>To obično već postoji, a ako ne, ugrađuje se neovisno o fotonaponskom sustavu. Određuje se u dogovoru sa savjetnicima.</w:t>
            </w:r>
            <w:bookmarkEnd w:id="3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33" w:name="_Toc176854574"/>
            <w:r>
              <w:rPr>
                <w:rFonts w:ascii="Arial" w:hAnsi="Arial"/>
                <w:sz w:val="18"/>
              </w:rPr>
              <w:t>Napomena: Sustav zaštite od udara munje ne smije se upotrebljavati za uzemljenje fotonaponske konstrukcije.</w:t>
            </w:r>
            <w:bookmarkEnd w:id="3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34" w:name="_Toc176854575"/>
            <w:r>
              <w:rPr>
                <w:rFonts w:ascii="Arial" w:hAnsi="Arial"/>
                <w:sz w:val="18"/>
              </w:rPr>
              <w:t>Inspekcija Scope 12</w:t>
            </w:r>
            <w:bookmarkEnd w:id="3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35" w:name="_Toc176854576"/>
            <w:r>
              <w:rPr>
                <w:rFonts w:ascii="Arial" w:hAnsi="Arial"/>
                <w:sz w:val="18"/>
              </w:rPr>
              <w:t>5.5.</w:t>
            </w:r>
            <w:bookmarkEnd w:id="3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36" w:name="_Toc176854577"/>
            <w:r>
              <w:rPr>
                <w:rFonts w:ascii="Arial" w:hAnsi="Arial"/>
                <w:b/>
                <w:color w:val="000000"/>
                <w:sz w:val="18"/>
              </w:rPr>
              <w:t xml:space="preserve">Razlike u proširenju. </w:t>
            </w:r>
            <w:r>
              <w:rPr>
                <w:rFonts w:ascii="Arial" w:hAnsi="Arial"/>
                <w:color w:val="000000"/>
                <w:sz w:val="18"/>
              </w:rPr>
              <w:t>Kontaktne površine između krova i fotonaponske ugradbene konstrukcije moraju biti projektirane tako da se krov ne ošteti zbog razlika u termalnoj ekspanziji između ugradbene konstrukcije i krova.</w:t>
            </w:r>
            <w:bookmarkEnd w:id="3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37" w:name="_Toc176854578"/>
            <w:r>
              <w:rPr>
                <w:rFonts w:ascii="Arial" w:hAnsi="Arial"/>
                <w:sz w:val="18"/>
              </w:rPr>
              <w:t>Na primjer, mogle bi biti zaštićene slojem gume ispod metalnih nogica.</w:t>
            </w:r>
            <w:bookmarkEnd w:id="3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38" w:name="_Toc176854579"/>
            <w:r>
              <w:rPr>
                <w:rFonts w:ascii="Arial" w:hAnsi="Arial"/>
                <w:sz w:val="18"/>
              </w:rPr>
              <w:t>Provjera dizajna</w:t>
            </w:r>
            <w:bookmarkEnd w:id="3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39" w:name="_Toc176854580"/>
            <w:r>
              <w:rPr>
                <w:rFonts w:ascii="Arial" w:hAnsi="Arial"/>
                <w:sz w:val="18"/>
              </w:rPr>
              <w:t>5.6.</w:t>
            </w:r>
            <w:bookmarkEnd w:id="3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40" w:name="_Toc176854581"/>
            <w:r>
              <w:rPr>
                <w:rFonts w:ascii="Arial" w:hAnsi="Arial"/>
                <w:b/>
                <w:color w:val="000000"/>
                <w:sz w:val="18"/>
              </w:rPr>
              <w:t xml:space="preserve">Sprječavanje curenja i oštećenja krova. </w:t>
            </w:r>
            <w:r>
              <w:rPr>
                <w:rFonts w:ascii="Arial" w:hAnsi="Arial"/>
                <w:color w:val="000000"/>
                <w:sz w:val="18"/>
              </w:rPr>
              <w:t>Ako je potrebno, izvođač mora zaštititi krov od oštećenja i curenja tijekom radova.</w:t>
            </w:r>
            <w:bookmarkEnd w:id="40"/>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41" w:name="_Toc176854582"/>
            <w:r>
              <w:rPr>
                <w:rFonts w:ascii="Arial" w:hAnsi="Arial"/>
                <w:sz w:val="18"/>
              </w:rPr>
              <w:t xml:space="preserve">Ako je potrebno, izvođač može zaštititi pješačke staze na krovu zaštitnim slojem. Skladišni prostori na krovovima mogu se zaštititi na sličan način. Najveća dopuštena težina krova, posebno u slučaju skladišnih </w:t>
            </w:r>
            <w:r>
              <w:rPr>
                <w:rFonts w:ascii="Arial" w:hAnsi="Arial"/>
                <w:sz w:val="18"/>
              </w:rPr>
              <w:lastRenderedPageBreak/>
              <w:t>prostora, ne smije se prekoračiti.</w:t>
            </w:r>
            <w:bookmarkEnd w:id="41"/>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42" w:name="_Toc176854583"/>
            <w:r>
              <w:rPr>
                <w:rFonts w:ascii="Arial" w:hAnsi="Arial"/>
                <w:sz w:val="18"/>
              </w:rPr>
              <w:lastRenderedPageBreak/>
              <w:t>Inspekcija Scope 12</w:t>
            </w:r>
            <w:bookmarkEnd w:id="4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43" w:name="_Toc176854584"/>
            <w:r>
              <w:rPr>
                <w:rFonts w:ascii="Arial" w:hAnsi="Arial"/>
                <w:color w:val="000000"/>
                <w:sz w:val="18"/>
              </w:rPr>
              <w:t xml:space="preserve">Ako dođe do oštećenja ili curenja uzrokovanih fotonaponskom instalacijom ili radovima, troškove </w:t>
            </w:r>
            <w:r>
              <w:rPr>
                <w:rFonts w:ascii="Arial" w:hAnsi="Arial"/>
                <w:color w:val="000000"/>
                <w:sz w:val="18"/>
              </w:rPr>
              <w:lastRenderedPageBreak/>
              <w:t>popravka snosi izvođač.</w:t>
            </w:r>
            <w:bookmarkEnd w:id="43"/>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44" w:name="_Toc176854585"/>
            <w:r>
              <w:rPr>
                <w:rFonts w:ascii="Arial" w:hAnsi="Arial"/>
                <w:sz w:val="18"/>
              </w:rPr>
              <w:lastRenderedPageBreak/>
              <w:t>5.7.</w:t>
            </w:r>
            <w:bookmarkEnd w:id="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45" w:name="_Toc176854586"/>
            <w:r>
              <w:rPr>
                <w:rFonts w:ascii="Arial" w:hAnsi="Arial"/>
                <w:b/>
                <w:color w:val="000000"/>
                <w:sz w:val="18"/>
              </w:rPr>
              <w:t xml:space="preserve">Odvodnja </w:t>
            </w:r>
            <w:r>
              <w:rPr>
                <w:rFonts w:ascii="Arial" w:hAnsi="Arial"/>
                <w:color w:val="000000"/>
                <w:sz w:val="18"/>
              </w:rPr>
              <w:t>Materijal za montažu ne smije ometati odvodnju krova ili fasade tako da uzrokuje lokve do kojih inače ne bi došlo da nema materijala za montažu.</w:t>
            </w:r>
            <w:bookmarkEnd w:id="4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46" w:name="_Toc176854587"/>
            <w:r>
              <w:rPr>
                <w:rFonts w:ascii="Arial" w:hAnsi="Arial"/>
                <w:sz w:val="18"/>
              </w:rPr>
              <w:t>Provjera dizajna</w:t>
            </w:r>
            <w:bookmarkEnd w:id="4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47" w:name="_Toc176854588"/>
            <w:r>
              <w:rPr>
                <w:rFonts w:ascii="Arial" w:hAnsi="Arial"/>
                <w:b/>
                <w:color w:val="000000"/>
              </w:rPr>
              <w:t xml:space="preserve">Građevinski zahtjevi </w:t>
            </w:r>
            <w:r>
              <w:rPr>
                <w:rFonts w:ascii="Arial" w:hAnsi="Arial"/>
                <w:b/>
                <w:color w:val="7030A0"/>
              </w:rPr>
              <w:t>u slučaju fotonaponske instalacije na tlu</w:t>
            </w:r>
            <w:bookmarkEnd w:id="47"/>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48" w:name="_Toc176854589"/>
            <w:r>
              <w:rPr>
                <w:rFonts w:ascii="Arial" w:hAnsi="Arial"/>
                <w:sz w:val="18"/>
              </w:rPr>
              <w:t>5.8.</w:t>
            </w:r>
            <w:bookmarkEnd w:id="4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49" w:name="_Toc176854590"/>
            <w:r>
              <w:rPr>
                <w:rFonts w:ascii="Arial" w:hAnsi="Arial"/>
                <w:b/>
                <w:color w:val="000000"/>
                <w:sz w:val="18"/>
              </w:rPr>
              <w:t xml:space="preserve">Konstrukcija mora moći izdržati očekivano opterećenje. </w:t>
            </w:r>
            <w:r>
              <w:rPr>
                <w:rFonts w:ascii="Arial" w:hAnsi="Arial"/>
                <w:color w:val="000000"/>
                <w:sz w:val="18"/>
              </w:rPr>
              <w:t>Konstrukcija i konstrukcijski materijal moraju biti u skladu s normom NEN 7250 i Eurokodom 1 (EN 1991-1-4). Nakon dodjele, ali prije početka ugradnje.</w:t>
            </w:r>
            <w:bookmarkEnd w:id="4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50" w:name="_Toc176854591"/>
            <w:r>
              <w:rPr>
                <w:rFonts w:ascii="Arial" w:hAnsi="Arial"/>
                <w:sz w:val="18"/>
              </w:rPr>
              <w:t>Dobavljači krovnih konstrukcija za pričvršćivanje obično imaju softver ili mrežnu aplikaciju koja može izračunati balast potreban za ispunjavanje tih standarda.</w:t>
            </w:r>
            <w:bookmarkEnd w:id="50"/>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51" w:name="_Toc176854592"/>
            <w:r>
              <w:rPr>
                <w:rFonts w:ascii="Arial" w:hAnsi="Arial"/>
                <w:sz w:val="18"/>
              </w:rPr>
              <w:t>Izvješće o predloženom dizajnu iz softvera ili mežne aplikacije dobavljača konstrukcije za pričvršćivanje, koje se dostavlja izvođaču prije ugradnje.</w:t>
            </w:r>
            <w:bookmarkEnd w:id="51"/>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52" w:name="_Toc176854593"/>
            <w:r>
              <w:rPr>
                <w:rFonts w:ascii="Arial" w:hAnsi="Arial"/>
                <w:sz w:val="18"/>
              </w:rPr>
              <w:t>5.9.</w:t>
            </w:r>
            <w:bookmarkEnd w:id="5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53" w:name="_Toc176854594"/>
            <w:r>
              <w:rPr>
                <w:rFonts w:ascii="Arial" w:hAnsi="Arial"/>
                <w:b/>
                <w:color w:val="000000"/>
                <w:sz w:val="18"/>
              </w:rPr>
              <w:t>Zaštita temelja.</w:t>
            </w:r>
            <w:r>
              <w:rPr>
                <w:rFonts w:ascii="Arial" w:hAnsi="Arial"/>
                <w:color w:val="000000"/>
                <w:sz w:val="18"/>
              </w:rPr>
              <w:t xml:space="preserve"> Komponente (npr. čelični stupovi) koje ulaze u tlo zaštićene su od korozije koja može biti uzrokovana pH-vrijednošću tla tako da se može očekivati životni vijek od najmanje 25 godina.</w:t>
            </w:r>
            <w:bookmarkEnd w:id="53"/>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54" w:name="_Toc176854595"/>
            <w:r>
              <w:rPr>
                <w:rFonts w:ascii="Arial" w:hAnsi="Arial"/>
                <w:b/>
                <w:color w:val="0070C0"/>
                <w:sz w:val="18"/>
              </w:rPr>
              <w:t>pH vrijednost tla je ...</w:t>
            </w:r>
            <w:bookmarkEnd w:id="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55" w:name="_Toc176854596"/>
            <w:r>
              <w:rPr>
                <w:rFonts w:ascii="Arial" w:hAnsi="Arial"/>
                <w:sz w:val="18"/>
              </w:rPr>
              <w:t>Preporuka je da se kiselosti tla odredi tijekom preliminarne studije. Time se određuje vrsta premaza koji će se nanijeti (npr. x μm ZnMg)</w:t>
            </w:r>
            <w:bookmarkEnd w:id="55"/>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56" w:name="_Toc176854597"/>
            <w:r>
              <w:rPr>
                <w:rFonts w:ascii="Arial" w:hAnsi="Arial"/>
                <w:sz w:val="18"/>
              </w:rPr>
              <w:t>Inspekcija Scope 12</w:t>
            </w:r>
            <w:bookmarkEnd w:id="5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57" w:name="_Toc176854598"/>
            <w:r>
              <w:rPr>
                <w:rFonts w:ascii="Arial" w:hAnsi="Arial"/>
                <w:b/>
                <w:color w:val="000000"/>
              </w:rPr>
              <w:t xml:space="preserve">Građevinski zahtjevi </w:t>
            </w:r>
            <w:r>
              <w:rPr>
                <w:rFonts w:ascii="Arial" w:hAnsi="Arial"/>
                <w:b/>
                <w:color w:val="00B0F0"/>
              </w:rPr>
              <w:t>u slučaju fotonaponskih sustava na vodi</w:t>
            </w:r>
            <w:bookmarkEnd w:id="57"/>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58" w:name="_Toc176854599"/>
            <w:r>
              <w:rPr>
                <w:rFonts w:ascii="Arial" w:hAnsi="Arial"/>
                <w:b/>
                <w:color w:val="FF0000"/>
                <w:sz w:val="18"/>
              </w:rPr>
              <w:t xml:space="preserve">Napomena: plutajuće fotonaponske strukture relativno su nova pojava, čak i na unutarnjim plovnim putovima. Standardi i postupci za ispitivanje djelovanja vjetra i valova još su u izradi. Obratite se konzorciju Zon op Water [sunce na vodi] na internetskim stranicama: </w:t>
            </w:r>
            <w:hyperlink r:id="rId12" w:history="1">
              <w:r>
                <w:rPr>
                  <w:rStyle w:val="Hyperlink"/>
                  <w:rFonts w:ascii="Arial" w:hAnsi="Arial"/>
                  <w:b/>
                  <w:sz w:val="18"/>
                </w:rPr>
                <w:t>www.zonopwater.nl</w:t>
              </w:r>
              <w:bookmarkEnd w:id="58"/>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59" w:name="_Toc176854600"/>
            <w:r>
              <w:rPr>
                <w:rFonts w:ascii="Arial" w:hAnsi="Arial"/>
                <w:sz w:val="18"/>
              </w:rPr>
              <w:lastRenderedPageBreak/>
              <w:t>5.10.</w:t>
            </w:r>
            <w:bookmarkEnd w:id="5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60" w:name="_Toc176854601"/>
            <w:r>
              <w:rPr>
                <w:rFonts w:ascii="Arial" w:hAnsi="Arial"/>
                <w:b/>
                <w:color w:val="000000"/>
                <w:sz w:val="18"/>
              </w:rPr>
              <w:t xml:space="preserve">Dizajn. </w:t>
            </w:r>
            <w:r>
              <w:rPr>
                <w:rFonts w:ascii="Arial" w:hAnsi="Arial"/>
                <w:color w:val="000000"/>
                <w:sz w:val="18"/>
              </w:rPr>
              <w:t>Konstrukcija i konstrukcijski materijal moraju moći izdržati odgovarajuće djelovanje vjetra.</w:t>
            </w:r>
            <w:bookmarkEnd w:id="60"/>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61" w:name="_Toc176854602"/>
            <w:r>
              <w:rPr>
                <w:rFonts w:ascii="Arial" w:hAnsi="Arial"/>
                <w:b/>
                <w:color w:val="0070C0"/>
                <w:sz w:val="18"/>
              </w:rPr>
              <w:t>Potrebno utvrditi</w:t>
            </w:r>
            <w:bookmarkEnd w:id="6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62" w:name="_Toc176854603"/>
            <w:r>
              <w:rPr>
                <w:rFonts w:ascii="Arial" w:hAnsi="Arial"/>
                <w:sz w:val="18"/>
              </w:rPr>
              <w:t>Standardi su još uvijek u izradi. O tome će se odlučiti nakon savjetovanja s tehničkim savjetnikom, u velikoj mjeri ovisno o lokaciji.</w:t>
            </w:r>
            <w:bookmarkEnd w:id="62"/>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63" w:name="_Toc176854604"/>
            <w:r>
              <w:rPr>
                <w:rFonts w:ascii="Arial" w:hAnsi="Arial"/>
                <w:sz w:val="18"/>
              </w:rPr>
              <w:t>5.11.</w:t>
            </w:r>
            <w:bookmarkEnd w:id="63"/>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64" w:name="_Toc176854605"/>
            <w:r>
              <w:rPr>
                <w:rFonts w:ascii="Arial" w:hAnsi="Arial"/>
                <w:b/>
                <w:color w:val="000000"/>
                <w:sz w:val="18"/>
              </w:rPr>
              <w:t xml:space="preserve">Dizajn. </w:t>
            </w:r>
            <w:r>
              <w:rPr>
                <w:rFonts w:ascii="Arial" w:hAnsi="Arial"/>
                <w:color w:val="000000"/>
                <w:sz w:val="18"/>
              </w:rPr>
              <w:t>Konstrukcija, građevinski materijal i sidrenje moraju moći izdržati odgovarajuće djelovanje valova.</w:t>
            </w:r>
            <w:bookmarkEnd w:id="64"/>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65" w:name="_Toc176854606"/>
            <w:r>
              <w:rPr>
                <w:rFonts w:ascii="Arial" w:hAnsi="Arial"/>
                <w:b/>
                <w:color w:val="0070C0"/>
                <w:sz w:val="18"/>
              </w:rPr>
              <w:t>Potrebno utvrditi</w:t>
            </w:r>
            <w:bookmarkEnd w:id="6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66" w:name="_Toc176854607"/>
            <w:r>
              <w:rPr>
                <w:rFonts w:ascii="Arial" w:hAnsi="Arial"/>
                <w:sz w:val="18"/>
              </w:rPr>
              <w:t>Standardi su još uvijek u izradi. O tome će se odlučiti nakon savjetovanja s tehničkim savjetnikom, u velikoj mjeri ovisno o lokaciji.</w:t>
            </w:r>
            <w:bookmarkEnd w:id="66"/>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67" w:name="_Toc176854608"/>
            <w:r>
              <w:rPr>
                <w:rFonts w:ascii="Arial" w:hAnsi="Arial"/>
                <w:b/>
              </w:rPr>
              <w:t>Materijali</w:t>
            </w:r>
            <w:bookmarkEnd w:id="67"/>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68" w:name="_Toc176854609"/>
            <w:r>
              <w:rPr>
                <w:rFonts w:ascii="Arial" w:hAnsi="Arial"/>
                <w:sz w:val="18"/>
              </w:rPr>
              <w:t>5.12.</w:t>
            </w:r>
            <w:bookmarkEnd w:id="6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69" w:name="_Toc176854610"/>
            <w:r>
              <w:rPr>
                <w:rFonts w:ascii="Arial" w:hAnsi="Arial"/>
                <w:b/>
                <w:sz w:val="18"/>
              </w:rPr>
              <w:t>Čelični dijelovi moraju biti zaštićeni od korozije.</w:t>
            </w:r>
            <w:bookmarkEnd w:id="6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70" w:name="_Toc176854611"/>
            <w:r>
              <w:rPr>
                <w:rFonts w:ascii="Arial" w:hAnsi="Arial"/>
                <w:sz w:val="18"/>
              </w:rPr>
              <w:t>5.13.</w:t>
            </w:r>
            <w:bookmarkEnd w:id="7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71" w:name="_Toc176854612"/>
            <w:r>
              <w:rPr>
                <w:rFonts w:ascii="Arial" w:hAnsi="Arial"/>
                <w:b/>
                <w:sz w:val="18"/>
              </w:rPr>
              <w:t>Spojni elementi moraju biti u skladu s normom NEN-EN-ISO 10683.</w:t>
            </w:r>
            <w:bookmarkEnd w:id="7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72" w:name="_Toc176854613"/>
            <w:r>
              <w:rPr>
                <w:rFonts w:ascii="Arial" w:hAnsi="Arial"/>
                <w:color w:val="000000"/>
                <w:sz w:val="18"/>
              </w:rPr>
              <w:t xml:space="preserve">NEN-EN-ISO 10683: </w:t>
            </w:r>
            <w:r>
              <w:rPr>
                <w:rFonts w:ascii="Arial" w:hAnsi="Arial"/>
                <w:i/>
                <w:color w:val="000000"/>
                <w:sz w:val="18"/>
              </w:rPr>
              <w:t>Spojni elementi – Neelektrolitički nanesene cinčane prevlake</w:t>
            </w:r>
            <w:bookmarkEnd w:id="72"/>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73" w:name="_Toc176854614"/>
            <w:r>
              <w:rPr>
                <w:rFonts w:ascii="Arial" w:hAnsi="Arial"/>
                <w:sz w:val="18"/>
              </w:rPr>
              <w:t>5.14.</w:t>
            </w:r>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74" w:name="_Toc176854615"/>
            <w:r>
              <w:rPr>
                <w:rFonts w:ascii="Arial" w:hAnsi="Arial"/>
                <w:b/>
                <w:sz w:val="18"/>
              </w:rPr>
              <w:t>Materijali se moraju odabrati tako da nema štetnih učinaka zbog različite plemenitosti upotrijebljenih metala i materijala.</w:t>
            </w:r>
            <w:bookmarkEnd w:id="74"/>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75" w:name="_Toc176854616"/>
            <w:r>
              <w:rPr>
                <w:rFonts w:ascii="Arial" w:hAnsi="Arial"/>
                <w:sz w:val="18"/>
              </w:rPr>
              <w:t>Na primjer: prisutnost određenih čeličnih legura u izravnom mehaničkom dodiru s aluminijskim dijelovima može dovesti do galvanske korozije pri određenim omjerima masa.</w:t>
            </w:r>
            <w:bookmarkEnd w:id="75"/>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76" w:name="_Toc176854617"/>
            <w:r>
              <w:rPr>
                <w:rFonts w:ascii="Arial" w:hAnsi="Arial"/>
                <w:sz w:val="18"/>
              </w:rPr>
              <w:t>5.15.</w:t>
            </w:r>
            <w:bookmarkEnd w:id="7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77" w:name="_Toc176854618"/>
            <w:r>
              <w:rPr>
                <w:rFonts w:ascii="Arial" w:hAnsi="Arial"/>
                <w:b/>
                <w:sz w:val="18"/>
              </w:rPr>
              <w:t>Čvrstoća konstrukcije, kako je navedeno u normi NEN-EN 1990, mora biti dovoljna tijekom cijelog razdoblja uporabe.</w:t>
            </w:r>
            <w:bookmarkEnd w:id="77"/>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78" w:name="_Toc176854619"/>
            <w:r>
              <w:rPr>
                <w:rFonts w:ascii="Arial" w:hAnsi="Arial"/>
                <w:color w:val="000000"/>
                <w:sz w:val="18"/>
              </w:rPr>
              <w:t xml:space="preserve">NEN-EN 1990: </w:t>
            </w:r>
            <w:r>
              <w:rPr>
                <w:rFonts w:ascii="Arial" w:hAnsi="Arial"/>
                <w:i/>
                <w:color w:val="000000"/>
                <w:sz w:val="18"/>
              </w:rPr>
              <w:t xml:space="preserve">Eurokod – Osnova projektiranja konstrukcije </w:t>
            </w:r>
            <w:r>
              <w:rPr>
                <w:rFonts w:ascii="Arial" w:hAnsi="Arial"/>
                <w:color w:val="000000"/>
                <w:sz w:val="18"/>
              </w:rPr>
              <w:t>Tom se normom utvrđuju osnovni zahtjevi za sigurnost, upotrebljivost i trajnost konstrukcija, definiraju se načela projektiranja, izračuna i ispitivanja te se daju smjernice o povezanim aspektima pouzdanosti konstrukcije.</w:t>
            </w:r>
            <w:bookmarkEnd w:id="78"/>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79" w:name="_Toc176854620"/>
            <w:r>
              <w:rPr>
                <w:rFonts w:ascii="Arial" w:hAnsi="Arial"/>
                <w:b/>
                <w:color w:val="0070C0"/>
              </w:rPr>
              <w:t>Nije obvezno</w:t>
            </w:r>
            <w:bookmarkEnd w:id="79"/>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80" w:name="_Toc176854621"/>
            <w:r>
              <w:rPr>
                <w:rFonts w:ascii="Arial" w:hAnsi="Arial"/>
                <w:sz w:val="18"/>
              </w:rPr>
              <w:lastRenderedPageBreak/>
              <w:t>5.16.</w:t>
            </w:r>
            <w:bookmarkEnd w:id="80"/>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81" w:name="_Toc176854622"/>
            <w:r>
              <w:rPr>
                <w:rFonts w:ascii="Arial" w:hAnsi="Arial"/>
                <w:b/>
                <w:color w:val="000000"/>
                <w:sz w:val="18"/>
              </w:rPr>
              <w:t>Boja vidljivih dijelova spojne strukture</w:t>
            </w:r>
            <w:bookmarkEnd w:id="8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82" w:name="_Toc176854623"/>
            <w:r>
              <w:rPr>
                <w:rFonts w:ascii="Arial" w:hAnsi="Arial"/>
                <w:b/>
                <w:sz w:val="18"/>
              </w:rPr>
              <w:t>?</w:t>
            </w:r>
            <w:bookmarkEnd w:id="82"/>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83" w:name="_Toc176854624"/>
            <w:r>
              <w:rPr>
                <w:rFonts w:ascii="Arial" w:hAnsi="Arial"/>
                <w:sz w:val="18"/>
              </w:rPr>
              <w:t>Nije obvezno za montažu na kosim krovovima.</w:t>
            </w:r>
            <w:bookmarkEnd w:id="83"/>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84" w:name="_Toc176854625"/>
            <w:r>
              <w:rPr>
                <w:rFonts w:ascii="Arial" w:hAnsi="Arial"/>
                <w:sz w:val="18"/>
              </w:rPr>
              <w:t>5.17.</w:t>
            </w:r>
            <w:bookmarkEnd w:id="84"/>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85" w:name="_Toc176854626"/>
            <w:r>
              <w:rPr>
                <w:rFonts w:ascii="Arial" w:hAnsi="Arial"/>
                <w:b/>
                <w:sz w:val="18"/>
              </w:rPr>
              <w:t>Spojevi između komponenti moraju biti takvi da pomažu spriječiti krađu.</w:t>
            </w:r>
            <w:bookmarkEnd w:id="8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86" w:name="_Toc176854627"/>
            <w:r>
              <w:rPr>
                <w:rFonts w:ascii="Arial" w:hAnsi="Arial"/>
                <w:b/>
                <w:sz w:val="18"/>
              </w:rPr>
              <w:t>?</w:t>
            </w:r>
            <w:bookmarkEnd w:id="86"/>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87" w:name="_Toc176854628"/>
            <w:r>
              <w:rPr>
                <w:rFonts w:ascii="Arial" w:hAnsi="Arial"/>
                <w:color w:val="000000"/>
                <w:sz w:val="18"/>
              </w:rPr>
              <w:t>Nije obvezno za udaljene lokacije: kako bi se spriječila krađa, spojevi se ne smiju moći odvojiti standardnim alatima.</w:t>
            </w:r>
            <w:bookmarkEnd w:id="87"/>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644DBC"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644DBC"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644DBC"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644DBC"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644DBC"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644DBC"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644DBC"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904945">
      <w:pPr>
        <w:pStyle w:val="MH2"/>
      </w:pPr>
      <w:bookmarkStart w:id="88" w:name="_Toc177478489"/>
      <w:r>
        <w:t>10.6 – Zahtjevi – Konstrukcija za pričvršćivanje</w:t>
      </w:r>
      <w:bookmarkEnd w:id="88"/>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655"/>
        <w:gridCol w:w="2696"/>
        <w:gridCol w:w="1819"/>
        <w:gridCol w:w="36"/>
        <w:gridCol w:w="289"/>
        <w:gridCol w:w="689"/>
        <w:gridCol w:w="2156"/>
        <w:gridCol w:w="1758"/>
        <w:gridCol w:w="503"/>
        <w:gridCol w:w="1057"/>
        <w:gridCol w:w="1203"/>
        <w:gridCol w:w="1081"/>
        <w:gridCol w:w="384"/>
        <w:gridCol w:w="262"/>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904945">
            <w:pPr>
              <w:pStyle w:val="MH3"/>
            </w:pPr>
            <w:bookmarkStart w:id="89" w:name="_Toc177478490"/>
            <w:r>
              <w:t>Zahtjevi – dovršetak, inspekcija i provjere</w:t>
            </w:r>
            <w:bookmarkEnd w:id="89"/>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Upute za naručitelje</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Predložak zahtjeva i kriterija za dodjelu za fotonaponske projekte</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Izmijenite žuta polja s plavim tekstom</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Verzija: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Neobvezni zahtjevi u ružičastim poljima: izbrišite upitnik u stupcu C ako taj zahtjev nije uključen. U protivnom upišite „da” ili „1”. Broj zahtjeva zatim će se izbrisati, a numeriranje sljedećih zahtjeva automatski će se prilagoditi.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Objavio: Grupa kupaca za održivu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U prazna polja upišite sve dodatne zahtjeve. Ako su umetnuti dodatni redci, prilagodite formule za automatsko numeriranje u stupcima A i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Povratne informacije/pogreške/dodaci: Poslati e-poruku na </w:t>
            </w:r>
            <w:hyperlink r:id="rId13" w:history="1">
              <w:r>
                <w:rPr>
                  <w:rStyle w:val="Hyperlink"/>
                  <w:rFonts w:ascii="Arial" w:hAnsi="Arial"/>
                  <w:color w:val="104D54"/>
                  <w:sz w:val="16"/>
                </w:rPr>
                <w:t>BGDPV@pianoo.nl</w:t>
              </w:r>
            </w:hyperlink>
          </w:p>
          <w:p w14:paraId="37FEE408" w14:textId="77777777" w:rsidR="00CE1B5F" w:rsidRPr="00904945" w:rsidRDefault="00CE1B5F" w:rsidP="001A0646">
            <w:pPr>
              <w:spacing w:line="240" w:lineRule="auto"/>
              <w:rPr>
                <w:rFonts w:ascii="Arial" w:hAnsi="Arial" w:cs="Arial"/>
                <w:color w:val="808080"/>
                <w:sz w:val="16"/>
                <w:szCs w:val="16"/>
                <w:lang w:val="da-DK" w:eastAsia="en-GB"/>
              </w:rPr>
            </w:pPr>
          </w:p>
          <w:p w14:paraId="23F5E4D4" w14:textId="77777777" w:rsidR="00CE1B5F" w:rsidRPr="00904945" w:rsidRDefault="00CE1B5F" w:rsidP="001A0646">
            <w:pPr>
              <w:spacing w:line="240" w:lineRule="auto"/>
              <w:rPr>
                <w:rFonts w:ascii="Arial" w:hAnsi="Arial" w:cs="Arial"/>
                <w:color w:val="808080"/>
                <w:sz w:val="16"/>
                <w:szCs w:val="16"/>
                <w:lang w:val="da-DK"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Kad budete spremni, sakrijte stupce D i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Identifikacijska oznaka</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Opis zahtjeva</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Vrijednost</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Uključiti zahtjev?</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Objašnjenje za naručitelja</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Objašnjenje za ponuditelja</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Verifikacija i validacija</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Posljedice loših</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rezultata</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Izvješće o dovršetku</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Po dovršetku se mora dostaviti dokument o dovršetku </w:t>
            </w:r>
            <w:r>
              <w:rPr>
                <w:rFonts w:ascii="Arial" w:hAnsi="Arial"/>
                <w:b/>
                <w:color w:val="000000"/>
                <w:sz w:val="20"/>
                <w:u w:val="single"/>
              </w:rPr>
              <w:t>za svaku lokaciju</w:t>
            </w:r>
            <w:r>
              <w:rPr>
                <w:rFonts w:ascii="Arial" w:hAnsi="Arial"/>
                <w:b/>
                <w:color w:val="000000"/>
                <w:sz w:val="20"/>
              </w:rPr>
              <w:t xml:space="preserve"> u obliku „izvedbene” datoteke. Datoteka mora sadržavati sljedeće informacije:</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Usporedite izvješće o dovršetku s prethodno podnesenim dizajnom</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Vratite odstupanja na projektiranu vrijednost, ako naručitelj smatra da je to potrebno</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Ime i adresa uvoznika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Upute za uporabu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Sigurnosne upute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Troškovnici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Raspored ploča, invertera i nizova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Shematski dijagrami.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Potporna struktura</w:t>
            </w:r>
            <w:r>
              <w:rPr>
                <w:rFonts w:ascii="Arial" w:hAnsi="Arial"/>
                <w:color w:val="000000"/>
                <w:sz w:val="20"/>
              </w:rPr>
              <w:t>: tehničke specifikacije, izjava o stabilnosti, jamstva i certifikati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bCs/>
                <w:color w:val="000000"/>
                <w:sz w:val="20"/>
              </w:rPr>
              <w:t>Solarne ploče</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tehnički list s tehničkim specifikacijama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pojednostavnjena procjena ugljika koju izdaje Certisolis u skladu s normom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jamstvo za proizvod + jamstvo za radni učinak</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popis serijskih brojeva ploče + podaci o ispitivanju dielektričke čvrstoće (I-V krivulja) za svaki serijski broj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upute za montažu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ako se upotrebljava plastična stražnja stranica, a u tehničkom listu se </w:t>
            </w:r>
            <w:r>
              <w:rPr>
                <w:rFonts w:ascii="Arial" w:hAnsi="Arial"/>
                <w:i/>
                <w:iCs/>
                <w:color w:val="000000"/>
                <w:sz w:val="20"/>
              </w:rPr>
              <w:t>ne</w:t>
            </w:r>
            <w:r>
              <w:rPr>
                <w:rFonts w:ascii="Arial" w:hAnsi="Arial"/>
                <w:color w:val="000000"/>
                <w:sz w:val="20"/>
              </w:rPr>
              <w:t xml:space="preserve"> navode materijali korišteni za nju, potrebna je potvrda „bez PFAS-a”.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Potvrda „bez PFAS-a” dokument je koji je sastavio i potpisao proizvođač i u kojem su navedeni materijali upotrijebljeni za stražnju stranu i kojim se potvrđuje da ona ne sadržava PFAS-e.</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Tehnički savjetnik naručitelja</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Električna instalacija, istosmjerna strana: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izračuni za kabele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shematski dijagram niza i kodiranja ili oznaka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tehničke specifikacije za kabele, priključke i spojne kutije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certifikati za kabliranje i priključke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Električna instalacija, strana izmjenične struje: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izračuni za kabele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shematski dijagrami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tehničke specifikacije za zaštitu od isključivanja iz mreže, releje, prekidače, prenaponsku zaštitu, upotrijebljene sklopke, osigurače i kabele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Inverter(i):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Tehničke specifikacije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jamstva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upute za uporabu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serijski broj s oznakom po inverteru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Podaci o praćenju</w:t>
            </w:r>
            <w:r>
              <w:rPr>
                <w:rFonts w:ascii="Arial" w:hAnsi="Arial"/>
                <w:color w:val="000000"/>
                <w:sz w:val="20"/>
              </w:rPr>
              <w:t>; tehničke specifikacije za napravu za bilježenje podataka, podaci za prijavu i priručnik s uputama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Jamstva za prinose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Dokaz o registraciji kod mrežnog operatora i </w:t>
            </w:r>
            <w:r>
              <w:rPr>
                <w:rFonts w:ascii="Arial" w:hAnsi="Arial"/>
                <w:b/>
                <w:color w:val="000000"/>
                <w:sz w:val="20"/>
              </w:rPr>
              <w:lastRenderedPageBreak/>
              <w:t>mjernog poduzeća (Het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 kod za mrežno napajanje</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Nije obvezno: za fotonaponske instalacije snage veće od 1 MWp</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Izvođač mora prihvatiti PAC (potvrdu o privremenom preuzimanju) nakon inspekcije Scope 12 i početi rješavati popis nesukladnosti.</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U PAC-u se daje pregled većih i manjih nesukladnosti prema mišljenju tehničkog savjetnika te se utvrđuju pitanja koja je potrebno poboljšati prije konačnog prihvaćanja.</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Izvješće o inspekciji SCIOS Scope 12 / tehnički savjetnik</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Poduzeće za ugradnju/EPC/građevinar mora napraviti poboljšanja.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Izvođač mora poduzeti sve potrebne korake kako bi osigurao da se FAC (potvrda o konačnom prihvaćanju) može izdati u roku od ... mjeseci od PAC-a.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unutar x mjeseci</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 je izvješće u kojem se za svaku točku poboljšanja PAC-a navodi je li postignuta prema vlasniku/tehničkom savjetniku. Za to je potrebno sljedeće: moraju biti provedene sve točke poboljšanja u PAC-u, stvarni omjer radne učinkovitosti u posljednjih 30 dana mora biti najmanje 98 % nominalnog omjera radne učinkovitosti (PR</w:t>
            </w:r>
            <w:r>
              <w:rPr>
                <w:rFonts w:ascii="Arial" w:hAnsi="Arial"/>
                <w:color w:val="000000"/>
                <w:sz w:val="20"/>
                <w:vertAlign w:val="subscript"/>
              </w:rPr>
              <w:t>N</w:t>
            </w:r>
            <w:r>
              <w:rPr>
                <w:rFonts w:ascii="Arial" w:hAnsi="Arial"/>
                <w:color w:val="000000"/>
                <w:sz w:val="20"/>
              </w:rPr>
              <w:t xml:space="preserve">, vidjeti kriterije za dodjelu), izvješće o dovršetku mora biti ažurirano „izvedbenom” dokumentacijom.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Izvješće o inspekciji SCIOS Scope 12 / tehnički savjetnik</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Nije obvezno: za fotonaponske instalacije snage veće od 10 MWp</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Ispitivanje uzoraka, kako bi se provjerila snaga i kvaliteta isporučenih solarnih ploča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P_test &gt; 99 % P_proizvođača. 2. Prihvatljivo stanje.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Obično samo za projekte &gt; 10 MWp. Ispitivanje uzoraka uključuje sljedeće: 1. snaga ploča iz uzoraka prema neovisnom I-V ispitivanju mora biti &gt; 99 % snage koju je naveo proizvođač, 2. uzorci moraju biti u prihvatljivom stanju (vizualni pregled, broj mikropukotina prema ispitivanju elektroluminiscencije (EL) itd.).</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 izvješće o podacima i EL slike fotonaponskih modula prema normi IS 2859, broj uzoraka određen prema AQL razini S2 ili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Mora ga odobriti tehnički savjetnik.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Ako su rezultati slabi (&gt; 1 %), moraju se isporučivati dodatne ploče dok stvarna istosmjerna snaga ne bude odgovarala istosmjernoj snazi iz ponude ili se mora primijeniti proporcionalni popust na ukupni trošak projekta.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Tvornička revizija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Ocjena: „Zadovoljavajuća”</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Obično samo za fotonaponske projekte &gt; 10 MWp. Trošak iznosi približno 3 000 – 7 000 EUR. Tvornica u kojoj se proizvode moduli mora se pregledati prije ili tijekom proizvodnje ploča, uključujući provjere kvalitete materijala i proizvodnog procesa.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Default="00534D6F" w:rsidP="00DB3C55">
      <w:pPr>
        <w:rPr>
          <w:b/>
          <w:bCs/>
          <w:color w:val="92D050"/>
        </w:rPr>
      </w:pPr>
    </w:p>
    <w:p w14:paraId="523DFDF9" w14:textId="77777777" w:rsidR="00450E3F" w:rsidRPr="00450E3F" w:rsidRDefault="00450E3F" w:rsidP="00DB3C55">
      <w:pPr>
        <w:rPr>
          <w:b/>
          <w:bCs/>
          <w:color w:val="92D050"/>
        </w:rPr>
      </w:pPr>
    </w:p>
    <w:p w14:paraId="6078ED1A" w14:textId="686F54A0" w:rsidR="00E732CC" w:rsidRDefault="00534D6F" w:rsidP="00904945">
      <w:pPr>
        <w:pStyle w:val="MH2"/>
      </w:pPr>
      <w:bookmarkStart w:id="90" w:name="_Toc177478491"/>
      <w:r>
        <w:lastRenderedPageBreak/>
        <w:t>10.7 – Zahtjevi – dovršetak, inspekcija i provjere</w:t>
      </w:r>
      <w:bookmarkEnd w:id="90"/>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794"/>
        <w:gridCol w:w="2493"/>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904945">
            <w:pPr>
              <w:pStyle w:val="MH2"/>
            </w:pPr>
            <w:bookmarkStart w:id="91" w:name="_Toc177478492"/>
            <w:r>
              <w:t>Zahtjevi – Održavanje i nadzor</w:t>
            </w:r>
            <w:bookmarkEnd w:id="91"/>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Napomena: samo ako se u ugovoru/pozivu na podnošenje ponuda traži održavanje i praćenje</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Predložak zahtjeva i kriterija za dodjelu za fotonaponske projekte</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Upute za naručitelje</w:t>
            </w:r>
            <w:r>
              <w:rPr>
                <w:rFonts w:ascii="Arial" w:hAnsi="Arial"/>
                <w:color w:val="808080"/>
                <w:sz w:val="16"/>
              </w:rPr>
              <w:t xml:space="preserve"> </w:t>
            </w:r>
            <w:r>
              <w:rPr>
                <w:rFonts w:ascii="Arial" w:hAnsi="Arial"/>
                <w:color w:val="808080"/>
                <w:sz w:val="16"/>
              </w:rPr>
              <w:br/>
              <w:t>1. Izmijenite žuta polja s plavim tekstom</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Verzija: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Neobvezni zahtjevi u ružičastim poljima: izbrišite upitnik u stupcu C ako taj zahtjev nije uključen. U protivnom upišite „da” ili „1”. Broj zahtjeva zatim će se izbrisati, a numeriranje sljedećih zahtjeva automatski će se prilagoditi.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Objavio: Grupa kupaca za održivu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U prazna polja upišite sve dodatne zahtjeve. Ako su umetnuti dodatni redci, prilagodite formule za automatsko numeriranje u stupcima A i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Povratne informacije/pogreške/dodaci: poslati e-poruku na e-adresu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Kad budete spremni, sakrijte stupce D i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Identifikacijska oznaka</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Opis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Vrijednost</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Uključiti zahtjev?</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Objašnjenje za naručitelja</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Verifikacija i validacija</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Posljedice loših rezultata</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Održavanje i popravci</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Dostupnost instalacije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Sustavi &lt; 1 MWp: &gt; 98 %;   Sustavi &gt; 1 MWp: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Određuje se u dogovoru sa savjetnikom. Taj zahtjev nije uvijek uključen. Dostupnost znači da je projekt u pogonu 98 % ili 99 % sunčanih sati. Svako održavanje mora biti kratko i kvarovi se moraju brzo otkloniti.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Putem sustava praćenja ili alternativno putem izvješća iz sustava praćenja.</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Nije obvezno: veliki sustavi često uključuju ugovornu kaznu.</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Izmjereni omjer radne učinkovitosti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u razdoblju od jedne godine mora biti najmanje 97 % PR-a</w:t>
            </w:r>
            <w:r>
              <w:rPr>
                <w:rFonts w:ascii="Arial" w:hAnsi="Arial"/>
                <w:color w:val="000000"/>
                <w:sz w:val="18"/>
                <w:vertAlign w:val="subscript"/>
              </w:rPr>
              <w:t>N</w:t>
            </w:r>
            <w:r>
              <w:rPr>
                <w:rFonts w:ascii="Arial" w:hAnsi="Arial"/>
                <w:color w:val="000000"/>
                <w:sz w:val="18"/>
              </w:rPr>
              <w:t xml:space="preserve"> (nominalni PR u skladu s dizajnom, vidjeti radni list 9 – Kriteriji za dodjelu)</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 Taj zahtjev nije uvijek uključen. PR</w:t>
            </w:r>
            <w:r>
              <w:rPr>
                <w:rFonts w:ascii="Arial" w:hAnsi="Arial"/>
                <w:sz w:val="18"/>
                <w:vertAlign w:val="subscript"/>
              </w:rPr>
              <w:t>M</w:t>
            </w:r>
            <w:r>
              <w:rPr>
                <w:rFonts w:ascii="Arial" w:hAnsi="Arial"/>
                <w:sz w:val="18"/>
              </w:rPr>
              <w:t xml:space="preserve"> se određuje dijeljenjem proizvedene energije tijekom jedne godine s ugrađenom fotonaponskom snagom (vršna snaga u vatima istosmjerne struje) i stvarnim ozračivanjem po m</w:t>
            </w:r>
            <w:r>
              <w:rPr>
                <w:rFonts w:ascii="Arial" w:hAnsi="Arial"/>
                <w:sz w:val="18"/>
                <w:vertAlign w:val="superscript"/>
              </w:rPr>
              <w:t>2</w:t>
            </w:r>
            <w:r>
              <w:rPr>
                <w:rFonts w:ascii="Arial" w:hAnsi="Arial"/>
                <w:sz w:val="18"/>
              </w:rPr>
              <w:t xml:space="preserve"> tijekom te godine (prema, na primjer, obližnjoj meteorološkoj postaji Nizozemskog kraljevskog meteorološkog instituta ili mjeraču ozračenja na lokaciji).  </w:t>
            </w:r>
            <w:r>
              <w:rPr>
                <w:rFonts w:ascii="Arial" w:hAnsi="Arial"/>
                <w:sz w:val="18"/>
              </w:rPr>
              <w:lastRenderedPageBreak/>
              <w:t xml:space="preserve">Odstupanja veća od 3 % ukazuju na probleme na instalaciji.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Godišnje putem sustava praćenja ili godišnjeg izvješća iz sustava praćenja</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Nije obvezno: za velike sustave često postoji ugovorna kazna, npr. 60 EUR po MWh proizvodnje koji nedostaje u usporedbi s proizvodnjom koja bi se postigla da je PR</w:t>
            </w:r>
            <w:r>
              <w:rPr>
                <w:rFonts w:ascii="Arial" w:hAnsi="Arial"/>
                <w:color w:val="000000"/>
                <w:sz w:val="18"/>
                <w:vertAlign w:val="subscript"/>
              </w:rPr>
              <w:t>G</w:t>
            </w:r>
            <w:r>
              <w:rPr>
                <w:rFonts w:ascii="Arial" w:hAnsi="Arial"/>
                <w:color w:val="000000"/>
                <w:sz w:val="18"/>
              </w:rPr>
              <w:t xml:space="preserve"> = 97 %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Plan pregleda i održavanja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u kojem se opisuje kako se i koliko često provode pregledi i održavanje.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Korektivno održavanje / sporazum o razini usluge – A.</w:t>
            </w:r>
            <w:r>
              <w:rPr>
                <w:rFonts w:ascii="Arial" w:hAnsi="Arial"/>
                <w:color w:val="000000"/>
                <w:sz w:val="18"/>
              </w:rPr>
              <w:t xml:space="preserve"> U slučaju kvara transformatora, invertera ili nadzornog sustava: istražiti uzrok i predložiti korektivne mjere unutar:</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sustave &gt; 1 MWp: 4 sati; za sustave &gt; 100 kW, &lt; 1 MWp: 24 sata; za sustave &lt; 100 kW: 72 sata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Korektivno održavanje / sporazum o razini usluge – B.</w:t>
            </w:r>
            <w:r>
              <w:rPr>
                <w:rFonts w:ascii="Arial" w:hAnsi="Arial"/>
                <w:color w:val="000000"/>
                <w:sz w:val="18"/>
              </w:rPr>
              <w:t xml:space="preserve"> U slučaju kvara niza ili kvara više od četiri fotonaponska modula, istražite uzrok i predložite korektivne mjere unutar: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sustave &gt; 1 MWp: 24 sata; za sustave &gt; 100 kW, &lt; 1 MWp: 72 sata; za sustave &lt; 100 kW: 1 tjedan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Korektivno održavanje / sporazum o razini usluge – C.</w:t>
            </w:r>
            <w:r>
              <w:rPr>
                <w:rFonts w:ascii="Arial" w:hAnsi="Arial"/>
                <w:color w:val="000000"/>
                <w:sz w:val="18"/>
              </w:rPr>
              <w:t xml:space="preserve"> U slučaju kvara jednog fotonaponskog modula, istražite uzrok i predložite korektivne mjere unutar: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za sustave &gt; 1 MWp: 72 sata; za sustave &gt; 100 kW, &lt; 1 MWp: 1 tjedan za sustave &lt; 100 kW: 1 tjedan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Preventivno održavanje invertera i, ako je potrebno, transformatora.</w:t>
            </w:r>
            <w:r>
              <w:rPr>
                <w:rFonts w:ascii="Arial" w:hAnsi="Arial"/>
                <w:color w:val="000000"/>
                <w:sz w:val="18"/>
              </w:rPr>
              <w:t xml:space="preserve"> Preventivno održavanje transformatora i invertera </w:t>
            </w:r>
            <w:r>
              <w:rPr>
                <w:rFonts w:ascii="Arial" w:hAnsi="Arial"/>
                <w:color w:val="000000"/>
                <w:sz w:val="18"/>
              </w:rPr>
              <w:lastRenderedPageBreak/>
              <w:t xml:space="preserve">koje zahtijeva proizvođač moraju se provesti svaku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godinu / šest mjeseci.</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w:t>
            </w:r>
            <w:r>
              <w:rPr>
                <w:rFonts w:ascii="Arial" w:hAnsi="Arial"/>
                <w:sz w:val="18"/>
              </w:rPr>
              <w:lastRenderedPageBreak/>
              <w:t xml:space="preserve">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Preventivno održavanje solarnih ploča, kabela, konektora, podstrukture. </w:t>
            </w:r>
            <w:r>
              <w:rPr>
                <w:rFonts w:ascii="Arial" w:hAnsi="Arial"/>
                <w:color w:val="000000"/>
                <w:sz w:val="18"/>
              </w:rPr>
              <w:t xml:space="preserve">Provodi se jednako često kao i preventivno održavanje invertera, i to vizualnim pregledom, nakon čega se vrše svi potrebni popravci/prilagodbe na lokaciji.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Potrebno utvrditi</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Čišćenje solarnih ploča. </w:t>
            </w:r>
            <w:r>
              <w:rPr>
                <w:rFonts w:ascii="Arial" w:hAnsi="Arial"/>
                <w:color w:val="000000"/>
                <w:sz w:val="18"/>
              </w:rPr>
              <w:t xml:space="preserve">Provodi se kad se vizualnim pregledom pokaže potrebnim i u skladu s omjerom radne učinkovitosti sustava, a o tome odlučuje stranka odgovorna za održavanje i praćenje.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Potrebno utvrditi</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 Količina padalina u Nizozemskoj obično je dovoljna da bi se ploče automatski čistile, a troškovi čišćenja često su toliki da se ne mogu opravdati dodatnim prinosom. Međutim, ako postoji trajna prljavština, čišćenje može biti korisno. To može biti zbog vremenskih uvjeta, velikog broja ptica na nekim lokacijama, blagog nagiba ploča ili ako su stanice koje se nalaze niže djelomično prekrivene mahovinom/algama.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Održavanje zelenila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Potrebno utvrditi</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Određuje se u dogovoru sa savjetnikom. Zelenilo obično ne smije stršiti iznad modula niti ometati pravilno funkcioniranje ploča.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Unaprijed: plan pregleda i održavanja nakon prve godine: moguće provjere naručitelja kako bi provjerili je li rad obavljen.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Upravljanje zahtjevima na temelju jamstva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Potrebno utvrditi</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u kojem se opisuje tko preuzima odgovornost ako se ploča ili inverter pokvari i kako se podnosi zahtjev.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Praćenje</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Učinkovitost fotonaponskih ploča (kWh po jedinici vremena) mora biti mjerljiva sustavom praćenja na razini niza.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Instalacija za solarnu energiju mora imati sustav za praćenje koji omogućuje daljinsko očitavanje sustava 24 sata dnevno sedam dana u tjednu putem (bežične) veze.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U svakom slučaju, platforma za praćenje mora prikazati sljedeće: </w:t>
            </w:r>
            <w:r>
              <w:rPr>
                <w:rFonts w:ascii="Arial" w:hAnsi="Arial"/>
                <w:b/>
                <w:sz w:val="18"/>
              </w:rPr>
              <w:br/>
              <w:t>– vrijednosti proizvodnje u stvarnom vremenu u kWh po inverteru</w:t>
            </w:r>
            <w:r>
              <w:rPr>
                <w:rFonts w:ascii="Arial" w:hAnsi="Arial"/>
                <w:b/>
                <w:sz w:val="18"/>
              </w:rPr>
              <w:br/>
              <w:t xml:space="preserve">– ukupnu proizvodnju svih invertera u kWh </w:t>
            </w:r>
            <w:r>
              <w:rPr>
                <w:rFonts w:ascii="Arial" w:hAnsi="Arial"/>
                <w:b/>
                <w:sz w:val="18"/>
              </w:rPr>
              <w:br/>
              <w:t>– ukupnu izlaznu snagu izmjenične struje u vatima svih invertera</w:t>
            </w:r>
            <w:r>
              <w:rPr>
                <w:rFonts w:ascii="Arial" w:hAnsi="Arial"/>
                <w:b/>
                <w:sz w:val="18"/>
              </w:rPr>
              <w:br/>
              <w:t>–napon istosmjerne struje u voltima po inverteru</w:t>
            </w:r>
            <w:r>
              <w:rPr>
                <w:rFonts w:ascii="Arial" w:hAnsi="Arial"/>
                <w:b/>
                <w:sz w:val="18"/>
              </w:rPr>
              <w:br/>
              <w:t>– istosmjernu struju u amperima po inverteru</w:t>
            </w:r>
            <w:r>
              <w:rPr>
                <w:rFonts w:ascii="Arial" w:hAnsi="Arial"/>
                <w:b/>
                <w:sz w:val="18"/>
              </w:rPr>
              <w:br/>
              <w:t>– snagu istosmjerne struje u vatima po inverteru</w:t>
            </w:r>
            <w:r>
              <w:rPr>
                <w:rFonts w:ascii="Arial" w:hAnsi="Arial"/>
                <w:b/>
                <w:sz w:val="18"/>
              </w:rPr>
              <w:br/>
              <w:t>– napon izmjenične struje po fazi po inverteru</w:t>
            </w:r>
            <w:r>
              <w:rPr>
                <w:rFonts w:ascii="Arial" w:hAnsi="Arial"/>
                <w:b/>
                <w:sz w:val="18"/>
              </w:rPr>
              <w:br/>
              <w:t>–izmjeničnu struju po fazi po inverteru</w:t>
            </w:r>
            <w:r>
              <w:rPr>
                <w:rFonts w:ascii="Arial" w:hAnsi="Arial"/>
                <w:b/>
                <w:sz w:val="18"/>
              </w:rPr>
              <w:br/>
              <w:t>– radno stanje po inverteru</w:t>
            </w:r>
            <w:r>
              <w:rPr>
                <w:rFonts w:ascii="Arial" w:hAnsi="Arial"/>
                <w:b/>
                <w:sz w:val="18"/>
              </w:rPr>
              <w:br/>
              <w:t xml:space="preserve">– kvarove invertera </w:t>
            </w:r>
            <w:r>
              <w:rPr>
                <w:rFonts w:ascii="Arial" w:hAnsi="Arial"/>
                <w:b/>
                <w:sz w:val="18"/>
              </w:rPr>
              <w:br/>
              <w:t xml:space="preserve">– komunikacijske </w:t>
            </w:r>
            <w:r>
              <w:rPr>
                <w:rFonts w:ascii="Arial" w:hAnsi="Arial"/>
                <w:b/>
                <w:sz w:val="18"/>
              </w:rPr>
              <w:lastRenderedPageBreak/>
              <w:t xml:space="preserve">poteškoće </w:t>
            </w:r>
            <w:r>
              <w:rPr>
                <w:rFonts w:ascii="Arial" w:hAnsi="Arial"/>
                <w:b/>
                <w:sz w:val="18"/>
              </w:rPr>
              <w:br/>
              <w:t xml:space="preserve">– ostvarene vrijednosti u odnosu na očekivane vrijednosti.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Dostupnost sustava za praćenje mora biti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Nije obvezno</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Izvješća o stanju koja sadržavaju podatke iz sustava praćenja za prošli mjesec moraju se poslati u roku od 15 dana nakon kraja mjeseca.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Poduzeće odgovorno za održavanje i praćenje mora imati iskustvo i prethodno upravljati minimalnim brojem fotonaponskih instalacija:</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Poduzeće odgovorno za održavanje i praćenje mora imati dobre rezultate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prosjek &gt; 95 GPR i dostupnost &gt; 98 % u posljednje dvije godine</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Određuje se u dogovoru sa savjetnikom.</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6819D09B" w14:textId="3BC4B201"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3FFF0BFB">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5D9EB7B"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904945">
      <w:pPr>
        <w:pStyle w:val="MH2"/>
      </w:pPr>
      <w:bookmarkStart w:id="92" w:name="_Toc177478493"/>
      <w:r>
        <w:lastRenderedPageBreak/>
        <w:t>10.8 – Zahtjevi – Održavanje i praćenje</w:t>
      </w:r>
      <w:bookmarkEnd w:id="92"/>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904945">
            <w:pPr>
              <w:pStyle w:val="MH3"/>
            </w:pPr>
            <w:bookmarkStart w:id="93" w:name="_Toc177478494"/>
            <w:r>
              <w:t>Zahtjevi – Ekologija i bioraznolikost</w:t>
            </w:r>
            <w:bookmarkEnd w:id="93"/>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Upute za naručitelje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Predložak zahtjeva i kriterija za dodjelu za fotonaponske projekte</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Izmijenite žuta polja s plavim tekstom.</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Verzija: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Neobvezni zahtjevi u ružičastim poljima: izbrišite upitnik u stupcu C ako taj zahtjev nije uključen. U protivnom upišite „da” ili „1”. Broj zahtjeva zatim će se izbrisati, a numeriranje sljedećih zahtjeva automatski će se prilagoditi.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Objavio: Grupa kupaca za održivu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U prazna polja upišite sve dodatne zahtjeve. Ako su umetnuti dodatni redci, prilagodite formule za automatsko numeriranje u stupcima A i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Povratne informacije/pogreške/dodaci: poslati e-poruku na e-adresu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Kad budete spremni, sakrijte stupce D i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Identifikacijska oznaka</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Opis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Uključiti zahtjev?</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Objašnjenje</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Verifikacija i validacija</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Posljedice loših rezultata</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SUSTAVI NA POLJIMA / SUNCE NA ZEMLJI</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Dovoljna količina sunčeve svjetlosti na tlu, omjer pokrivenosti tla (GCR). </w:t>
            </w:r>
            <w:r>
              <w:rPr>
                <w:rFonts w:ascii="Arial" w:hAnsi="Arial"/>
                <w:color w:val="000000"/>
                <w:sz w:val="18"/>
              </w:rPr>
              <w:t>Kako bi se omogućio dovoljan život u tlu, GCR bi trebao biti manji od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Omjer pokrivenosti tla je površina koju solarne ploče projiciraju na tlo u odnosu na površinu obuhvaćenu redovima solarnih ploča.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Dostatno navodnjavanje podzemlja; pejzažna orijentacija ploča i razmak između njih &gt; 2 cm.</w:t>
            </w:r>
            <w:r>
              <w:rPr>
                <w:rFonts w:ascii="Arial" w:hAnsi="Arial"/>
                <w:color w:val="000000"/>
                <w:sz w:val="18"/>
              </w:rPr>
              <w:t xml:space="preserve"> Između susjednih ploča na kratkoj ili dugoj strani mora se ostaviti razmak od najmanje 2 cm kako bi kišnica mogla uglavnom neometano padati na tlo.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Fotonaponska instalacija mora biti u skladu s TNO-ovim ispitivanjem tla.</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Preporučuje se uključiti ovo ispitivanje za fotonaponske instalacije snage veće od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Plutajući fotonaponski sustavi / Sunce na vodi</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Napomena: za Sunce na vodi, postoji nekoliko zahtjeva koji se odnose na konkretni projekt i lokaciju i koji se prvo moraju utvrditi u suradnji s tijelom nadležnim za vode.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Ne smiju se upotrebljavati materijali koji se ispiru.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U vezi s Okvirnom direktivom o vodama, vode moraju biti u dobrom stanju s obzirom na kemijski sastav i ekologiju. Ispiranje određenih tvari može dovesti do problema s kemijskim sastavom.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Pokrivenost vodom ne smije biti veća od:</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Napomena: vodnogospodarsko tijelo obično određuje maksimalnu pokrivenost u suradnji s ekologom.</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644DBC" w:rsidRDefault="00A92923" w:rsidP="00DB3C55">
      <w:pPr>
        <w:ind w:left="-900"/>
        <w:rPr>
          <w:b/>
          <w:bCs/>
          <w:color w:val="92D050"/>
        </w:rPr>
      </w:pPr>
    </w:p>
    <w:p w14:paraId="4914BD13" w14:textId="77777777" w:rsidR="00A92923" w:rsidRPr="00644DBC"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644DBC"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644DBC" w:rsidRDefault="00A92923" w:rsidP="00DB3C55">
      <w:pPr>
        <w:ind w:left="-900"/>
        <w:rPr>
          <w:b/>
          <w:bCs/>
          <w:color w:val="92D050"/>
        </w:rPr>
      </w:pPr>
    </w:p>
    <w:p w14:paraId="68EDDFCF" w14:textId="5C96501B" w:rsidR="00A92923" w:rsidRPr="00644DBC" w:rsidRDefault="00A92923" w:rsidP="00DB3C55">
      <w:pPr>
        <w:ind w:left="-900"/>
        <w:rPr>
          <w:b/>
          <w:bCs/>
          <w:color w:val="92D050"/>
        </w:rPr>
      </w:pPr>
    </w:p>
    <w:p w14:paraId="6098F31E" w14:textId="3C7AE79D" w:rsidR="00A92923" w:rsidRPr="00644DBC"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644DBC" w:rsidRDefault="00A92923" w:rsidP="00DB3C55">
      <w:pPr>
        <w:ind w:left="-900"/>
        <w:rPr>
          <w:b/>
          <w:bCs/>
          <w:color w:val="92D050"/>
        </w:rPr>
      </w:pPr>
    </w:p>
    <w:p w14:paraId="4A921ED9" w14:textId="3C383FFE" w:rsidR="00A92923" w:rsidRPr="00644DBC" w:rsidRDefault="00A92923" w:rsidP="00DB3C55">
      <w:pPr>
        <w:ind w:left="-900"/>
        <w:rPr>
          <w:b/>
          <w:bCs/>
          <w:color w:val="92D050"/>
        </w:rPr>
      </w:pPr>
    </w:p>
    <w:p w14:paraId="03B20077" w14:textId="77777777" w:rsidR="00A92923" w:rsidRPr="00644DBC" w:rsidRDefault="00A92923" w:rsidP="00DB3C55">
      <w:pPr>
        <w:ind w:left="-900"/>
        <w:rPr>
          <w:b/>
          <w:bCs/>
          <w:color w:val="92D050"/>
        </w:rPr>
      </w:pPr>
    </w:p>
    <w:p w14:paraId="4D59C320" w14:textId="42D95209" w:rsidR="00A92923" w:rsidRPr="00644DBC" w:rsidRDefault="00A92923" w:rsidP="00DB3C55">
      <w:pPr>
        <w:ind w:left="-900"/>
        <w:rPr>
          <w:b/>
          <w:bCs/>
          <w:color w:val="92D050"/>
        </w:rPr>
      </w:pPr>
    </w:p>
    <w:p w14:paraId="0CB8CFEE" w14:textId="77F1B3CF" w:rsidR="00A92923" w:rsidRPr="00644DBC"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644DBC" w:rsidRDefault="00A92923" w:rsidP="00DB3C55">
      <w:pPr>
        <w:ind w:left="-900"/>
        <w:rPr>
          <w:b/>
          <w:bCs/>
          <w:color w:val="92D050"/>
        </w:rPr>
      </w:pPr>
    </w:p>
    <w:p w14:paraId="3A56A566" w14:textId="77777777" w:rsidR="00A92923" w:rsidRPr="00644DBC" w:rsidRDefault="00A92923" w:rsidP="00DB3C55">
      <w:pPr>
        <w:ind w:left="-900"/>
        <w:rPr>
          <w:b/>
          <w:bCs/>
          <w:color w:val="92D050"/>
        </w:rPr>
      </w:pPr>
    </w:p>
    <w:p w14:paraId="030121B8" w14:textId="18101FDD" w:rsidR="00A92923" w:rsidRPr="00644DBC" w:rsidRDefault="00A92923" w:rsidP="00DB3C55">
      <w:pPr>
        <w:ind w:left="-900"/>
        <w:rPr>
          <w:b/>
          <w:bCs/>
          <w:color w:val="92D050"/>
        </w:rPr>
      </w:pPr>
    </w:p>
    <w:p w14:paraId="078AA046" w14:textId="6629F54F" w:rsidR="00086957" w:rsidRPr="00FF29AA" w:rsidRDefault="00DB3C55" w:rsidP="00904945">
      <w:pPr>
        <w:pStyle w:val="MH2"/>
      </w:pPr>
      <w:bookmarkStart w:id="94" w:name="_Toc177478495"/>
      <w:r>
        <w:lastRenderedPageBreak/>
        <w:t>10.9 – Zahtjevi – Ekologija i bioraznolikost</w:t>
      </w:r>
      <w:bookmarkEnd w:id="94"/>
    </w:p>
    <w:p w14:paraId="0906D6B2" w14:textId="77777777" w:rsidR="00086957" w:rsidRPr="00644DBC" w:rsidRDefault="00086957" w:rsidP="003339C0">
      <w:pPr>
        <w:rPr>
          <w:b/>
          <w:bCs/>
          <w:color w:val="92D050"/>
          <w:sz w:val="10"/>
          <w:szCs w:val="10"/>
        </w:rPr>
      </w:pPr>
    </w:p>
    <w:p w14:paraId="1500325A" w14:textId="5ABC6634" w:rsidR="001B0E84" w:rsidRPr="00FF29AA" w:rsidRDefault="00DB60F4" w:rsidP="00904945">
      <w:pPr>
        <w:pStyle w:val="MH3"/>
      </w:pPr>
      <w:bookmarkStart w:id="95" w:name="_Toc177478496"/>
      <w:r>
        <w:t>Dokumenti koji se moraju dostaviti da bi ponuda bila valjana</w:t>
      </w:r>
      <w:bookmarkEnd w:id="95"/>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644DBC" w:rsidRDefault="00776A72" w:rsidP="001B0E84">
            <w:pPr>
              <w:spacing w:line="240" w:lineRule="auto"/>
              <w:rPr>
                <w:rFonts w:ascii="Calibri" w:hAnsi="Calibri" w:cs="Calibri"/>
                <w:b/>
                <w:bCs/>
                <w:color w:val="3DC3C6"/>
                <w:sz w:val="28"/>
                <w:szCs w:val="28"/>
                <w:lang w:eastAsia="en-GB"/>
              </w:rPr>
            </w:pPr>
          </w:p>
          <w:p w14:paraId="2A9770E9" w14:textId="77777777" w:rsidR="00776A72" w:rsidRPr="00644DBC"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Br.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Stavka</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Opis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Radni list kriterija za dodjelu</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Dovršeni radni list s pojedinostima vašeg prijedloga</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Izvješća o simulaciji po lokaciji,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Uključivanje nacrta/prijedloga putem priznatog simulacijskog softvera kao što su PVsyst, PV*SOL itd.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Solarne ploče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Tehnički list solarnih ploča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Jamstvo za solarne ploče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Jamstvo za proizvod ili izradu</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Certifikat o ugljičnom otisku solarnih ploča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Prema Adème, </w:t>
            </w:r>
            <w:r>
              <w:rPr>
                <w:rFonts w:ascii="Arial" w:hAnsi="Arial"/>
                <w:i/>
                <w:color w:val="000000"/>
              </w:rPr>
              <w:t>Evaluation carbone simplifiée</w:t>
            </w:r>
            <w:r>
              <w:rPr>
                <w:rFonts w:ascii="Arial" w:hAnsi="Arial"/>
                <w:color w:val="000000"/>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Ako u tehničkom listu nema staklo-staklo ploča ni izričitog navođenja da ne sadržavaju PFAS: Potvrda „bez PFAS-a”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proizvođača ploče kojim se potvrđuje da je korištena stražnja strana bez PFAS-a.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Inverter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Tehnički list invertera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Vaša organizacija</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Tri prethodna fotonaponska projekta</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izvješće o inspekciji Scope 12 ili referenca naručitelja za tri projekta s vršnom snagom u vatima od najmanje 30 % veličine ovog projekta u posljednje četiri godine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Europska jedinstvena dokumentacija o nabavi</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Službeni dokument koji se upotrebljava za svaki europski poziv na podnošenje ponuda, u kojem ponuditelji navode, među ostalim, primjenjuju li se osnove za isključenje na njihovo društvo, koje strane treba registrirati, koja je struktura odabrana ako je riječ o ponudi koja uključuje više strana (podugovaranje ili skupina) i koja će osoba (osobe) djelovati kao ovlašteni predstavnik (ovlašteni predstavnici) ponuditelja.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Nije obvezno: svi certifikati</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Primjeri: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Popunjeni troškovnik s cijenama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Ponuditelji moraju navesti cijenu za proizvode/usluge koji se prijavljuju, ovjerenu potpisom. </w:t>
            </w:r>
          </w:p>
        </w:tc>
      </w:tr>
    </w:tbl>
    <w:p w14:paraId="34C9C1B9" w14:textId="324707D6" w:rsidR="00026952" w:rsidRPr="00A11B94" w:rsidRDefault="00DB60F4" w:rsidP="00904945">
      <w:pPr>
        <w:pStyle w:val="MH3"/>
      </w:pPr>
      <w:bookmarkStart w:id="96" w:name="_Toc177478497"/>
      <w:r>
        <w:t>Promjene verzija zapisnika</w:t>
      </w:r>
      <w:bookmarkEnd w:id="96"/>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30"/>
        <w:gridCol w:w="1724"/>
        <w:gridCol w:w="1427"/>
        <w:gridCol w:w="1929"/>
        <w:gridCol w:w="1622"/>
        <w:gridCol w:w="1677"/>
        <w:gridCol w:w="1643"/>
        <w:gridCol w:w="1415"/>
        <w:gridCol w:w="2533"/>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Opis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Vrijednost</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Uključiti zahtjev?</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Objašnjenje za naručitelja</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Objašnjenje za ponuditelja</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Verifikacija i validacija</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Posljedice loših rezultata</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Jamstvo za proizvod ukinuto, prigovori raznih strana</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Jamstvo za proizvod / jamstvo za izradu</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godina</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Preporuka: 30 godina za održivost i nizak LCOE. Za kraće projekte, to bi moglo biti 25 godina. Za kratke projekte (5 – 10 godina) razmislite o rabljenim pločama.</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Ovaj jamstveni rok pokazatelj je očekivanog tehničkog vijeka trajanja. Odnosi se na jamstvo za proizvod. Napomena: Mnoge standardne solarne ploče imaju jamstvo proizvoda od samo 10 do 12 godina.</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Jamstvo za proizvod putem izvješća o dovršetku i inspekcija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Zamjena solarnim pločama koje ispunjavaju zahtjev.</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9B7D2" w14:textId="77777777" w:rsidR="00EE7CEC" w:rsidRDefault="00EE7CEC" w:rsidP="00A3595E">
      <w:r>
        <w:separator/>
      </w:r>
    </w:p>
  </w:endnote>
  <w:endnote w:type="continuationSeparator" w:id="0">
    <w:p w14:paraId="52989CE1" w14:textId="77777777" w:rsidR="00EE7CEC" w:rsidRDefault="00EE7CEC"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DCECA" w14:textId="77777777" w:rsidR="00EE7CEC" w:rsidRDefault="00EE7CEC" w:rsidP="00A3595E">
      <w:r>
        <w:separator/>
      </w:r>
    </w:p>
  </w:footnote>
  <w:footnote w:type="continuationSeparator" w:id="0">
    <w:p w14:paraId="3E1FEB59" w14:textId="77777777" w:rsidR="00EE7CEC" w:rsidRDefault="00EE7CEC"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ZAJEDNICA JAVNIH NARUČITELJA</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PRELIMINARNE FAZE FOTONAPONSKOG PROJEKTA</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239"/>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21CF"/>
    <w:rsid w:val="00187179"/>
    <w:rsid w:val="00187D03"/>
    <w:rsid w:val="001900C0"/>
    <w:rsid w:val="00195502"/>
    <w:rsid w:val="001A0646"/>
    <w:rsid w:val="001A2ACF"/>
    <w:rsid w:val="001B06A0"/>
    <w:rsid w:val="001B0E84"/>
    <w:rsid w:val="001B4AF3"/>
    <w:rsid w:val="001B72D8"/>
    <w:rsid w:val="001C2497"/>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090A"/>
    <w:rsid w:val="00282220"/>
    <w:rsid w:val="002830B4"/>
    <w:rsid w:val="00284B28"/>
    <w:rsid w:val="00286C6D"/>
    <w:rsid w:val="0029163B"/>
    <w:rsid w:val="0029348A"/>
    <w:rsid w:val="00293AA4"/>
    <w:rsid w:val="00293FAD"/>
    <w:rsid w:val="00295EA1"/>
    <w:rsid w:val="0029731C"/>
    <w:rsid w:val="002B681B"/>
    <w:rsid w:val="002C36C7"/>
    <w:rsid w:val="002C5DFF"/>
    <w:rsid w:val="002C7DD6"/>
    <w:rsid w:val="002E4ADD"/>
    <w:rsid w:val="002E77C8"/>
    <w:rsid w:val="002F5274"/>
    <w:rsid w:val="00301A85"/>
    <w:rsid w:val="003055A3"/>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0E3F"/>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4139"/>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30D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4DBC"/>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6F77F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0867"/>
    <w:rsid w:val="008A22BE"/>
    <w:rsid w:val="008A2C89"/>
    <w:rsid w:val="008C154A"/>
    <w:rsid w:val="008C35F9"/>
    <w:rsid w:val="008C3DE2"/>
    <w:rsid w:val="008D08BA"/>
    <w:rsid w:val="008D2EA0"/>
    <w:rsid w:val="008D4DCE"/>
    <w:rsid w:val="008D6D0A"/>
    <w:rsid w:val="008D7C29"/>
    <w:rsid w:val="008F3289"/>
    <w:rsid w:val="008F75CC"/>
    <w:rsid w:val="00904945"/>
    <w:rsid w:val="00917A73"/>
    <w:rsid w:val="009310E7"/>
    <w:rsid w:val="0094077C"/>
    <w:rsid w:val="00940F28"/>
    <w:rsid w:val="009424D7"/>
    <w:rsid w:val="0094258B"/>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C32ED"/>
    <w:rsid w:val="009D3D72"/>
    <w:rsid w:val="009E09C2"/>
    <w:rsid w:val="009E6ED6"/>
    <w:rsid w:val="009F1963"/>
    <w:rsid w:val="009F3241"/>
    <w:rsid w:val="009F34FC"/>
    <w:rsid w:val="00A031E5"/>
    <w:rsid w:val="00A111F9"/>
    <w:rsid w:val="00A11B94"/>
    <w:rsid w:val="00A24383"/>
    <w:rsid w:val="00A31B9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237F"/>
    <w:rsid w:val="00BF4CB3"/>
    <w:rsid w:val="00C02856"/>
    <w:rsid w:val="00C20B3F"/>
    <w:rsid w:val="00C243EB"/>
    <w:rsid w:val="00C26CE0"/>
    <w:rsid w:val="00C30B6E"/>
    <w:rsid w:val="00C3372C"/>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A772B"/>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EF0"/>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5246"/>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76293"/>
    <w:rsid w:val="00E87C9F"/>
    <w:rsid w:val="00E97EDE"/>
    <w:rsid w:val="00EB2D87"/>
    <w:rsid w:val="00EB7AFD"/>
    <w:rsid w:val="00EC16ED"/>
    <w:rsid w:val="00EE47C1"/>
    <w:rsid w:val="00EE7CEC"/>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209D"/>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hr-H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04945"/>
  </w:style>
  <w:style w:type="character" w:customStyle="1" w:styleId="Style2Char">
    <w:name w:val="Style2 Char"/>
    <w:basedOn w:val="Heading1Char"/>
    <w:link w:val="Style2"/>
    <w:rsid w:val="00904945"/>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04945"/>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04945"/>
    <w:pPr>
      <w:ind w:left="-851"/>
    </w:pPr>
  </w:style>
  <w:style w:type="character" w:customStyle="1" w:styleId="SUB1Char">
    <w:name w:val="SUB1 Char"/>
    <w:basedOn w:val="DefaultParagraphFont"/>
    <w:link w:val="SUB1"/>
    <w:rsid w:val="00904945"/>
    <w:rPr>
      <w:rFonts w:ascii="Arial" w:eastAsia="Times New Roman" w:hAnsi="Arial" w:cs="Arial"/>
      <w:b/>
      <w:color w:val="104D54"/>
      <w:sz w:val="36"/>
      <w:szCs w:val="36"/>
      <w:lang w:eastAsia="nl-NL"/>
    </w:rPr>
  </w:style>
  <w:style w:type="character" w:customStyle="1" w:styleId="MH2Char">
    <w:name w:val="MH2 Char"/>
    <w:basedOn w:val="SUB1Char"/>
    <w:link w:val="MH2"/>
    <w:rsid w:val="00904945"/>
    <w:rPr>
      <w:rFonts w:ascii="Arial" w:eastAsia="Times New Roman" w:hAnsi="Arial" w:cs="Arial"/>
      <w:b/>
      <w:color w:val="104D54"/>
      <w:sz w:val="36"/>
      <w:szCs w:val="36"/>
      <w:lang w:eastAsia="nl-NL"/>
    </w:rPr>
  </w:style>
  <w:style w:type="paragraph" w:customStyle="1" w:styleId="MH3">
    <w:name w:val="MH3"/>
    <w:basedOn w:val="SUB2"/>
    <w:link w:val="MH3Char"/>
    <w:qFormat/>
    <w:rsid w:val="00904945"/>
    <w:pPr>
      <w:ind w:hanging="709"/>
    </w:pPr>
  </w:style>
  <w:style w:type="character" w:customStyle="1" w:styleId="SUB2Char">
    <w:name w:val="SUB2 Char"/>
    <w:basedOn w:val="DefaultParagraphFont"/>
    <w:link w:val="SUB2"/>
    <w:rsid w:val="00904945"/>
    <w:rPr>
      <w:rFonts w:ascii="Arial" w:eastAsia="Times New Roman" w:hAnsi="Arial" w:cs="Arial"/>
      <w:b/>
      <w:color w:val="104D54"/>
      <w:sz w:val="28"/>
      <w:szCs w:val="28"/>
      <w:lang w:eastAsia="nl-NL"/>
    </w:rPr>
  </w:style>
  <w:style w:type="character" w:customStyle="1" w:styleId="MH3Char">
    <w:name w:val="MH3 Char"/>
    <w:basedOn w:val="SUB2Char"/>
    <w:link w:val="MH3"/>
    <w:rsid w:val="00904945"/>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90494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8088</Words>
  <Characters>49662</Characters>
  <Application>Microsoft Office Word</Application>
  <DocSecurity>0</DocSecurity>
  <Lines>2921</Lines>
  <Paragraphs>1069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56681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dcterms:created xsi:type="dcterms:W3CDTF">2024-09-17T12:14:00Z</dcterms:created>
  <dcterms:modified xsi:type="dcterms:W3CDTF">2024-10-23T07:36:00Z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