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9548F1">
      <w:pPr>
        <w:pStyle w:val="MH1"/>
      </w:pPr>
      <w:bookmarkStart w:id="0" w:name="_Toc177482778"/>
      <w:r>
        <w:t>Anexo 10 – Requisitos</w:t>
      </w:r>
      <w:bookmarkEnd w:id="0"/>
    </w:p>
    <w:p w14:paraId="245D9095" w14:textId="77777777" w:rsidR="007061E0" w:rsidRDefault="007061E0" w:rsidP="007061E0">
      <w:pPr>
        <w:rPr>
          <w:lang w:val="el-GR"/>
        </w:rPr>
      </w:pPr>
    </w:p>
    <w:p w14:paraId="7F7E8800" w14:textId="7D985EFF" w:rsidR="007061E0" w:rsidRPr="007061E0" w:rsidRDefault="007061E0" w:rsidP="009548F1">
      <w:pPr>
        <w:pStyle w:val="MH2"/>
      </w:pPr>
      <w:bookmarkStart w:id="1" w:name="_Toc177482779"/>
      <w:r>
        <w:t>10.1 – Requisitos gerais</w:t>
      </w:r>
      <w:bookmarkEnd w:id="1"/>
    </w:p>
    <w:tbl>
      <w:tblPr>
        <w:tblW w:w="17058" w:type="dxa"/>
        <w:tblInd w:w="-993" w:type="dxa"/>
        <w:tblLayout w:type="fixed"/>
        <w:tblLook w:val="04A0" w:firstRow="1" w:lastRow="0" w:firstColumn="1" w:lastColumn="0" w:noHBand="0" w:noVBand="1"/>
      </w:tblPr>
      <w:tblGrid>
        <w:gridCol w:w="709"/>
        <w:gridCol w:w="3828"/>
        <w:gridCol w:w="1701"/>
        <w:gridCol w:w="1276"/>
        <w:gridCol w:w="3559"/>
        <w:gridCol w:w="711"/>
        <w:gridCol w:w="247"/>
        <w:gridCol w:w="586"/>
        <w:gridCol w:w="1559"/>
        <w:gridCol w:w="1559"/>
        <w:gridCol w:w="262"/>
        <w:gridCol w:w="1061"/>
      </w:tblGrid>
      <w:tr w:rsidR="00CD1C87" w:rsidRPr="00E175BF" w14:paraId="405E8496" w14:textId="77777777" w:rsidTr="00681554">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9548F1">
            <w:pPr>
              <w:pStyle w:val="MH3"/>
            </w:pPr>
            <w:bookmarkStart w:id="2" w:name="_Toc177482780"/>
            <w:r>
              <w:t>Requisitos – Generalidades</w:t>
            </w:r>
            <w:bookmarkEnd w:id="2"/>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3559"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Instruções ao cliente</w:t>
            </w:r>
          </w:p>
        </w:tc>
        <w:tc>
          <w:tcPr>
            <w:tcW w:w="1544" w:type="dxa"/>
            <w:gridSpan w:val="3"/>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559"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821"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681554">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Modelo dos requisitos e critérios de adjudicação para projetos fotovoltaicos</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276"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517" w:type="dxa"/>
            <w:gridSpan w:val="3"/>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Altere os campos amarelos com texto azul</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559"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821"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681554">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Versão: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i/>
                <w:iCs/>
                <w:color w:val="808080"/>
                <w:sz w:val="16"/>
              </w:rPr>
              <w:t>Feedback</w:t>
            </w:r>
            <w:r>
              <w:rPr>
                <w:rFonts w:ascii="Arial" w:hAnsi="Arial"/>
                <w:color w:val="808080"/>
                <w:sz w:val="16"/>
              </w:rPr>
              <w:t>/erros/aditamentos: envie uma mensagem de correio eletrónico para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276"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544" w:type="dxa"/>
            <w:gridSpan w:val="8"/>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Requisitos facultativos nos campos cor-de-rosa: suprima o ponto de interrogação na coluna C </w:t>
            </w:r>
            <w:r>
              <w:rPr>
                <w:rFonts w:ascii="Arial" w:hAnsi="Arial"/>
                <w:color w:val="808080"/>
                <w:sz w:val="16"/>
              </w:rPr>
              <w:br/>
              <w:t xml:space="preserve">se este requisito não for incluído. Caso contrário, escreva «sim» ou «1». </w:t>
            </w:r>
            <w:r>
              <w:rPr>
                <w:rFonts w:ascii="Arial" w:hAnsi="Arial"/>
                <w:color w:val="808080"/>
                <w:sz w:val="16"/>
              </w:rPr>
              <w:br/>
              <w:t xml:space="preserve">O número do requisito será então suprimido </w:t>
            </w:r>
            <w:r>
              <w:rPr>
                <w:rFonts w:ascii="Arial" w:hAnsi="Arial"/>
                <w:color w:val="808080"/>
                <w:sz w:val="16"/>
              </w:rPr>
              <w:br/>
              <w:t>e a numeração dos requisitos seguintes será ajustada automaticamente.</w:t>
            </w:r>
          </w:p>
        </w:tc>
      </w:tr>
      <w:tr w:rsidR="008D4DCE" w:rsidRPr="00E175BF" w14:paraId="322AF36A" w14:textId="77777777" w:rsidTr="00681554">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276"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8221" w:type="dxa"/>
            <w:gridSpan w:val="6"/>
            <w:tcBorders>
              <w:top w:val="nil"/>
              <w:left w:val="nil"/>
              <w:bottom w:val="nil"/>
              <w:right w:val="nil"/>
            </w:tcBorders>
            <w:shd w:val="clear" w:color="000000" w:fill="FFFFFF"/>
            <w:noWrap/>
            <w:tcMar>
              <w:top w:w="28" w:type="dxa"/>
              <w:bottom w:w="28" w:type="dxa"/>
            </w:tcMar>
            <w:vAlign w:val="center"/>
          </w:tcPr>
          <w:p w14:paraId="48F08950" w14:textId="4AA54FE1"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Introduza quaisquer requisitos adicionais nos campos vazios. Se forem inseridas linhas adicionais, </w:t>
            </w:r>
            <w:r>
              <w:rPr>
                <w:rFonts w:ascii="Arial" w:hAnsi="Arial"/>
                <w:color w:val="808080"/>
                <w:sz w:val="16"/>
              </w:rPr>
              <w:br/>
              <w:t>ajuste as fórmulas de numeração automática nas colunas A e H.</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8D4DCE" w:rsidRPr="00E175BF" w14:paraId="11DF2E7D" w14:textId="77777777" w:rsidTr="00681554">
        <w:trPr>
          <w:gridAfter w:val="6"/>
          <w:wAfter w:w="5274"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1276" w:type="dxa"/>
            <w:tcBorders>
              <w:top w:val="nil"/>
              <w:left w:val="nil"/>
              <w:bottom w:val="nil"/>
              <w:right w:val="nil"/>
            </w:tcBorders>
            <w:shd w:val="clear" w:color="000000" w:fill="FFFFFF"/>
            <w:tcMar>
              <w:top w:w="28" w:type="dxa"/>
              <w:bottom w:w="28" w:type="dxa"/>
            </w:tcMar>
            <w:vAlign w:val="center"/>
            <w:hideMark/>
          </w:tcPr>
          <w:p w14:paraId="71A70961" w14:textId="77777777" w:rsidR="008D4DCE" w:rsidRPr="00E175BF" w:rsidRDefault="008D4DCE" w:rsidP="008D4DCE">
            <w:pPr>
              <w:spacing w:line="240" w:lineRule="auto"/>
              <w:rPr>
                <w:rFonts w:ascii="Calibri" w:hAnsi="Calibri" w:cs="Calibri"/>
                <w:sz w:val="16"/>
                <w:szCs w:val="16"/>
              </w:rPr>
            </w:pPr>
            <w:r>
              <w:rPr>
                <w:rFonts w:ascii="Calibri" w:hAnsi="Calibri"/>
                <w:sz w:val="16"/>
              </w:rPr>
              <w:t> </w:t>
            </w:r>
          </w:p>
        </w:tc>
        <w:tc>
          <w:tcPr>
            <w:tcW w:w="3559" w:type="dxa"/>
            <w:tcBorders>
              <w:top w:val="nil"/>
              <w:left w:val="nil"/>
              <w:bottom w:val="single" w:sz="4" w:space="0" w:color="auto"/>
              <w:right w:val="nil"/>
            </w:tcBorders>
            <w:shd w:val="clear" w:color="000000" w:fill="FFFFFF"/>
            <w:noWrap/>
            <w:tcMar>
              <w:top w:w="28" w:type="dxa"/>
              <w:bottom w:w="28" w:type="dxa"/>
            </w:tcMar>
            <w:vAlign w:val="center"/>
            <w:hideMark/>
          </w:tcPr>
          <w:p w14:paraId="301FD08A" w14:textId="03023FD6" w:rsidR="008D4DCE" w:rsidRPr="008D4DCE"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Depois de terminar, oculte as colunas D e </w:t>
            </w:r>
            <w:proofErr w:type="spellStart"/>
            <w:r>
              <w:rPr>
                <w:rFonts w:ascii="Arial" w:hAnsi="Arial"/>
                <w:color w:val="808080"/>
                <w:sz w:val="16"/>
              </w:rPr>
              <w:t>E</w:t>
            </w:r>
            <w:proofErr w:type="spellEnd"/>
            <w:r>
              <w:rPr>
                <w:rFonts w:ascii="Arial" w:hAnsi="Arial"/>
                <w:color w:val="808080"/>
                <w:sz w:val="16"/>
              </w:rPr>
              <w:t>.</w:t>
            </w:r>
          </w:p>
        </w:tc>
        <w:tc>
          <w:tcPr>
            <w:tcW w:w="711" w:type="dxa"/>
            <w:tcBorders>
              <w:top w:val="nil"/>
              <w:left w:val="nil"/>
              <w:bottom w:val="single" w:sz="4" w:space="0" w:color="auto"/>
              <w:right w:val="nil"/>
            </w:tcBorders>
            <w:shd w:val="clear" w:color="000000" w:fill="FFFFFF"/>
            <w:tcMar>
              <w:top w:w="28" w:type="dxa"/>
              <w:bottom w:w="28" w:type="dxa"/>
            </w:tcMar>
            <w:vAlign w:val="center"/>
            <w:hideMark/>
          </w:tcPr>
          <w:p w14:paraId="5DD6BB60" w14:textId="77777777" w:rsidR="008D4DCE" w:rsidRPr="00E175BF" w:rsidRDefault="008D4DCE"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681554">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3" w:name="RANGE!A6:H40"/>
            <w:r>
              <w:rPr>
                <w:rFonts w:ascii="Arial" w:hAnsi="Arial"/>
                <w:b/>
                <w:color w:val="FFFFFF"/>
                <w:sz w:val="21"/>
              </w:rPr>
              <w:t>ID</w:t>
            </w:r>
            <w:bookmarkEnd w:id="3"/>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Descrição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Valor</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Incluir requisito?</w:t>
            </w:r>
          </w:p>
        </w:tc>
        <w:tc>
          <w:tcPr>
            <w:tcW w:w="355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Explicação </w:t>
            </w:r>
            <w:r>
              <w:rPr>
                <w:rFonts w:ascii="Arial" w:hAnsi="Arial"/>
                <w:b/>
                <w:color w:val="FFFFFF"/>
                <w:sz w:val="21"/>
              </w:rPr>
              <w:br/>
              <w:t>para os clientes</w:t>
            </w:r>
          </w:p>
        </w:tc>
        <w:tc>
          <w:tcPr>
            <w:tcW w:w="1544" w:type="dxa"/>
            <w:gridSpan w:val="3"/>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Explicação para os proponentes </w:t>
            </w:r>
          </w:p>
        </w:tc>
        <w:tc>
          <w:tcPr>
            <w:tcW w:w="155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Verificação/</w:t>
            </w:r>
            <w:r>
              <w:rPr>
                <w:rFonts w:ascii="Arial" w:hAnsi="Arial"/>
                <w:b/>
                <w:color w:val="FFFFFF"/>
                <w:sz w:val="21"/>
              </w:rPr>
              <w:br/>
              <w:t>validação</w:t>
            </w:r>
          </w:p>
        </w:tc>
        <w:tc>
          <w:tcPr>
            <w:tcW w:w="182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Consequências do desempenho insuficiente</w:t>
            </w:r>
          </w:p>
        </w:tc>
      </w:tr>
      <w:tr w:rsidR="00DA7093" w:rsidRPr="00E175BF" w14:paraId="6524E70A"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Local e duração do projeto</w:t>
            </w:r>
          </w:p>
        </w:tc>
      </w:tr>
      <w:tr w:rsidR="008D4DCE" w:rsidRPr="00E175BF" w14:paraId="7271C93A" w14:textId="77777777" w:rsidTr="00681554">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Descrição do(s) local(</w:t>
            </w:r>
            <w:proofErr w:type="spellStart"/>
            <w:r>
              <w:rPr>
                <w:rFonts w:ascii="Arial" w:hAnsi="Arial"/>
                <w:b/>
                <w:sz w:val="18"/>
              </w:rPr>
              <w:t>is</w:t>
            </w:r>
            <w:proofErr w:type="spellEnd"/>
            <w:r>
              <w:rPr>
                <w:rFonts w:ascii="Arial" w:hAnsi="Arial"/>
                <w:b/>
                <w:sz w:val="18"/>
              </w:rPr>
              <w:t>) do projeto</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Ver o anexo…</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Crie um anexo, indicando, para cada local: endereço, indicação de se se trata de um sistema no telhado/terrestre, fotografias do local, potência de CC estimada, ligação à rede, carga no telhado, etc.</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Objetivos principais: instalação de energia solar</w:t>
            </w:r>
            <w:r>
              <w:rPr>
                <w:rFonts w:ascii="Arial" w:hAnsi="Arial"/>
                <w:b/>
                <w:color w:val="FFFFFF"/>
              </w:rPr>
              <w:t> </w:t>
            </w:r>
          </w:p>
        </w:tc>
      </w:tr>
      <w:tr w:rsidR="008D4DCE" w:rsidRPr="00E175BF" w14:paraId="34949130" w14:textId="77777777" w:rsidTr="00681554">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 potência de CC dos painéis solares propostos deve ser superior a: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xml:space="preserve">… </w:t>
            </w:r>
            <w:proofErr w:type="spellStart"/>
            <w:r>
              <w:rPr>
                <w:rFonts w:ascii="Arial" w:hAnsi="Arial"/>
                <w:b/>
                <w:color w:val="0070C0"/>
                <w:sz w:val="18"/>
              </w:rPr>
              <w:t>kW</w:t>
            </w:r>
            <w:r>
              <w:rPr>
                <w:rFonts w:ascii="Arial" w:hAnsi="Arial"/>
                <w:b/>
                <w:color w:val="0070C0"/>
                <w:sz w:val="18"/>
                <w:vertAlign w:val="subscript"/>
              </w:rPr>
              <w:t>p</w:t>
            </w:r>
            <w:proofErr w:type="spellEnd"/>
            <w:r>
              <w:rPr>
                <w:rFonts w:ascii="Arial" w:hAnsi="Arial"/>
                <w:b/>
                <w:color w:val="0070C0"/>
                <w:sz w:val="18"/>
              </w:rPr>
              <w:t xml:space="preserve">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Ver estudo de viabilidade</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A potência de pico combinada total de todos os </w:t>
            </w:r>
            <w:r>
              <w:rPr>
                <w:rFonts w:ascii="Arial" w:hAnsi="Arial"/>
                <w:sz w:val="18"/>
              </w:rPr>
              <w:lastRenderedPageBreak/>
              <w:t>painéis solares a instalar, com base na potência em condições de ensaio normalizadas especificada na ficha técnica dos painéis solares para a parte frontal (</w:t>
            </w:r>
            <w:proofErr w:type="spellStart"/>
            <w:r>
              <w:rPr>
                <w:rFonts w:ascii="Arial" w:hAnsi="Arial"/>
                <w:sz w:val="18"/>
              </w:rPr>
              <w:t>monofacial</w:t>
            </w:r>
            <w:proofErr w:type="spellEnd"/>
            <w:r>
              <w:rPr>
                <w:rFonts w:ascii="Arial" w:hAnsi="Arial"/>
                <w:sz w:val="18"/>
              </w:rPr>
              <w:t xml:space="preserve">).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xml:space="preserve">1) Ficha técnica do painel solar; 2) Relatório de </w:t>
            </w:r>
            <w:r>
              <w:rPr>
                <w:rFonts w:ascii="Arial" w:hAnsi="Arial"/>
                <w:sz w:val="18"/>
              </w:rPr>
              <w:lastRenderedPageBreak/>
              <w:t xml:space="preserve">simulação da instalação fotovoltaica elaborado com </w:t>
            </w:r>
            <w:r>
              <w:rPr>
                <w:rFonts w:ascii="Arial" w:hAnsi="Arial"/>
                <w:i/>
                <w:iCs/>
                <w:sz w:val="18"/>
              </w:rPr>
              <w:t>software</w:t>
            </w:r>
            <w:r>
              <w:rPr>
                <w:rFonts w:ascii="Arial" w:hAnsi="Arial"/>
                <w:sz w:val="18"/>
              </w:rPr>
              <w:t xml:space="preserve"> aprovado (por exemplo, </w:t>
            </w:r>
            <w:proofErr w:type="spellStart"/>
            <w:r>
              <w:rPr>
                <w:rFonts w:ascii="Arial" w:hAnsi="Arial"/>
                <w:sz w:val="18"/>
              </w:rPr>
              <w:t>PVsyst</w:t>
            </w:r>
            <w:proofErr w:type="spellEnd"/>
            <w:r>
              <w:rPr>
                <w:rFonts w:ascii="Arial" w:hAnsi="Arial"/>
                <w:sz w:val="18"/>
              </w:rPr>
              <w:t>, PV*SOL, etc.)</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Proposta inválida</w:t>
            </w:r>
          </w:p>
        </w:tc>
      </w:tr>
      <w:tr w:rsidR="008D4DCE" w:rsidRPr="00E175BF" w14:paraId="11E5384C" w14:textId="77777777" w:rsidTr="00681554">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A eletricidade produzida pela(s) instalação(</w:t>
            </w:r>
            <w:proofErr w:type="spellStart"/>
            <w:r>
              <w:rPr>
                <w:rFonts w:ascii="Arial" w:hAnsi="Arial"/>
                <w:b/>
                <w:sz w:val="18"/>
              </w:rPr>
              <w:t>ões</w:t>
            </w:r>
            <w:proofErr w:type="spellEnd"/>
            <w:r>
              <w:rPr>
                <w:rFonts w:ascii="Arial" w:hAnsi="Arial"/>
                <w:b/>
                <w:sz w:val="18"/>
              </w:rPr>
              <w:t>) fotovoltaica(s) em kWh no ano 1 deve ser superior a:</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Ver estudo de viabilidade, que utiliza o «valor P50» (rendimento médio durante um período prolongado), para o período de simulação de 2010-2020, de acordo com a base de dados...</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Diz respeito ao valor P50, para o período de simulação de 2010-2020, de acordo com a base de dados...). Relatório de simulação para a instalação fotovoltaica proposta, no ano 1, com base na irradiação nominal = expectativa média a longo prazo, «P50», utilizando </w:t>
            </w:r>
            <w:r>
              <w:rPr>
                <w:rFonts w:ascii="Arial" w:hAnsi="Arial"/>
                <w:i/>
                <w:iCs/>
                <w:sz w:val="18"/>
              </w:rPr>
              <w:t>software</w:t>
            </w:r>
            <w:r>
              <w:rPr>
                <w:rFonts w:ascii="Arial" w:hAnsi="Arial"/>
                <w:sz w:val="18"/>
              </w:rPr>
              <w:t xml:space="preserve"> reconhecido (</w:t>
            </w:r>
            <w:proofErr w:type="spellStart"/>
            <w:r>
              <w:rPr>
                <w:rFonts w:ascii="Arial" w:hAnsi="Arial"/>
                <w:sz w:val="18"/>
              </w:rPr>
              <w:t>PVsyst</w:t>
            </w:r>
            <w:proofErr w:type="spellEnd"/>
            <w:r>
              <w:rPr>
                <w:rFonts w:ascii="Arial" w:hAnsi="Arial"/>
                <w:sz w:val="18"/>
              </w:rPr>
              <w:t xml:space="preserve">, PV*SOL ou </w:t>
            </w:r>
            <w:r>
              <w:rPr>
                <w:rFonts w:ascii="Arial" w:hAnsi="Arial"/>
                <w:sz w:val="18"/>
              </w:rPr>
              <w:lastRenderedPageBreak/>
              <w:t xml:space="preserve">pacote semelhante).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Relatório de simulação para a instalação fotovoltaica proposta</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Proposta inválida</w:t>
            </w:r>
          </w:p>
        </w:tc>
      </w:tr>
      <w:tr w:rsidR="008D4DCE" w:rsidRPr="00E175BF" w14:paraId="235764A2" w14:textId="77777777" w:rsidTr="00681554">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A potência CA da instalação fotovoltaica deve ser inferior a:</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Requisito facultativo se, por exemplo, for necessário ter em conta a dimensão da ligação à rede existente. Nota: Para os projetos SDE++, o máximo permitido para ligação à rede é de 50 % da potência total do painel de CC.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É possível limitando a potência dos inversores.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i/>
                <w:iCs/>
                <w:sz w:val="18"/>
              </w:rPr>
              <w:t>Ex </w:t>
            </w:r>
            <w:proofErr w:type="spellStart"/>
            <w:r>
              <w:rPr>
                <w:rFonts w:ascii="Arial" w:hAnsi="Arial"/>
                <w:i/>
                <w:iCs/>
                <w:sz w:val="18"/>
              </w:rPr>
              <w:t>post</w:t>
            </w:r>
            <w:proofErr w:type="spellEnd"/>
            <w:r>
              <w:rPr>
                <w:rFonts w:ascii="Arial" w:hAnsi="Arial"/>
                <w:sz w:val="18"/>
              </w:rPr>
              <w:t xml:space="preserve"> através da inspeção SCIOS Scope 12</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Proposta inválida</w:t>
            </w:r>
          </w:p>
        </w:tc>
      </w:tr>
      <w:tr w:rsidR="008D4DCE" w:rsidRPr="00E175BF" w14:paraId="344F8467" w14:textId="77777777" w:rsidTr="00681554">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Manutenção e monitorização</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Durante os primeiros 2-4 anos</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Requisito facultativo (frequentemente aplicado, recomendado) de realização de manutenção e monitorização pelo instalador durante os primeiros 2 a 4 anos</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Proposta inválida</w:t>
            </w:r>
          </w:p>
        </w:tc>
      </w:tr>
      <w:tr w:rsidR="00DA7093" w:rsidRPr="00E175BF" w14:paraId="353EAE6D" w14:textId="77777777" w:rsidTr="00DA7093">
        <w:trPr>
          <w:gridAfter w:val="1"/>
          <w:wAfter w:w="1061" w:type="dxa"/>
          <w:trHeight w:val="410"/>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Segurança</w:t>
            </w:r>
          </w:p>
        </w:tc>
      </w:tr>
      <w:tr w:rsidR="008D4DCE" w:rsidRPr="00E175BF" w14:paraId="78318867" w14:textId="77777777" w:rsidTr="00681554">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A instalação elétrica deve ser concebida e fabricada em conformidade com a norma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44" w:type="dxa"/>
            <w:gridSpan w:val="3"/>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55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i/>
                <w:iCs/>
                <w:sz w:val="18"/>
              </w:rPr>
              <w:t>Ex </w:t>
            </w:r>
            <w:proofErr w:type="spellStart"/>
            <w:r>
              <w:rPr>
                <w:rFonts w:ascii="Arial" w:hAnsi="Arial"/>
                <w:i/>
                <w:iCs/>
                <w:sz w:val="18"/>
              </w:rPr>
              <w:t>post</w:t>
            </w:r>
            <w:proofErr w:type="spellEnd"/>
            <w:r>
              <w:rPr>
                <w:rFonts w:ascii="Arial" w:hAnsi="Arial"/>
                <w:sz w:val="18"/>
              </w:rPr>
              <w:t xml:space="preserve"> através da inspeção SCIOS Scope 12</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 contratante deve assegurar que a instalação cumpre a norma NEN 1010 num prazo razoável, caso contrário o cliente fá-lo-á a expensas do contratante.</w:t>
            </w:r>
          </w:p>
        </w:tc>
      </w:tr>
      <w:tr w:rsidR="008D4DCE" w:rsidRPr="00E175BF" w14:paraId="5D155D9B" w14:textId="77777777" w:rsidTr="00681554">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Certificado SCC do contratante</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544"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As empresas devem ter um certificado SCC (</w:t>
            </w:r>
            <w:proofErr w:type="spellStart"/>
            <w:r>
              <w:rPr>
                <w:rFonts w:ascii="Arial" w:hAnsi="Arial"/>
                <w:color w:val="000000"/>
                <w:sz w:val="18"/>
              </w:rPr>
              <w:t>Safety</w:t>
            </w:r>
            <w:proofErr w:type="spellEnd"/>
            <w:r>
              <w:rPr>
                <w:rFonts w:ascii="Arial" w:hAnsi="Arial"/>
                <w:color w:val="000000"/>
                <w:sz w:val="18"/>
              </w:rPr>
              <w:t xml:space="preserve"> </w:t>
            </w:r>
            <w:proofErr w:type="spellStart"/>
            <w:r>
              <w:rPr>
                <w:rFonts w:ascii="Arial" w:hAnsi="Arial"/>
                <w:color w:val="000000"/>
                <w:sz w:val="18"/>
              </w:rPr>
              <w:t>Certificate</w:t>
            </w:r>
            <w:proofErr w:type="spellEnd"/>
            <w:r>
              <w:rPr>
                <w:rFonts w:ascii="Arial" w:hAnsi="Arial"/>
                <w:color w:val="000000"/>
                <w:sz w:val="18"/>
              </w:rPr>
              <w:t xml:space="preserve"> for </w:t>
            </w:r>
            <w:proofErr w:type="spellStart"/>
            <w:r>
              <w:rPr>
                <w:rFonts w:ascii="Arial" w:hAnsi="Arial"/>
                <w:color w:val="000000"/>
                <w:sz w:val="18"/>
              </w:rPr>
              <w:t>Contractors</w:t>
            </w:r>
            <w:proofErr w:type="spellEnd"/>
            <w:r>
              <w:rPr>
                <w:rFonts w:ascii="Arial" w:hAnsi="Arial"/>
                <w:color w:val="000000"/>
                <w:sz w:val="18"/>
              </w:rPr>
              <w:t xml:space="preserve"> – Certificado de Segurança para Contratantes) se realizarem as seguintes atividades: instalação de sistemas de fixação, instalação de painéis solares, trabalhos eletrotécnicos. </w:t>
            </w:r>
          </w:p>
        </w:tc>
        <w:tc>
          <w:tcPr>
            <w:tcW w:w="1559"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Durante a fase de construção, o certificado SCC do gestor do estaleiro deve ser apresentado a pedido do cliente.</w:t>
            </w:r>
          </w:p>
        </w:tc>
        <w:tc>
          <w:tcPr>
            <w:tcW w:w="1821"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Pare as obras e contacte um diretor da obra que tenha um certificado SCC, devendo quaisquer custos adicionais ser suportados pelo contratante.</w:t>
            </w:r>
          </w:p>
        </w:tc>
      </w:tr>
      <w:tr w:rsidR="008D4DCE" w:rsidRPr="00E175BF" w14:paraId="01C82A6C" w14:textId="77777777" w:rsidTr="00681554">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Segurança – trabalhar com segurança em altura (&gt;250 cm). </w:t>
            </w:r>
            <w:r>
              <w:rPr>
                <w:rFonts w:ascii="Arial" w:hAnsi="Arial"/>
                <w:color w:val="000000"/>
                <w:sz w:val="18"/>
              </w:rPr>
              <w:t>Para garantir a segurança dos trabalhadores, os painéis não devem ser instalados na faixa de 2 metros ao longo do rebordo do telhado. Além disso, deve ser assegurada uma proteção adequada para trabalhos em altura.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544"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Certificado SOS (</w:t>
            </w:r>
            <w:proofErr w:type="spellStart"/>
            <w:r>
              <w:rPr>
                <w:rFonts w:ascii="Arial" w:hAnsi="Arial"/>
                <w:color w:val="000000"/>
                <w:sz w:val="18"/>
              </w:rPr>
              <w:t>Safety</w:t>
            </w:r>
            <w:proofErr w:type="spellEnd"/>
            <w:r>
              <w:rPr>
                <w:rFonts w:ascii="Arial" w:hAnsi="Arial"/>
                <w:color w:val="000000"/>
                <w:sz w:val="18"/>
              </w:rPr>
              <w:t xml:space="preserve"> for </w:t>
            </w:r>
            <w:proofErr w:type="spellStart"/>
            <w:r>
              <w:rPr>
                <w:rFonts w:ascii="Arial" w:hAnsi="Arial"/>
                <w:color w:val="000000"/>
                <w:sz w:val="18"/>
              </w:rPr>
              <w:t>Operational</w:t>
            </w:r>
            <w:proofErr w:type="spellEnd"/>
            <w:r>
              <w:rPr>
                <w:rFonts w:ascii="Arial" w:hAnsi="Arial"/>
                <w:color w:val="000000"/>
                <w:sz w:val="18"/>
              </w:rPr>
              <w:t xml:space="preserve"> </w:t>
            </w:r>
            <w:proofErr w:type="spellStart"/>
            <w:r>
              <w:rPr>
                <w:rFonts w:ascii="Arial" w:hAnsi="Arial"/>
                <w:color w:val="000000"/>
                <w:sz w:val="18"/>
              </w:rPr>
              <w:t>Supervisors</w:t>
            </w:r>
            <w:proofErr w:type="spellEnd"/>
            <w:r>
              <w:rPr>
                <w:rFonts w:ascii="Arial" w:hAnsi="Arial"/>
                <w:color w:val="000000"/>
                <w:sz w:val="18"/>
              </w:rPr>
              <w:t xml:space="preserve"> – Segurança para Supervisores Operacionais). De acordo com a Lei relativa às condições de trabalho, </w:t>
            </w:r>
            <w:r>
              <w:rPr>
                <w:rFonts w:ascii="Arial" w:hAnsi="Arial"/>
                <w:color w:val="000000"/>
                <w:sz w:val="18"/>
              </w:rPr>
              <w:lastRenderedPageBreak/>
              <w:t xml:space="preserve">cláusula 3.16, os trabalhadores e os empregadores são conjuntamente responsáveis pela segurança do trabalho em altura.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Plano de instalação fotovoltaica (esquemas).</w:t>
            </w:r>
          </w:p>
        </w:tc>
        <w:tc>
          <w:tcPr>
            <w:tcW w:w="1821"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681554">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Segurança – devem ser seguidas as leis e diretivas em vigor em matéria de saúde e segurança no trabalho.</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Estas incluem:</w:t>
            </w:r>
            <w:r>
              <w:rPr>
                <w:rFonts w:ascii="Arial" w:hAnsi="Arial"/>
                <w:color w:val="000000"/>
                <w:sz w:val="18"/>
              </w:rPr>
              <w:t xml:space="preserve"> 1) Lei relativa às condições de trabalho, Decreto relativo às condições de trabalho, regulamentos relativos às condições de trabalho; 2) Diretivas europeias em matéria de: saúde e segurança (89/391/CEE); segurança e de saúde a aplicar nos estaleiros temporários ou móveis (92/57/CEE); cargas pesadas (90/269/CEE); equipamentos de proteção individual </w:t>
            </w:r>
            <w:r>
              <w:rPr>
                <w:rFonts w:ascii="Arial" w:hAnsi="Arial"/>
                <w:color w:val="000000"/>
                <w:sz w:val="18"/>
              </w:rPr>
              <w:lastRenderedPageBreak/>
              <w:t>(89/656/CEE); equipamentos de trabalho (2009/104/CE); proteção contra vibrações (2002/44/CE); Diretiva Máquinas (2006/42/CE).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681554">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Segurança elétrica – trabalhar em segurança com instalações elétricas: em conformidade com a norma NEN 3140</w:t>
            </w:r>
            <w:r>
              <w:rPr>
                <w:rFonts w:ascii="Arial" w:hAnsi="Arial"/>
                <w:color w:val="000000"/>
                <w:sz w:val="18"/>
              </w:rPr>
              <w:t xml:space="preserve"> (&lt;1,5 kV CC e &lt;1 kV CA) </w:t>
            </w:r>
            <w:r>
              <w:rPr>
                <w:rFonts w:ascii="Arial" w:hAnsi="Arial"/>
                <w:b/>
                <w:color w:val="000000"/>
                <w:sz w:val="18"/>
              </w:rPr>
              <w:t>ou NEN 3840</w:t>
            </w:r>
            <w:r>
              <w:rPr>
                <w:rFonts w:ascii="Arial" w:hAnsi="Arial"/>
                <w:color w:val="000000"/>
                <w:sz w:val="18"/>
              </w:rPr>
              <w:t xml:space="preserve"> (&gt;1,5 kV ou &gt;1 kV CA)</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«requisitos pertinentes para o funcionamento de instalações de baixa tensão». </w:t>
            </w:r>
            <w:r>
              <w:rPr>
                <w:rFonts w:ascii="Arial" w:hAnsi="Arial"/>
                <w:color w:val="000000"/>
                <w:sz w:val="18"/>
              </w:rPr>
              <w:t>NEN 3840:</w:t>
            </w:r>
            <w:r>
              <w:rPr>
                <w:rFonts w:ascii="Arial" w:hAnsi="Arial"/>
                <w:i/>
                <w:color w:val="000000"/>
                <w:sz w:val="18"/>
              </w:rPr>
              <w:t xml:space="preserve"> «requisitos pertinentes para o funcionamento de instalações de alta tensão».</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681554">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Segurança elétrica </w:t>
            </w:r>
            <w:r>
              <w:rPr>
                <w:rFonts w:ascii="Arial" w:hAnsi="Arial"/>
                <w:color w:val="000000"/>
                <w:sz w:val="18"/>
              </w:rPr>
              <w:t xml:space="preserve">As pessoas que trabalham com ligações elétricas devem ser eletricistas certificados.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Os diretores de obra devem ser profissionalmente competentes e ter os certificados necessários. Os contratantes devem designar um gestor de instalação que tenha os certificados necessários e </w:t>
            </w:r>
            <w:r>
              <w:rPr>
                <w:rFonts w:ascii="Arial" w:hAnsi="Arial"/>
                <w:sz w:val="18"/>
              </w:rPr>
              <w:lastRenderedPageBreak/>
              <w:t xml:space="preserve">que deve ser declarado ao cliente, incluindo os dados de contacto. O cliente deve indicar ao contratante os procedimentos de ligação e corte de ligação e outros procedimentos de trabalho.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lastRenderedPageBreak/>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lastRenderedPageBreak/>
              <w:t>Experiência e conhecimentos do contratante</w:t>
            </w:r>
          </w:p>
        </w:tc>
      </w:tr>
      <w:tr w:rsidR="008D4DCE" w:rsidRPr="00E175BF" w14:paraId="64B675BE" w14:textId="77777777" w:rsidTr="00681554">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Experiência em projetos fotovoltaicos</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3 projetos comparáveis entregues com sucesso</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projetos realizados nos últimos 4 anos com uma dimensão equivalente a, pelo menos, 30 % do número de painéis neste projeto</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Indicar essa experiência e demonstrar a satisfação do cliente através de referências a clientes anteriores ou de um relatório de conclusão ao abrigo do SCIOS Scope 12 elaborado por uma parte independente</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Seguro do contratante</w:t>
            </w:r>
          </w:p>
        </w:tc>
      </w:tr>
      <w:tr w:rsidR="008D4DCE" w:rsidRPr="00E175BF" w14:paraId="4DCE4BCD" w14:textId="77777777" w:rsidTr="00681554">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Seguro contra todos os riscos de construção (STR)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&gt;1 milhão de EUR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O seguro STR cobre os riscos durante o trabalho do contratante. O montante seguro é de, pelo menos, 1 milhão de EUR e, pelo menos, igual ao valor estimado do contrato. Em alguns casos, os montantes segurados são incluídos nas condições gerais de aquisição, caso em que também podem ser utilizados aqui. Nota: a título facultativo, o cliente pode também subscrever o seu próprio seguro STR. Ver também as condições gerais de aquisição.</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Mostrar a apólice de seguro STR antes do início da construção, a pedido do cliente  </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Parar imediatamente os trabalhos até à subscrição de um seguro</w:t>
            </w:r>
          </w:p>
        </w:tc>
      </w:tr>
      <w:tr w:rsidR="008D4DCE" w:rsidRPr="00E175BF" w14:paraId="0207C4F5" w14:textId="77777777" w:rsidTr="00681554">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Seguro de responsabilidade civil empresarial (</w:t>
            </w:r>
            <w:proofErr w:type="spellStart"/>
            <w:r>
              <w:rPr>
                <w:rFonts w:ascii="Arial" w:hAnsi="Arial"/>
                <w:b/>
                <w:i/>
                <w:sz w:val="18"/>
              </w:rPr>
              <w:t>Aansprakelijkheidsverzekering</w:t>
            </w:r>
            <w:proofErr w:type="spellEnd"/>
            <w:r>
              <w:rPr>
                <w:rFonts w:ascii="Arial" w:hAnsi="Arial"/>
                <w:b/>
                <w:i/>
                <w:sz w:val="18"/>
              </w:rPr>
              <w:t xml:space="preserve"> </w:t>
            </w:r>
            <w:proofErr w:type="spellStart"/>
            <w:r>
              <w:rPr>
                <w:rFonts w:ascii="Arial" w:hAnsi="Arial"/>
                <w:b/>
                <w:i/>
                <w:sz w:val="18"/>
              </w:rPr>
              <w:t>voor</w:t>
            </w:r>
            <w:proofErr w:type="spellEnd"/>
            <w:r>
              <w:rPr>
                <w:rFonts w:ascii="Arial" w:hAnsi="Arial"/>
                <w:b/>
                <w:i/>
                <w:sz w:val="18"/>
              </w:rPr>
              <w:t xml:space="preserve"> </w:t>
            </w:r>
            <w:proofErr w:type="spellStart"/>
            <w:r>
              <w:rPr>
                <w:rFonts w:ascii="Arial" w:hAnsi="Arial"/>
                <w:b/>
                <w:i/>
                <w:sz w:val="18"/>
              </w:rPr>
              <w:t>Bedrijven</w:t>
            </w:r>
            <w:proofErr w:type="spellEnd"/>
            <w:r>
              <w:rPr>
                <w:rFonts w:ascii="Arial" w:hAnsi="Arial"/>
                <w:b/>
                <w:sz w:val="18"/>
              </w:rPr>
              <w:t xml:space="preserve">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milhões de EUR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Cobre danos causados pelos trabalhadores ou produtos do contratante, incluindo danos menores e danos significativos, como lesões.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Mostrar a apólice de seguro AVB antes do início da construção, a pedido do cliente</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Parar imediatamente os trabalhos até à subscrição de um seguro</w:t>
            </w:r>
          </w:p>
        </w:tc>
      </w:tr>
      <w:tr w:rsidR="00DA7093" w:rsidRPr="00E175BF" w14:paraId="28AA59A8"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Qualidade </w:t>
            </w:r>
          </w:p>
        </w:tc>
      </w:tr>
      <w:tr w:rsidR="008D4DCE" w:rsidRPr="00E175BF" w14:paraId="0D0D21DB" w14:textId="77777777" w:rsidTr="00681554">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O sistema deve ser concebido e implementado em conformidade com a versão mais recente do manual de energia solar da ISSO (</w:t>
            </w:r>
            <w:proofErr w:type="spellStart"/>
            <w:r>
              <w:rPr>
                <w:rFonts w:ascii="Arial" w:hAnsi="Arial"/>
                <w:b/>
                <w:color w:val="808080"/>
                <w:sz w:val="18"/>
              </w:rPr>
              <w:t>Handboek</w:t>
            </w:r>
            <w:proofErr w:type="spellEnd"/>
            <w:r>
              <w:rPr>
                <w:rFonts w:ascii="Arial" w:hAnsi="Arial"/>
                <w:b/>
                <w:color w:val="808080"/>
                <w:sz w:val="18"/>
              </w:rPr>
              <w:t xml:space="preserve"> </w:t>
            </w:r>
            <w:proofErr w:type="spellStart"/>
            <w:r>
              <w:rPr>
                <w:rFonts w:ascii="Arial" w:hAnsi="Arial"/>
                <w:b/>
                <w:color w:val="808080"/>
                <w:sz w:val="18"/>
              </w:rPr>
              <w:t>Zonne-energie</w:t>
            </w:r>
            <w:proofErr w:type="spellEnd"/>
            <w:r>
              <w:rPr>
                <w:rFonts w:ascii="Arial" w:hAnsi="Arial"/>
                <w:b/>
                <w:color w:val="808080"/>
                <w:sz w:val="18"/>
              </w:rPr>
              <w:t xml:space="preserve">, </w:t>
            </w:r>
            <w:proofErr w:type="spellStart"/>
            <w:r>
              <w:rPr>
                <w:rFonts w:ascii="Arial" w:hAnsi="Arial"/>
                <w:b/>
                <w:color w:val="808080"/>
                <w:sz w:val="18"/>
              </w:rPr>
              <w:t>Hbze</w:t>
            </w:r>
            <w:proofErr w:type="spellEnd"/>
            <w:r>
              <w:rPr>
                <w:rFonts w:ascii="Arial" w:hAnsi="Arial"/>
                <w:b/>
                <w:color w:val="808080"/>
                <w:sz w:val="18"/>
              </w:rPr>
              <w:t>, por exemplo,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Este requisito pode, a título facultativo, ser incluído para projetos de dimensão inferior a 1 </w:t>
            </w:r>
            <w:proofErr w:type="spellStart"/>
            <w:r>
              <w:rPr>
                <w:rFonts w:ascii="Arial" w:hAnsi="Arial"/>
                <w:color w:val="000000"/>
                <w:sz w:val="18"/>
              </w:rPr>
              <w:t>MWp</w:t>
            </w:r>
            <w:proofErr w:type="spellEnd"/>
            <w:r>
              <w:rPr>
                <w:rFonts w:ascii="Arial" w:hAnsi="Arial"/>
                <w:color w:val="000000"/>
                <w:sz w:val="18"/>
              </w:rPr>
              <w:t>. Não é necessário para projetos especiais ou de grande envergadura realizados por contratantes EPC de grande dimensão/internacionais.</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Taxa de eliminação e fim de vida</w:t>
            </w:r>
          </w:p>
        </w:tc>
      </w:tr>
      <w:tr w:rsidR="008D4DCE" w:rsidRPr="00E175BF" w14:paraId="480CD583" w14:textId="77777777" w:rsidTr="00681554">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A taxa de eliminação dos painéis solares em fim de vida deve ser paga (através de um fornecedor) à Fundação OPEN (</w:t>
            </w:r>
            <w:proofErr w:type="spellStart"/>
            <w:r>
              <w:rPr>
                <w:rFonts w:ascii="Arial" w:hAnsi="Arial"/>
                <w:b/>
                <w:sz w:val="18"/>
              </w:rPr>
              <w:t>Stichting</w:t>
            </w:r>
            <w:proofErr w:type="spellEnd"/>
            <w:r>
              <w:rPr>
                <w:rFonts w:ascii="Arial" w:hAnsi="Arial"/>
                <w:b/>
                <w:sz w:val="18"/>
              </w:rPr>
              <w:t xml:space="preserve">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A partir de 1 de julho de 2023, esta taxa é mencionada nas faturas dos grossistas e de outros importadores.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Se os painéis solares forem importados pelo contratante, que se torna, portanto, o «produtor» legal, o cliente deve registar-se junto da Fundação OPEN. São então consideradas as obrigações administrativas, nomeadamente a declaração do produtor e o pagamento da taxa de gestão de resíduos. Ao adquirir painéis solares a uma parte neerlandesa, como um grossista, o contratante deve verificar se essa parte é membro da Fundação OPEN. O sítio Web da Fundação OPEN contém um resumo de todos os </w:t>
            </w:r>
            <w:r>
              <w:rPr>
                <w:rFonts w:ascii="Arial" w:hAnsi="Arial"/>
                <w:color w:val="000000"/>
                <w:sz w:val="18"/>
              </w:rPr>
              <w:lastRenderedPageBreak/>
              <w:t xml:space="preserve">produtos registados.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i/>
                <w:iCs/>
                <w:sz w:val="18"/>
              </w:rPr>
              <w:lastRenderedPageBreak/>
              <w:t xml:space="preserve">Ex </w:t>
            </w:r>
            <w:proofErr w:type="spellStart"/>
            <w:r>
              <w:rPr>
                <w:rFonts w:ascii="Arial" w:hAnsi="Arial"/>
                <w:i/>
                <w:iCs/>
                <w:sz w:val="18"/>
              </w:rPr>
              <w:t>post</w:t>
            </w:r>
            <w:proofErr w:type="spellEnd"/>
            <w:r>
              <w:rPr>
                <w:rFonts w:ascii="Arial" w:hAnsi="Arial"/>
                <w:sz w:val="18"/>
              </w:rPr>
              <w:t>, facultativo: verificar a fatura dos painéis solares fornecidos.</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Condições de trabalho, cumprimento das regras</w:t>
            </w:r>
          </w:p>
        </w:tc>
      </w:tr>
      <w:tr w:rsidR="008D4DCE" w:rsidRPr="00E175BF" w14:paraId="42B89348" w14:textId="77777777" w:rsidTr="00681554">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Devem ser respeitadas as </w:t>
            </w:r>
            <w:r>
              <w:rPr>
                <w:rFonts w:ascii="Arial" w:hAnsi="Arial"/>
                <w:b/>
                <w:color w:val="000000"/>
                <w:sz w:val="18"/>
              </w:rPr>
              <w:t>instruções de montagem</w:t>
            </w:r>
            <w:r>
              <w:rPr>
                <w:rFonts w:ascii="Arial" w:hAnsi="Arial"/>
                <w:color w:val="000000"/>
                <w:sz w:val="18"/>
              </w:rPr>
              <w:t xml:space="preserve"> fornecidas pelos fornecedores/fabricantes dos painéis solares, inversores e sistemas de fixação.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Inspeção SCIOS Scope 12</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681554">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As condições de trabalho</w:t>
            </w:r>
            <w:r>
              <w:rPr>
                <w:rFonts w:ascii="Arial" w:hAnsi="Arial"/>
                <w:color w:val="000000"/>
                <w:sz w:val="18"/>
              </w:rPr>
              <w:t xml:space="preserve"> previstas na legislação laboral neerlandesa devem ser respeitadas, incluindo para os trabalhadores migrantes.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3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544" w:type="dxa"/>
            <w:gridSpan w:val="3"/>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Em caso de recurso a trabalhadores migrantes, o cliente deve assegurar um alojamento e uma remuneração adequados, não devendo ser excedido o horário de trabalho previsto na lei. </w:t>
            </w:r>
            <w:r>
              <w:rPr>
                <w:rFonts w:ascii="Arial" w:hAnsi="Arial"/>
                <w:color w:val="000000"/>
                <w:sz w:val="16"/>
              </w:rPr>
              <w:t xml:space="preserve">Alojamento: se forem utilizados trabalhadores migrantes, não deve existir qualquer dependência financeira, direta ou indireta, entre estes trabalhadores e o cliente em relação ao alojamento. Mesmo que os trabalhadores sejam contratados através de uma empresa de trabalho temporário, não deve existir qualquer dependência financeira entre a empresa de trabalho temporário e o </w:t>
            </w:r>
            <w:r>
              <w:rPr>
                <w:rFonts w:ascii="Arial" w:hAnsi="Arial"/>
                <w:color w:val="000000"/>
                <w:sz w:val="16"/>
              </w:rPr>
              <w:lastRenderedPageBreak/>
              <w:t>alojamento dos trabalhadores.</w:t>
            </w:r>
          </w:p>
        </w:tc>
        <w:tc>
          <w:tcPr>
            <w:tcW w:w="155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Vários requisitos gerais facultativos</w:t>
            </w:r>
          </w:p>
        </w:tc>
      </w:tr>
      <w:tr w:rsidR="008D4DCE" w:rsidRPr="00E175BF" w14:paraId="433FE349" w14:textId="77777777" w:rsidTr="00681554">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Garantia da empresa-mãe. Se o contratante tiver um acionista maioritário, este deve agir como garante financeiro perante o contratante.</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Facultativo. Por vezes, já está abrangida pelas condições gerais de aquisição. A alternativa à garantia da empresa-mãe consiste em trabalhar com condições de pagamento de baixo risco. </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681554">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Ficheiro .PAN de terceiros</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Facultativo para projetos de dimensão superior a 20 MW. Versão digital dos dados utilizados por programas como o </w:t>
            </w:r>
            <w:proofErr w:type="spellStart"/>
            <w:r>
              <w:rPr>
                <w:rFonts w:ascii="Arial" w:hAnsi="Arial"/>
                <w:sz w:val="18"/>
              </w:rPr>
              <w:t>PVsyst</w:t>
            </w:r>
            <w:proofErr w:type="spellEnd"/>
            <w:r>
              <w:rPr>
                <w:rFonts w:ascii="Arial" w:hAnsi="Arial"/>
                <w:sz w:val="18"/>
              </w:rPr>
              <w:t xml:space="preserve"> e o PV*SOL para prever a produção de um parque solar. Ficheiros .PAN independentes verificam o rácio de desempenho e o rendimento de um projeto. </w:t>
            </w:r>
          </w:p>
        </w:tc>
        <w:tc>
          <w:tcPr>
            <w:tcW w:w="1544"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82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681554">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Cultura de segurança. ISO 45001 ou </w:t>
            </w:r>
            <w:proofErr w:type="spellStart"/>
            <w:r>
              <w:rPr>
                <w:rFonts w:ascii="Arial" w:hAnsi="Arial"/>
                <w:sz w:val="18"/>
              </w:rPr>
              <w:t>Safety</w:t>
            </w:r>
            <w:proofErr w:type="spellEnd"/>
            <w:r>
              <w:rPr>
                <w:rFonts w:ascii="Arial" w:hAnsi="Arial"/>
                <w:sz w:val="18"/>
              </w:rPr>
              <w:t xml:space="preserve"> </w:t>
            </w:r>
            <w:proofErr w:type="spellStart"/>
            <w:r>
              <w:rPr>
                <w:rFonts w:ascii="Arial" w:hAnsi="Arial"/>
                <w:sz w:val="18"/>
              </w:rPr>
              <w:t>Culture</w:t>
            </w:r>
            <w:proofErr w:type="spellEnd"/>
            <w:r>
              <w:rPr>
                <w:rFonts w:ascii="Arial" w:hAnsi="Arial"/>
                <w:sz w:val="18"/>
              </w:rPr>
              <w:t xml:space="preserve"> </w:t>
            </w:r>
            <w:proofErr w:type="spellStart"/>
            <w:r>
              <w:rPr>
                <w:rFonts w:ascii="Arial" w:hAnsi="Arial"/>
                <w:sz w:val="18"/>
              </w:rPr>
              <w:t>Ladder</w:t>
            </w:r>
            <w:proofErr w:type="spellEnd"/>
            <w:r>
              <w:rPr>
                <w:rFonts w:ascii="Arial" w:hAnsi="Arial"/>
                <w:sz w:val="18"/>
              </w:rPr>
              <w:t xml:space="preserve"> (Escala da Cultura da Segurança), no mínimo etapa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3559"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Facultativo para grandes projetos &gt;20 </w:t>
            </w:r>
            <w:proofErr w:type="spellStart"/>
            <w:r>
              <w:rPr>
                <w:rFonts w:ascii="Arial" w:hAnsi="Arial"/>
                <w:sz w:val="18"/>
              </w:rPr>
              <w:t>MWp</w:t>
            </w:r>
            <w:proofErr w:type="spellEnd"/>
            <w:r>
              <w:rPr>
                <w:rFonts w:ascii="Arial" w:hAnsi="Arial"/>
                <w:sz w:val="18"/>
              </w:rPr>
              <w:t xml:space="preserve"> que envolvam grandes organizações de execução. </w:t>
            </w:r>
          </w:p>
        </w:tc>
        <w:tc>
          <w:tcPr>
            <w:tcW w:w="1544"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55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82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496598C" w14:textId="699779F8" w:rsidR="00026952" w:rsidRDefault="00A11B94" w:rsidP="00C83A67">
      <w:pPr>
        <w:ind w:left="-810"/>
        <w:rPr>
          <w:rFonts w:eastAsia="Aptos"/>
          <w:kern w:val="2"/>
          <w:sz w:val="16"/>
          <w:szCs w:val="16"/>
          <w:lang w:eastAsia="en-US"/>
          <w14:ligatures w14:val="standardContextual"/>
        </w:rPr>
      </w:pPr>
      <w:r>
        <w:rPr>
          <w:noProof/>
          <w:color w:val="92D050"/>
          <w:sz w:val="40"/>
        </w:rPr>
        <w:lastRenderedPageBreak/>
        <mc:AlternateContent>
          <mc:Choice Requires="wps">
            <w:drawing>
              <wp:anchor distT="0" distB="0" distL="114300" distR="114300" simplePos="0" relativeHeight="251727872" behindDoc="0" locked="0" layoutInCell="1" allowOverlap="1" wp14:anchorId="63AF436D" wp14:editId="26BAD304">
                <wp:simplePos x="0" y="0"/>
                <wp:positionH relativeFrom="column">
                  <wp:posOffset>6133465</wp:posOffset>
                </wp:positionH>
                <wp:positionV relativeFrom="page">
                  <wp:posOffset>1504950</wp:posOffset>
                </wp:positionV>
                <wp:extent cx="736600" cy="736600"/>
                <wp:effectExtent l="0" t="0" r="6350" b="6350"/>
                <wp:wrapNone/>
                <wp:docPr id="778781113"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989BADC" id="Oval 19" o:spid="_x0000_s1026" style="position:absolute;margin-left:482.95pt;margin-top:118.5pt;width:58pt;height:58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" fillcolor="#9fe4ce" stroked="f" strokeweight="1pt">
                <v:fill opacity="19789f"/>
                <v:stroke joinstyle="miter"/>
                <w10:wrap anchory="page"/>
              </v:oval>
            </w:pict>
          </mc:Fallback>
        </mc:AlternateContent>
      </w:r>
    </w:p>
    <w:p w14:paraId="7E79EADB" w14:textId="2DDC8B2D" w:rsidR="007061E0" w:rsidRPr="007061E0" w:rsidRDefault="007061E0" w:rsidP="009548F1">
      <w:pPr>
        <w:pStyle w:val="MH2"/>
      </w:pPr>
      <w:bookmarkStart w:id="4" w:name="_Toc177482781"/>
      <w:r>
        <w:t>10.2 – Requisitos gerais</w:t>
      </w:r>
      <w:bookmarkEnd w:id="4"/>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49A88A81" w:rsidR="00026952" w:rsidRPr="007061E0" w:rsidRDefault="00C83A67" w:rsidP="000D5D07">
      <w:pPr>
        <w:spacing w:line="240" w:lineRule="auto"/>
        <w:ind w:left="-990"/>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23776" behindDoc="0" locked="0" layoutInCell="1" allowOverlap="1" wp14:anchorId="7187769C" wp14:editId="54ED7D3C">
                <wp:simplePos x="0" y="0"/>
                <wp:positionH relativeFrom="column">
                  <wp:posOffset>3285490</wp:posOffset>
                </wp:positionH>
                <wp:positionV relativeFrom="page">
                  <wp:posOffset>5372100</wp:posOffset>
                </wp:positionV>
                <wp:extent cx="1896745" cy="1896745"/>
                <wp:effectExtent l="0" t="0" r="8255" b="8255"/>
                <wp:wrapNone/>
                <wp:docPr id="295760247" name="Oval 19"/>
                <wp:cNvGraphicFramePr/>
                <a:graphic xmlns:a="http://schemas.openxmlformats.org/drawingml/2006/main">
                  <a:graphicData uri="http://schemas.microsoft.com/office/word/2010/wordprocessingShape">
                    <wps:wsp>
                      <wps:cNvSpPr/>
                      <wps:spPr>
                        <a:xfrm>
                          <a:off x="0" y="0"/>
                          <a:ext cx="1896745" cy="189674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8D75020" id="Oval 19" o:spid="_x0000_s1026" style="position:absolute;margin-left:258.7pt;margin-top:423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" fillcolor="#9fe4ce" stroked="f" strokeweight="1pt">
                <v:fill opacity="19789f"/>
                <v:stroke joinstyle="miter"/>
                <w10:wrap anchory="page"/>
              </v:oval>
            </w:pict>
          </mc:Fallback>
        </mc:AlternateContent>
      </w:r>
    </w:p>
    <w:tbl>
      <w:tblPr>
        <w:tblW w:w="16016" w:type="dxa"/>
        <w:tblInd w:w="-990" w:type="dxa"/>
        <w:tblLayout w:type="fixed"/>
        <w:tblLook w:val="04A0" w:firstRow="1" w:lastRow="0" w:firstColumn="1" w:lastColumn="0" w:noHBand="0" w:noVBand="1"/>
      </w:tblPr>
      <w:tblGrid>
        <w:gridCol w:w="139"/>
        <w:gridCol w:w="993"/>
        <w:gridCol w:w="2268"/>
        <w:gridCol w:w="1253"/>
        <w:gridCol w:w="165"/>
        <w:gridCol w:w="497"/>
        <w:gridCol w:w="637"/>
        <w:gridCol w:w="390"/>
        <w:gridCol w:w="984"/>
        <w:gridCol w:w="683"/>
        <w:gridCol w:w="919"/>
        <w:gridCol w:w="1331"/>
        <w:gridCol w:w="229"/>
        <w:gridCol w:w="2264"/>
        <w:gridCol w:w="21"/>
        <w:gridCol w:w="1402"/>
        <w:gridCol w:w="1841"/>
      </w:tblGrid>
      <w:tr w:rsidR="000D5D07" w:rsidRPr="000D5D07" w14:paraId="21899640" w14:textId="77777777" w:rsidTr="00C44822">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9548F1">
            <w:pPr>
              <w:pStyle w:val="MH3"/>
            </w:pPr>
            <w:bookmarkStart w:id="5" w:name="_Toc177482782"/>
            <w:r>
              <w:t>Requisitos – Obras</w:t>
            </w:r>
            <w:bookmarkEnd w:id="5"/>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Instruções ao cliente</w:t>
            </w:r>
          </w:p>
        </w:tc>
        <w:tc>
          <w:tcPr>
            <w:tcW w:w="2250"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514" w:type="dxa"/>
            <w:gridSpan w:val="3"/>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C44822">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Modelo dos requisitos e critérios de adjudicação </w:t>
            </w:r>
            <w:r>
              <w:rPr>
                <w:rFonts w:ascii="Arial" w:hAnsi="Arial"/>
                <w:i/>
                <w:color w:val="104D54"/>
                <w:sz w:val="21"/>
              </w:rPr>
              <w:br/>
              <w:t>para projetos fotovoltaicos</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Altere os campos amarelos com texto azul</w:t>
            </w:r>
          </w:p>
        </w:tc>
        <w:tc>
          <w:tcPr>
            <w:tcW w:w="2493" w:type="dxa"/>
            <w:gridSpan w:val="2"/>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Versão: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8"/>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Introduza quaisquer requisitos adicionais nos campos vazios. Se forem inseridas linhas adicionais, ajuste as fórmulas de numeração automática nas colunas A e H.</w:t>
            </w:r>
          </w:p>
        </w:tc>
      </w:tr>
      <w:tr w:rsidR="000D5D07" w:rsidRPr="000D5D07" w14:paraId="4C6747BD" w14:textId="77777777" w:rsidTr="00C44822">
        <w:trPr>
          <w:trHeight w:val="222"/>
        </w:trPr>
        <w:tc>
          <w:tcPr>
            <w:tcW w:w="4653" w:type="dxa"/>
            <w:gridSpan w:val="4"/>
            <w:tcBorders>
              <w:top w:val="nil"/>
              <w:left w:val="nil"/>
              <w:bottom w:val="nil"/>
              <w:right w:val="nil"/>
            </w:tcBorders>
            <w:shd w:val="clear" w:color="000000" w:fill="FFFFFF"/>
            <w:noWrap/>
            <w:hideMark/>
          </w:tcPr>
          <w:p w14:paraId="7A3126D1" w14:textId="62C150A3" w:rsidR="000D5D07" w:rsidRPr="008D4DCE" w:rsidRDefault="00C83A67" w:rsidP="000D5D07">
            <w:pPr>
              <w:spacing w:line="240" w:lineRule="auto"/>
              <w:rPr>
                <w:rFonts w:ascii="Arial" w:hAnsi="Arial" w:cs="Arial"/>
                <w:color w:val="808080"/>
                <w:sz w:val="16"/>
                <w:szCs w:val="16"/>
              </w:rPr>
            </w:pPr>
            <w:r>
              <w:rPr>
                <w:noProof/>
                <w:color w:val="92D050"/>
                <w:sz w:val="40"/>
              </w:rPr>
              <mc:AlternateContent>
                <mc:Choice Requires="wps">
                  <w:drawing>
                    <wp:anchor distT="0" distB="0" distL="114300" distR="114300" simplePos="0" relativeHeight="251641855" behindDoc="0" locked="0" layoutInCell="1" allowOverlap="1" wp14:anchorId="121FC1C6" wp14:editId="645801EA">
                      <wp:simplePos x="0" y="0"/>
                      <wp:positionH relativeFrom="column">
                        <wp:posOffset>-3053080</wp:posOffset>
                      </wp:positionH>
                      <wp:positionV relativeFrom="page">
                        <wp:posOffset>-1210945</wp:posOffset>
                      </wp:positionV>
                      <wp:extent cx="4749165" cy="4749165"/>
                      <wp:effectExtent l="0" t="0" r="0" b="0"/>
                      <wp:wrapNone/>
                      <wp:docPr id="294670863" name="Oval 19"/>
                      <wp:cNvGraphicFramePr/>
                      <a:graphic xmlns:a="http://schemas.openxmlformats.org/drawingml/2006/main">
                        <a:graphicData uri="http://schemas.microsoft.com/office/word/2010/wordprocessingShape">
                          <wps:wsp>
                            <wps:cNvSpPr/>
                            <wps:spPr>
                              <a:xfrm>
                                <a:off x="0" y="0"/>
                                <a:ext cx="4749165" cy="47491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4F66E41" id="Oval 19" o:spid="_x0000_s1026" style="position:absolute;margin-left:-240.4pt;margin-top:-95.35pt;width:373.95pt;height:373.95pt;z-index:251641855;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" fillcolor="#9fe4ce" stroked="f" strokeweight="1pt">
                      <v:fill opacity="27499f"/>
                      <v:stroke joinstyle="miter"/>
                      <w10:wrap anchory="page"/>
                    </v:oval>
                  </w:pict>
                </mc:Fallback>
              </mc:AlternateContent>
            </w:r>
            <w:r w:rsidR="000D5D07">
              <w:rPr>
                <w:rFonts w:ascii="Arial" w:hAnsi="Arial"/>
                <w:i/>
                <w:iCs/>
                <w:color w:val="808080"/>
                <w:sz w:val="16"/>
              </w:rPr>
              <w:t>Feedback</w:t>
            </w:r>
            <w:r w:rsidR="000D5D07">
              <w:rPr>
                <w:rFonts w:ascii="Arial" w:hAnsi="Arial"/>
                <w:color w:val="808080"/>
                <w:sz w:val="16"/>
              </w:rPr>
              <w:t>/erros/aditamentos: envie uma mensagem de correio eletrónico para BGDPV@pianoo.nl</w:t>
            </w:r>
          </w:p>
        </w:tc>
        <w:tc>
          <w:tcPr>
            <w:tcW w:w="662" w:type="dxa"/>
            <w:gridSpan w:val="2"/>
            <w:tcBorders>
              <w:top w:val="nil"/>
              <w:left w:val="nil"/>
              <w:bottom w:val="nil"/>
              <w:right w:val="nil"/>
            </w:tcBorders>
            <w:shd w:val="clear" w:color="000000" w:fill="FFFFFF"/>
            <w:hideMark/>
          </w:tcPr>
          <w:p w14:paraId="4AAB090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0D5D07" w:rsidRPr="008D4DCE" w:rsidRDefault="000D5D07" w:rsidP="000D5D07">
            <w:pPr>
              <w:spacing w:line="240" w:lineRule="auto"/>
              <w:rPr>
                <w:rFonts w:ascii="Arial" w:hAnsi="Arial" w:cs="Arial"/>
              </w:rPr>
            </w:pPr>
            <w:r>
              <w:rPr>
                <w:rFonts w:ascii="Arial" w:hAnsi="Arial"/>
              </w:rPr>
              <w:t> </w:t>
            </w:r>
          </w:p>
        </w:tc>
        <w:tc>
          <w:tcPr>
            <w:tcW w:w="3917" w:type="dxa"/>
            <w:gridSpan w:val="4"/>
            <w:tcBorders>
              <w:top w:val="nil"/>
              <w:left w:val="nil"/>
              <w:bottom w:val="nil"/>
              <w:right w:val="nil"/>
            </w:tcBorders>
            <w:shd w:val="clear" w:color="000000" w:fill="FFFFFF"/>
            <w:noWrap/>
            <w:vAlign w:val="center"/>
            <w:hideMark/>
          </w:tcPr>
          <w:p w14:paraId="3DD39D55" w14:textId="4EDB7B2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2493" w:type="dxa"/>
            <w:gridSpan w:val="2"/>
            <w:tcBorders>
              <w:top w:val="nil"/>
              <w:left w:val="nil"/>
              <w:bottom w:val="nil"/>
              <w:right w:val="nil"/>
            </w:tcBorders>
            <w:shd w:val="clear" w:color="000000" w:fill="FFFFFF"/>
            <w:noWrap/>
            <w:hideMark/>
          </w:tcPr>
          <w:p w14:paraId="7A478FAE" w14:textId="444E7B5D"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861113">
        <w:trPr>
          <w:gridBefore w:val="1"/>
          <w:wBefore w:w="139" w:type="dxa"/>
          <w:trHeight w:val="1206"/>
        </w:trPr>
        <w:tc>
          <w:tcPr>
            <w:tcW w:w="993"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0CABE40C" w:rsidR="000D5D07" w:rsidRPr="00C44822" w:rsidRDefault="000D5D07" w:rsidP="000D5D07">
            <w:pPr>
              <w:spacing w:line="240" w:lineRule="auto"/>
              <w:rPr>
                <w:rFonts w:ascii="Arial" w:hAnsi="Arial" w:cs="Arial"/>
                <w:b/>
                <w:bCs/>
                <w:color w:val="FFFFFF"/>
              </w:rPr>
            </w:pPr>
            <w:r>
              <w:rPr>
                <w:rFonts w:ascii="Arial" w:hAnsi="Arial"/>
                <w:b/>
                <w:color w:val="FFFFFF"/>
              </w:rPr>
              <w:t>ID</w:t>
            </w:r>
          </w:p>
        </w:tc>
        <w:tc>
          <w:tcPr>
            <w:tcW w:w="226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5946EE79" w:rsidR="000D5D07" w:rsidRPr="00C44822" w:rsidRDefault="000D5D07" w:rsidP="000D5D07">
            <w:pPr>
              <w:spacing w:line="240" w:lineRule="auto"/>
              <w:rPr>
                <w:rFonts w:ascii="Arial" w:hAnsi="Arial" w:cs="Arial"/>
                <w:b/>
                <w:bCs/>
                <w:color w:val="FFFFFF"/>
              </w:rPr>
            </w:pPr>
            <w:r>
              <w:rPr>
                <w:rFonts w:ascii="Arial" w:hAnsi="Arial"/>
                <w:b/>
                <w:color w:val="FFFFFF"/>
              </w:rPr>
              <w:t>Descrição do requisito</w:t>
            </w:r>
          </w:p>
        </w:tc>
        <w:tc>
          <w:tcPr>
            <w:tcW w:w="141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60608E34" w:rsidR="000D5D07" w:rsidRPr="00C44822" w:rsidRDefault="000D5D07" w:rsidP="000D5D07">
            <w:pPr>
              <w:spacing w:line="240" w:lineRule="auto"/>
              <w:rPr>
                <w:rFonts w:ascii="Arial" w:hAnsi="Arial" w:cs="Arial"/>
                <w:b/>
                <w:bCs/>
                <w:color w:val="FFFFFF"/>
              </w:rPr>
            </w:pPr>
            <w:r>
              <w:rPr>
                <w:rFonts w:ascii="Arial" w:hAnsi="Arial"/>
                <w:b/>
                <w:color w:val="FFFFFF"/>
              </w:rPr>
              <w:t>Quando?</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2CF15E9F" w:rsidR="000D5D07" w:rsidRPr="00C83A67" w:rsidRDefault="000D5D07" w:rsidP="000D5D07">
            <w:pPr>
              <w:spacing w:line="240" w:lineRule="auto"/>
              <w:jc w:val="center"/>
              <w:rPr>
                <w:rFonts w:ascii="Arial" w:hAnsi="Arial" w:cs="Arial"/>
                <w:b/>
                <w:bCs/>
                <w:color w:val="000000"/>
                <w:sz w:val="21"/>
                <w:szCs w:val="21"/>
              </w:rPr>
            </w:pPr>
            <w:r w:rsidRPr="00C83A67">
              <w:rPr>
                <w:rFonts w:ascii="Arial" w:hAnsi="Arial"/>
                <w:b/>
                <w:color w:val="000000"/>
                <w:sz w:val="21"/>
                <w:szCs w:val="21"/>
              </w:rPr>
              <w:t>Incluir requisito?</w:t>
            </w:r>
          </w:p>
        </w:tc>
        <w:tc>
          <w:tcPr>
            <w:tcW w:w="13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55CB32AD" w:rsidR="000D5D07" w:rsidRPr="00C83A67" w:rsidRDefault="000D5D07" w:rsidP="000D5D07">
            <w:pPr>
              <w:spacing w:line="240" w:lineRule="auto"/>
              <w:rPr>
                <w:rFonts w:ascii="Arial" w:hAnsi="Arial" w:cs="Arial"/>
                <w:b/>
                <w:bCs/>
                <w:color w:val="FFFFFF"/>
              </w:rPr>
            </w:pPr>
            <w:r w:rsidRPr="00C83A67">
              <w:rPr>
                <w:rFonts w:ascii="Arial" w:hAnsi="Arial"/>
                <w:b/>
                <w:color w:val="FFFFFF"/>
              </w:rPr>
              <w:t>Explicação para o cliente</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3C6C7365" w:rsidR="000D5D07" w:rsidRPr="00C44822" w:rsidRDefault="000D5D07" w:rsidP="000D5D07">
            <w:pPr>
              <w:spacing w:line="240" w:lineRule="auto"/>
              <w:rPr>
                <w:rFonts w:ascii="Arial" w:hAnsi="Arial" w:cs="Arial"/>
                <w:b/>
                <w:bCs/>
                <w:color w:val="FFFFFF"/>
              </w:rPr>
            </w:pPr>
            <w:r>
              <w:rPr>
                <w:rFonts w:ascii="Arial" w:hAnsi="Arial"/>
                <w:b/>
                <w:color w:val="FFFFFF"/>
              </w:rPr>
              <w:t>Explicação para o proponente</w:t>
            </w:r>
          </w:p>
        </w:tc>
        <w:tc>
          <w:tcPr>
            <w:tcW w:w="1560"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Verificação/validação</w:t>
            </w:r>
          </w:p>
        </w:tc>
        <w:tc>
          <w:tcPr>
            <w:tcW w:w="5528"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Consequências do desempenho insuficiente</w:t>
            </w:r>
          </w:p>
        </w:tc>
      </w:tr>
      <w:tr w:rsidR="00DA7093" w:rsidRPr="000D5D07" w14:paraId="6D5B27A5" w14:textId="77777777" w:rsidTr="007D383C">
        <w:trPr>
          <w:gridBefore w:val="1"/>
          <w:wBefore w:w="139" w:type="dxa"/>
          <w:trHeight w:val="3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Datas, planeamento e consulta </w:t>
            </w:r>
          </w:p>
        </w:tc>
      </w:tr>
      <w:tr w:rsidR="00C44822" w:rsidRPr="000D5D07" w14:paraId="428DCA0B" w14:textId="77777777" w:rsidTr="00861113">
        <w:trPr>
          <w:gridBefore w:val="1"/>
          <w:wBefore w:w="139" w:type="dxa"/>
        </w:trPr>
        <w:tc>
          <w:tcPr>
            <w:tcW w:w="993"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As obras devem começar:</w:t>
            </w:r>
          </w:p>
        </w:tc>
        <w:tc>
          <w:tcPr>
            <w:tcW w:w="1418"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Para o local... no prazo de... meses a contar da data de adjudicação/em...</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Incluir eventualmente uma lista de datas por local</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1A114081"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435B22FE"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11F4432A"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861113">
        <w:trPr>
          <w:gridBefore w:val="1"/>
          <w:wBefore w:w="139" w:type="dxa"/>
          <w:trHeight w:val="899"/>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t>2.2</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O projeto deve estar provisoriamente concluído em:</w:t>
            </w:r>
          </w:p>
        </w:tc>
        <w:tc>
          <w:tcPr>
            <w:tcW w:w="1418"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 xml:space="preserve">Para o local... no prazo de... meses a contar da data de </w:t>
            </w:r>
            <w:r>
              <w:rPr>
                <w:rFonts w:ascii="Arial" w:hAnsi="Arial"/>
                <w:b/>
                <w:color w:val="0070C0"/>
                <w:sz w:val="18"/>
              </w:rPr>
              <w:lastRenderedPageBreak/>
              <w:t>adjudicação/até...</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Conclusão provisória («construção concluída»): todas as obras </w:t>
            </w:r>
            <w:r>
              <w:rPr>
                <w:rFonts w:ascii="Arial" w:hAnsi="Arial"/>
                <w:sz w:val="18"/>
              </w:rPr>
              <w:lastRenderedPageBreak/>
              <w:t xml:space="preserve">previstas foram concluídas e a instalação está, em princípio, pronta a fornecer eletricidade à rede. Proceder-se-á então à inspeção SCIOS Scope 12. Incluir eventualmente uma lista de datas por local.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5528"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Em caso de atraso superior a 30 dias na conclusão, a menos que o atraso seja totalmente alheio ao controlo do contratante, será aplicada uma penalização diária de 0,1 % do preço da proposta entre 1 de outubro e 31 de março e de 0,15 % entre 1 de abril e 30 de setembro. </w:t>
            </w:r>
          </w:p>
        </w:tc>
      </w:tr>
      <w:tr w:rsidR="00C44822" w:rsidRPr="000D5D07" w14:paraId="05BA864E" w14:textId="77777777" w:rsidTr="00861113">
        <w:trPr>
          <w:gridBefore w:val="1"/>
          <w:wBefore w:w="139" w:type="dxa"/>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Planeamento – Elaboração, acordo (com o cliente/utilizador final) e emissão de um plano de trabalho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Após a adjudicação, mas antes do início da execução</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861113">
        <w:trPr>
          <w:gridBefore w:val="1"/>
          <w:wBefore w:w="139" w:type="dxa"/>
          <w:trHeight w:val="2742"/>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t>2.4</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Execução das obras em conformidade com o plano acordado</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Podem ser efetuados ajustes ao plano após consulta e aprovação conjunta.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861113">
        <w:trPr>
          <w:gridBefore w:val="1"/>
          <w:wBefore w:w="139" w:type="dxa"/>
          <w:trHeight w:val="2547"/>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2.5</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Participação em reuniões no local ou em reuniões de trabalho se o cliente considerar que as obras o exigem</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Documentação, desenhos, cálculos</w:t>
            </w:r>
          </w:p>
        </w:tc>
      </w:tr>
      <w:tr w:rsidR="007D13D8" w:rsidRPr="000D5D07" w14:paraId="6EB87F06" w14:textId="77777777" w:rsidTr="00861113">
        <w:trPr>
          <w:gridBefore w:val="1"/>
          <w:wBefore w:w="139" w:type="dxa"/>
          <w:trHeight w:val="2898"/>
        </w:trPr>
        <w:tc>
          <w:tcPr>
            <w:tcW w:w="993"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2268"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Apresentação de vários documentos, desenhos e cálculos: </w:t>
            </w:r>
          </w:p>
          <w:p w14:paraId="1005A9B8" w14:textId="77777777" w:rsidR="00E05E85" w:rsidRPr="00681554"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a) Diagramas de linha única (CA, CC e ligação à instalação existente);</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b) Plano de configuração do painel fotovoltaico;</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c) Para projetos no telhado: cálculos da construção/vento;</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d) Cálculo da perda de energia dos cabos (cabos de CA e CC);</w:t>
            </w:r>
          </w:p>
        </w:tc>
        <w:tc>
          <w:tcPr>
            <w:tcW w:w="1418"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Após a adjudicação, mas antes do início da execução</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37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560"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528"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861113">
        <w:trPr>
          <w:gridBefore w:val="1"/>
          <w:wBefore w:w="139" w:type="dxa"/>
        </w:trPr>
        <w:tc>
          <w:tcPr>
            <w:tcW w:w="993"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2268"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e) Fichas técnicas dos painéis solares, inversores, estrutura de suporte, cablagem, quadros de medição;</w:t>
            </w:r>
          </w:p>
        </w:tc>
        <w:tc>
          <w:tcPr>
            <w:tcW w:w="1418"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374"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528"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861113">
        <w:trPr>
          <w:gridBefore w:val="1"/>
          <w:wBefore w:w="139" w:type="dxa"/>
          <w:trHeight w:val="2834"/>
        </w:trPr>
        <w:tc>
          <w:tcPr>
            <w:tcW w:w="993"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2268"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f) Para projetos no telhado: plano de execução, incluindo o plano de posicionamento dos painéis fotovoltaicos durante a instalação no telhado e um plano de levantamento.</w:t>
            </w:r>
          </w:p>
        </w:tc>
        <w:tc>
          <w:tcPr>
            <w:tcW w:w="1418"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37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560"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528"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Análise e avaliação dos riscos (AAR)</w:t>
            </w:r>
          </w:p>
        </w:tc>
      </w:tr>
      <w:tr w:rsidR="003D6184" w:rsidRPr="000D5D07" w14:paraId="67C898B7" w14:textId="77777777" w:rsidTr="00861113">
        <w:trPr>
          <w:gridBefore w:val="1"/>
          <w:wBefore w:w="139" w:type="dxa"/>
          <w:trHeight w:val="1598"/>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2268"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Criação de uma AAR para a obra e as medidas de gestão a tomar</w:t>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Após a adjudicação, mas antes do início da execução</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Artigo 5.º da Lei relativa às condições de trabalho – o contratante tem de ter uma AAR dependente do local da obra. Em muitos casos, o conteúdo das AAR anteriores pode ser reutilizado, sendo 10 % adaptado ao projeto.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Relatório de AAR</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Trabalhos de execução do contratante</w:t>
            </w:r>
          </w:p>
        </w:tc>
      </w:tr>
      <w:tr w:rsidR="00C44822" w:rsidRPr="000D5D07" w14:paraId="7FA24B26" w14:textId="77777777" w:rsidTr="00861113">
        <w:trPr>
          <w:gridBefore w:val="1"/>
          <w:wBefore w:w="139" w:type="dxa"/>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Entrega, instalação e montagem de painéis fotovoltaicos e do sistema de fixação.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16D80A52" w14:textId="77777777" w:rsidTr="00861113">
        <w:trPr>
          <w:gridBefore w:val="1"/>
          <w:wBefore w:w="139" w:type="dxa"/>
          <w:trHeight w:val="2142"/>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2.9</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Fornecimento, instalação e funcionamento da ligação elétrica de um sistema elétrico adequado, incluindo cablagem, inversores e componentes associados ligados aos painéis solares. </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861113">
        <w:trPr>
          <w:gridBefore w:val="1"/>
          <w:wBefore w:w="139" w:type="dxa"/>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2268"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Ligação à rede elétrica existente OU a uma nova ligação à rede</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861113">
        <w:trPr>
          <w:gridBefore w:val="1"/>
          <w:wBefore w:w="139" w:type="dxa"/>
          <w:trHeight w:val="1222"/>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Registo da instalação fotovoltaica junto do operador do sistema e em www.energieleveren.nl </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Cópia do registo</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861113">
        <w:trPr>
          <w:gridBefore w:val="1"/>
          <w:wBefore w:w="139" w:type="dxa"/>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Ligação de um contador de potência bruta calibrado</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E88EE07" w14:textId="77777777" w:rsidTr="00861113">
        <w:trPr>
          <w:gridBefore w:val="1"/>
          <w:wBefore w:w="139" w:type="dxa"/>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Realização de qualquer outro trabalho resultante das secções acima, de modo a permitir a realização de um projeto «chave na mão»</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861113">
        <w:trPr>
          <w:gridBefore w:val="1"/>
          <w:wBefore w:w="139" w:type="dxa"/>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Apresentação de um relatório de conclusão completo que contenha as informações descritas no requisito 6.1</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Relatório de conclusão</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861113">
        <w:trPr>
          <w:gridBefore w:val="1"/>
          <w:wBefore w:w="139" w:type="dxa"/>
        </w:trPr>
        <w:tc>
          <w:tcPr>
            <w:tcW w:w="99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2.15</w:t>
            </w:r>
          </w:p>
        </w:tc>
        <w:tc>
          <w:tcPr>
            <w:tcW w:w="226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Se necessário, melhoria da instalação até que sejam cumpridos os requisitos do presente documento (por exemplo, se tiverem sido detetados desvios em relação aos requisitos durante a inspeção SCIOS Scope 12)</w:t>
            </w:r>
          </w:p>
        </w:tc>
        <w:tc>
          <w:tcPr>
            <w:tcW w:w="141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Inspeção SCIOS Scope 12</w:t>
            </w:r>
          </w:p>
        </w:tc>
        <w:tc>
          <w:tcPr>
            <w:tcW w:w="5528"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861113">
        <w:trPr>
          <w:gridBefore w:val="1"/>
          <w:wBefore w:w="139" w:type="dxa"/>
          <w:trHeight w:val="2600"/>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t>2.16</w:t>
            </w:r>
          </w:p>
        </w:tc>
        <w:tc>
          <w:tcPr>
            <w:tcW w:w="226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Nota: o cliente organizará uma inspeção independente de toda a instalação de energia solar de acordo com o SCIOS Scope 12.</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861113">
        <w:trPr>
          <w:gridBefore w:val="1"/>
          <w:wBefore w:w="139" w:type="dxa"/>
        </w:trPr>
        <w:tc>
          <w:tcPr>
            <w:tcW w:w="99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226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Manutenção e monitorização dos trabalhos durante os primeiros 2 (ou 4) anos, conforme descrito na ficha 7: Requisitos – M&amp;M</w:t>
            </w:r>
          </w:p>
        </w:tc>
        <w:tc>
          <w:tcPr>
            <w:tcW w:w="1418"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3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560"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Relatórios de manutenção e monitorização</w:t>
            </w:r>
          </w:p>
        </w:tc>
        <w:tc>
          <w:tcPr>
            <w:tcW w:w="5528"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1B385A8" w14:textId="075F8B4F" w:rsidR="00D109C4" w:rsidRDefault="00A11B94" w:rsidP="00C83A67">
      <w:pPr>
        <w:spacing w:after="160" w:line="278" w:lineRule="auto"/>
      </w:pPr>
      <w:r>
        <w:rPr>
          <w:noProof/>
          <w:color w:val="92D050"/>
          <w:sz w:val="40"/>
        </w:rPr>
        <w:lastRenderedPageBreak/>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p>
    <w:p w14:paraId="2AF26C50" w14:textId="6F1B54CC" w:rsidR="00E14CBD" w:rsidRDefault="007061E0" w:rsidP="009548F1">
      <w:pPr>
        <w:pStyle w:val="MH2"/>
      </w:pPr>
      <w:bookmarkStart w:id="6" w:name="_Toc177482783"/>
      <w:r>
        <w:t>10.3 – Requisitos – Obra</w:t>
      </w:r>
      <w:bookmarkEnd w:id="6"/>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9548F1">
            <w:pPr>
              <w:pStyle w:val="MH3"/>
            </w:pPr>
            <w:bookmarkStart w:id="7" w:name="_Toc177482784"/>
            <w:r>
              <w:t>Requisitos aplicáveis aos painéis solares</w:t>
            </w:r>
            <w:bookmarkEnd w:id="7"/>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Modelo dos requisitos e critérios de adjudicação para projetos fotovoltaicos</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Versão: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i/>
                <w:iCs/>
                <w:color w:val="808080"/>
                <w:sz w:val="16"/>
              </w:rPr>
              <w:t>Feedback</w:t>
            </w:r>
            <w:r>
              <w:rPr>
                <w:rFonts w:ascii="Arial" w:hAnsi="Arial"/>
                <w:color w:val="808080"/>
                <w:sz w:val="16"/>
              </w:rPr>
              <w:t xml:space="preserve">/erros/aditamentos: envie uma mensagem de correio eletrónico para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Instruções ao cliente</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Altere os campos amarelos com texto azul</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Requisitos facultativos nos campos cor-de-rosa: suprima o ponto de interrogação na coluna C se este requisito não for incluído. Caso contrário, escreva «sim» ou «1». O número do requisito será então suprimido e a numeração dos requisitos seguintes será ajustada automaticamente.</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Introduza quaisquer requisitos adicionais nos campos vazios. Se forem inseridas linhas adicionais, ajuste as fórmulas de numeração automática nas colunas A e H.</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 xml:space="preserve">Depois de terminar, oculte as colunas D e </w:t>
            </w:r>
            <w:proofErr w:type="spellStart"/>
            <w:r>
              <w:rPr>
                <w:rFonts w:ascii="Arial" w:hAnsi="Arial"/>
                <w:color w:val="808080"/>
                <w:sz w:val="16"/>
              </w:rPr>
              <w:t>E</w:t>
            </w:r>
            <w:proofErr w:type="spellEnd"/>
            <w:r>
              <w:rPr>
                <w:rFonts w:ascii="Arial" w:hAnsi="Arial"/>
                <w:color w:val="808080"/>
                <w:sz w:val="16"/>
              </w:rPr>
              <w:t>.</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ID</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Descrição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Incluir requisito?</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Explicação para o cliente</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Explicação para o proponente</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Verificação e validação</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Consequências do desempenho insuficiente</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Qualidade e segurança</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 xml:space="preserve">Os painéis devem cumprir as normas IEC 61215, IEC 61730-1 e IEC 61730-2. Classe de segurança mínima II, de acordo </w:t>
            </w:r>
            <w:r>
              <w:rPr>
                <w:rFonts w:ascii="Arial" w:hAnsi="Arial"/>
                <w:b/>
                <w:color w:val="000000"/>
                <w:sz w:val="18"/>
              </w:rPr>
              <w:lastRenderedPageBreak/>
              <w:t>com a norma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A IEC 61215 é um requisito mínimo de qualidade para demonstrar que o painel terá uma duração mínima de 5 anos. A IEC 61730 diz respeito às classificações de segurança elétrica e de </w:t>
            </w:r>
            <w:r>
              <w:rPr>
                <w:rFonts w:ascii="Arial" w:hAnsi="Arial"/>
                <w:sz w:val="18"/>
              </w:rPr>
              <w:lastRenderedPageBreak/>
              <w:t xml:space="preserve">resistência ao fogo do painel solar.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Requisitos padrão: todos os painéis solares regulares oferecidos através de grossistas cumprem estas normas. Esta informação é indicada na ficha técnica.</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Verificação do relatório de conclusão, que deve conter a ficha técnica do painel solar, ou inspeção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Substituição por painéis solares que cumpram o requisito</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Garantia de potência de, pelo menos, 85 % no ano 25</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Quase todos os painéis solares normais cumprem este requisito.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No ano 25, o painel deve continuar a fornecer, pelo menos, 85 % da sua produção em novo.</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Garantia de potência através de relatório de conclusão e inspeção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Substituição por painéis solares que cumpram o requisito</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Os conectores CC devem ser MC4 ou MC4-EVO e cumprir a norma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MC4/MC4-EVO é o conector mais utilizado e é de qualidade comprovada.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Norma, ver ficha técnica do painel solar. No entanto, certifique-se de que são utilizados exatamente os mesmos conectores (mesmo produtor e mesmo tipo) para todos os cabos de CC e que podem ser comprados separadamente.</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Ficha técnica do painel solar através de relatório de conclusão e da inspeção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Substituição por painéis solares que cumpram o requisito</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Se forem utilizadas células de silício cristalino de tipo p, os painéis solares devem cumprir a norma IEC 62804 (resistentes à DIP).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Se forem utilizadas células de silício cristalino de tipo p no painel solar (por exemplo, células PERC), a sua produção pode ser gravemente degradada pela degradação induzida pelo potencial (DIP). Esta situação pode ser evitada por determinados materiais e testada utilizando esta norma.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Se forem propostos painéis solares com células de silício de tipo p (por exemplo, PERC), estes devem cumprir a norma IEC 62804 (indicada na ficha técnica). Nota: para muitos outros tipos de células solares (HJT, </w:t>
            </w:r>
            <w:proofErr w:type="spellStart"/>
            <w:r>
              <w:rPr>
                <w:rFonts w:ascii="Arial" w:hAnsi="Arial"/>
                <w:sz w:val="18"/>
              </w:rPr>
              <w:t>Topcon</w:t>
            </w:r>
            <w:proofErr w:type="spellEnd"/>
            <w:r>
              <w:rPr>
                <w:rFonts w:ascii="Arial" w:hAnsi="Arial"/>
                <w:sz w:val="18"/>
              </w:rPr>
              <w:t xml:space="preserve">, IBC, </w:t>
            </w:r>
            <w:proofErr w:type="spellStart"/>
            <w:r>
              <w:rPr>
                <w:rFonts w:ascii="Arial" w:hAnsi="Arial"/>
                <w:sz w:val="18"/>
              </w:rPr>
              <w:t>CdTe</w:t>
            </w:r>
            <w:proofErr w:type="spellEnd"/>
            <w:r>
              <w:rPr>
                <w:rFonts w:ascii="Arial" w:hAnsi="Arial"/>
                <w:sz w:val="18"/>
              </w:rPr>
              <w:t xml:space="preserve">, CIGS, </w:t>
            </w:r>
            <w:proofErr w:type="spellStart"/>
            <w:r>
              <w:rPr>
                <w:rFonts w:ascii="Arial" w:hAnsi="Arial"/>
                <w:sz w:val="18"/>
              </w:rPr>
              <w:t>a-Si</w:t>
            </w:r>
            <w:proofErr w:type="spellEnd"/>
            <w:r>
              <w:rPr>
                <w:rFonts w:ascii="Arial" w:hAnsi="Arial"/>
                <w:sz w:val="18"/>
              </w:rPr>
              <w:t xml:space="preserve">, n-PERT), este efeito não existe e este teste não é necessário.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Ficha técnica através de relatório de conclusão e da inspeção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Substituição por painéis solares que cumpram o requisito</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Sustentabilidade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Pegada de carbono máxima de 550 kg Co</w:t>
            </w:r>
            <w:r>
              <w:rPr>
                <w:rFonts w:ascii="Arial" w:hAnsi="Arial"/>
                <w:b/>
                <w:color w:val="000000"/>
                <w:sz w:val="18"/>
                <w:vertAlign w:val="subscript"/>
              </w:rPr>
              <w:t>2</w:t>
            </w:r>
            <w:r>
              <w:rPr>
                <w:rFonts w:ascii="Arial" w:hAnsi="Arial"/>
                <w:b/>
                <w:color w:val="000000"/>
                <w:sz w:val="18"/>
              </w:rPr>
              <w:t xml:space="preserve">eq por </w:t>
            </w:r>
            <w:proofErr w:type="spellStart"/>
            <w:r>
              <w:rPr>
                <w:rFonts w:ascii="Arial" w:hAnsi="Arial"/>
                <w:b/>
                <w:color w:val="000000"/>
                <w:sz w:val="18"/>
              </w:rPr>
              <w:t>kW</w:t>
            </w:r>
            <w:r>
              <w:rPr>
                <w:rFonts w:ascii="Arial" w:hAnsi="Arial"/>
                <w:b/>
                <w:color w:val="000000"/>
                <w:sz w:val="18"/>
                <w:vertAlign w:val="subscript"/>
              </w:rPr>
              <w:t>p</w:t>
            </w:r>
            <w:proofErr w:type="spellEnd"/>
            <w:r>
              <w:rPr>
                <w:rFonts w:ascii="Arial" w:hAnsi="Arial"/>
                <w:color w:val="000000"/>
                <w:sz w:val="18"/>
              </w:rPr>
              <w:t>, de acordo com o método francês de avaliação simplificada do carbono (</w:t>
            </w:r>
            <w:proofErr w:type="spellStart"/>
            <w:r>
              <w:rPr>
                <w:rFonts w:ascii="Arial" w:hAnsi="Arial"/>
                <w:i/>
                <w:color w:val="000000"/>
                <w:sz w:val="18"/>
              </w:rPr>
              <w:t>Evaluation</w:t>
            </w:r>
            <w:proofErr w:type="spellEnd"/>
            <w:r>
              <w:rPr>
                <w:rFonts w:ascii="Arial" w:hAnsi="Arial"/>
                <w:i/>
                <w:color w:val="000000"/>
                <w:sz w:val="18"/>
              </w:rPr>
              <w:t xml:space="preserve"> carbone </w:t>
            </w:r>
            <w:proofErr w:type="spellStart"/>
            <w:r>
              <w:rPr>
                <w:rFonts w:ascii="Arial" w:hAnsi="Arial"/>
                <w:i/>
                <w:color w:val="000000"/>
                <w:sz w:val="18"/>
              </w:rPr>
              <w:t>simplifiée</w:t>
            </w:r>
            <w:proofErr w:type="spellEnd"/>
            <w:r>
              <w:rPr>
                <w:rFonts w:ascii="Arial" w:hAnsi="Arial"/>
                <w:color w:val="000000"/>
                <w:sz w:val="18"/>
              </w:rPr>
              <w:t xml:space="preserve">, ECS) gerido </w:t>
            </w:r>
            <w:r>
              <w:rPr>
                <w:rFonts w:ascii="Arial" w:hAnsi="Arial"/>
                <w:color w:val="000000"/>
                <w:sz w:val="18"/>
              </w:rPr>
              <w:lastRenderedPageBreak/>
              <w:t xml:space="preserve">pela agência ambiental francesa </w:t>
            </w:r>
            <w:proofErr w:type="spellStart"/>
            <w:r>
              <w:rPr>
                <w:rFonts w:ascii="Arial" w:hAnsi="Arial"/>
                <w:color w:val="000000"/>
                <w:sz w:val="18"/>
              </w:rPr>
              <w:t>Adème</w:t>
            </w:r>
            <w:proofErr w:type="spellEnd"/>
            <w:r>
              <w:rPr>
                <w:rFonts w:ascii="Arial" w:hAnsi="Arial"/>
                <w:color w:val="000000"/>
                <w:sz w:val="18"/>
              </w:rPr>
              <w:t>.</w:t>
            </w:r>
            <w:r>
              <w:rPr>
                <w:rFonts w:ascii="Arial" w:hAnsi="Arial"/>
                <w:b/>
                <w:color w:val="000000"/>
                <w:sz w:val="18"/>
              </w:rPr>
              <w:t xml:space="preserve"> </w:t>
            </w:r>
            <w:r>
              <w:rPr>
                <w:rFonts w:ascii="Arial" w:hAnsi="Arial"/>
                <w:color w:val="000000"/>
                <w:sz w:val="18"/>
              </w:rPr>
              <w:t xml:space="preserve">O certificado deve ser válido no início da construção e elaborado em conformidade com as orientações da </w:t>
            </w:r>
            <w:proofErr w:type="spellStart"/>
            <w:r>
              <w:rPr>
                <w:rFonts w:ascii="Arial" w:hAnsi="Arial"/>
                <w:color w:val="000000"/>
                <w:sz w:val="18"/>
              </w:rPr>
              <w:t>Adème</w:t>
            </w:r>
            <w:proofErr w:type="spellEnd"/>
            <w:r>
              <w:rPr>
                <w:rFonts w:ascii="Arial" w:hAnsi="Arial"/>
                <w:color w:val="000000"/>
                <w:sz w:val="18"/>
              </w:rPr>
              <w:t xml:space="preserve"> nos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Este limite é o mesmo que em França e reduz para metade a pegada de carbono dos painéis principais, enquanto permite uma ampla escolha, incluindo fabricantes chineses de nível 1, a um preço adicional baixo.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t>O documento «</w:t>
            </w:r>
            <w:proofErr w:type="spellStart"/>
            <w:r>
              <w:rPr>
                <w:rFonts w:ascii="Arial" w:hAnsi="Arial"/>
                <w:color w:val="000000"/>
                <w:sz w:val="18"/>
              </w:rPr>
              <w:t>Duurzaamheidsaspecten</w:t>
            </w:r>
            <w:proofErr w:type="spellEnd"/>
            <w:r>
              <w:rPr>
                <w:rFonts w:ascii="Arial" w:hAnsi="Arial"/>
                <w:color w:val="000000"/>
                <w:sz w:val="18"/>
              </w:rPr>
              <w:t xml:space="preserve"> </w:t>
            </w:r>
            <w:proofErr w:type="spellStart"/>
            <w:r>
              <w:rPr>
                <w:rFonts w:ascii="Arial" w:hAnsi="Arial"/>
                <w:color w:val="000000"/>
                <w:sz w:val="18"/>
              </w:rPr>
              <w:t>en</w:t>
            </w:r>
            <w:proofErr w:type="spellEnd"/>
            <w:r>
              <w:rPr>
                <w:rFonts w:ascii="Arial" w:hAnsi="Arial"/>
                <w:color w:val="000000"/>
                <w:sz w:val="18"/>
              </w:rPr>
              <w:t xml:space="preserve"> </w:t>
            </w:r>
            <w:proofErr w:type="spellStart"/>
            <w:r>
              <w:rPr>
                <w:rFonts w:ascii="Arial" w:hAnsi="Arial"/>
                <w:color w:val="000000"/>
                <w:sz w:val="18"/>
              </w:rPr>
              <w:t>marktscan</w:t>
            </w:r>
            <w:proofErr w:type="spellEnd"/>
            <w:r>
              <w:rPr>
                <w:rFonts w:ascii="Arial" w:hAnsi="Arial"/>
                <w:color w:val="000000"/>
                <w:sz w:val="18"/>
              </w:rPr>
              <w:t xml:space="preserve"> </w:t>
            </w:r>
            <w:proofErr w:type="spellStart"/>
            <w:r>
              <w:rPr>
                <w:rFonts w:ascii="Arial" w:hAnsi="Arial"/>
                <w:color w:val="000000"/>
                <w:sz w:val="18"/>
              </w:rPr>
              <w:t>Duurzamere</w:t>
            </w:r>
            <w:proofErr w:type="spellEnd"/>
            <w:r>
              <w:rPr>
                <w:rFonts w:ascii="Arial" w:hAnsi="Arial"/>
                <w:color w:val="000000"/>
                <w:sz w:val="18"/>
              </w:rPr>
              <w:t xml:space="preserve"> </w:t>
            </w:r>
            <w:proofErr w:type="spellStart"/>
            <w:r>
              <w:rPr>
                <w:rFonts w:ascii="Arial" w:hAnsi="Arial"/>
                <w:color w:val="000000"/>
                <w:sz w:val="18"/>
              </w:rPr>
              <w:t>Zonnepanelen</w:t>
            </w:r>
            <w:proofErr w:type="spellEnd"/>
            <w:r>
              <w:rPr>
                <w:rFonts w:ascii="Arial" w:hAnsi="Arial"/>
                <w:color w:val="000000"/>
                <w:sz w:val="18"/>
              </w:rPr>
              <w:t xml:space="preserve">»(Aspetos de sustentabilidade e estudo de mercado de painéis solares mais sustentáveis) identifica os produtores que podem cumprir </w:t>
            </w:r>
            <w:r>
              <w:rPr>
                <w:rFonts w:ascii="Arial" w:hAnsi="Arial"/>
                <w:color w:val="000000"/>
                <w:sz w:val="18"/>
              </w:rPr>
              <w:lastRenderedPageBreak/>
              <w:t xml:space="preserve">este requisito. Vários outros produtores também o podem fazer. O certificado ECS pode ser solicitado através do fabricante ou grossista.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Verificação do relatório de conclusão, que deve conter o certificado ECS correspondente aos painéis solares instalados, ou durante </w:t>
            </w:r>
            <w:r>
              <w:rPr>
                <w:rFonts w:ascii="Arial" w:hAnsi="Arial"/>
                <w:sz w:val="18"/>
              </w:rPr>
              <w:lastRenderedPageBreak/>
              <w:t>a inspeção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Substituição por painéis solares que cumpram o requisito</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 xml:space="preserve">Camada traseira sem PFAS </w:t>
            </w:r>
            <w:r>
              <w:rPr>
                <w:rFonts w:ascii="Arial" w:hAnsi="Arial"/>
                <w:color w:val="000000"/>
                <w:sz w:val="18"/>
              </w:rPr>
              <w:t xml:space="preserve">Por exemplo, uma placa de vidro (painéis solares de vidro duplo) ou uma camada de plástico sem </w:t>
            </w:r>
            <w:proofErr w:type="spellStart"/>
            <w:r>
              <w:rPr>
                <w:rFonts w:ascii="Arial" w:hAnsi="Arial"/>
                <w:color w:val="000000"/>
                <w:sz w:val="18"/>
              </w:rPr>
              <w:t>fluoropolímeros</w:t>
            </w:r>
            <w:proofErr w:type="spellEnd"/>
            <w:r>
              <w:rPr>
                <w:rFonts w:ascii="Arial" w:hAnsi="Arial"/>
                <w:color w:val="000000"/>
                <w:sz w:val="18"/>
              </w:rPr>
              <w:t xml:space="preserve">.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77777777" w:rsidR="00DC6DCE" w:rsidRPr="00877FC5" w:rsidRDefault="00DC6DCE" w:rsidP="0001642A">
            <w:pPr>
              <w:spacing w:line="240" w:lineRule="auto"/>
              <w:rPr>
                <w:rFonts w:ascii="Arial" w:hAnsi="Arial" w:cs="Arial"/>
                <w:sz w:val="18"/>
                <w:szCs w:val="18"/>
              </w:rPr>
            </w:pPr>
            <w:r>
              <w:rPr>
                <w:rFonts w:ascii="Arial" w:hAnsi="Arial"/>
                <w:sz w:val="18"/>
              </w:rPr>
              <w:t>A maioria dos painéis solares contém PVDF (</w:t>
            </w:r>
            <w:proofErr w:type="spellStart"/>
            <w:r>
              <w:rPr>
                <w:rFonts w:ascii="Arial" w:hAnsi="Arial"/>
                <w:sz w:val="18"/>
              </w:rPr>
              <w:t>Tedlar</w:t>
            </w:r>
            <w:proofErr w:type="spellEnd"/>
            <w:r>
              <w:rPr>
                <w:rFonts w:ascii="Arial" w:hAnsi="Arial"/>
                <w:sz w:val="18"/>
              </w:rPr>
              <w:t>), PVF (</w:t>
            </w:r>
            <w:proofErr w:type="spellStart"/>
            <w:r>
              <w:rPr>
                <w:rFonts w:ascii="Arial" w:hAnsi="Arial"/>
                <w:sz w:val="18"/>
              </w:rPr>
              <w:t>Kynar</w:t>
            </w:r>
            <w:proofErr w:type="spellEnd"/>
            <w:r>
              <w:rPr>
                <w:rFonts w:ascii="Arial" w:hAnsi="Arial"/>
                <w:sz w:val="18"/>
              </w:rPr>
              <w:t>) ou outros polímeros e revestimentos à base de flúor.  Estes materiais à base de PFAS podem acabar no ambiente durante a produção ou utilização (sob a forma de pó ou por descamação) e causar danos para a saúde. As alternativas sem PFAS acarretam poucos ou nenhuns custos adicionais.</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O documento «</w:t>
            </w:r>
            <w:proofErr w:type="spellStart"/>
            <w:r>
              <w:rPr>
                <w:rFonts w:ascii="Arial" w:hAnsi="Arial"/>
                <w:color w:val="000000"/>
                <w:sz w:val="18"/>
              </w:rPr>
              <w:t>Duurzaamheidsaspecten</w:t>
            </w:r>
            <w:proofErr w:type="spellEnd"/>
            <w:r>
              <w:rPr>
                <w:rFonts w:ascii="Arial" w:hAnsi="Arial"/>
                <w:color w:val="000000"/>
                <w:sz w:val="18"/>
              </w:rPr>
              <w:t xml:space="preserve"> </w:t>
            </w:r>
            <w:proofErr w:type="spellStart"/>
            <w:r>
              <w:rPr>
                <w:rFonts w:ascii="Arial" w:hAnsi="Arial"/>
                <w:color w:val="000000"/>
                <w:sz w:val="18"/>
              </w:rPr>
              <w:t>en</w:t>
            </w:r>
            <w:proofErr w:type="spellEnd"/>
            <w:r>
              <w:rPr>
                <w:rFonts w:ascii="Arial" w:hAnsi="Arial"/>
                <w:color w:val="000000"/>
                <w:sz w:val="18"/>
              </w:rPr>
              <w:t xml:space="preserve"> </w:t>
            </w:r>
            <w:proofErr w:type="spellStart"/>
            <w:r>
              <w:rPr>
                <w:rFonts w:ascii="Arial" w:hAnsi="Arial"/>
                <w:color w:val="000000"/>
                <w:sz w:val="18"/>
              </w:rPr>
              <w:t>marktscan</w:t>
            </w:r>
            <w:proofErr w:type="spellEnd"/>
            <w:r>
              <w:rPr>
                <w:rFonts w:ascii="Arial" w:hAnsi="Arial"/>
                <w:color w:val="000000"/>
                <w:sz w:val="18"/>
              </w:rPr>
              <w:t xml:space="preserve"> </w:t>
            </w:r>
            <w:proofErr w:type="spellStart"/>
            <w:r>
              <w:rPr>
                <w:rFonts w:ascii="Arial" w:hAnsi="Arial"/>
                <w:color w:val="000000"/>
                <w:sz w:val="18"/>
              </w:rPr>
              <w:t>Duurzamere</w:t>
            </w:r>
            <w:proofErr w:type="spellEnd"/>
            <w:r>
              <w:rPr>
                <w:rFonts w:ascii="Arial" w:hAnsi="Arial"/>
                <w:color w:val="000000"/>
                <w:sz w:val="18"/>
              </w:rPr>
              <w:t xml:space="preserve"> </w:t>
            </w:r>
            <w:proofErr w:type="spellStart"/>
            <w:r>
              <w:rPr>
                <w:rFonts w:ascii="Arial" w:hAnsi="Arial"/>
                <w:color w:val="000000"/>
                <w:sz w:val="18"/>
              </w:rPr>
              <w:t>Zonnepanelen</w:t>
            </w:r>
            <w:proofErr w:type="spellEnd"/>
            <w:r>
              <w:rPr>
                <w:rFonts w:ascii="Arial" w:hAnsi="Arial"/>
                <w:color w:val="000000"/>
                <w:sz w:val="18"/>
              </w:rPr>
              <w:t xml:space="preserve">» contém exemplos de painéis solares que cumprem este requisito. Informe-se junto do seu grossista/produtor. Se forem utilizados painéis solares com uma camada traseira de plástico e se a ficha técnica não mencionar explicitamente os materiais utilizados nessa camada traseira, o fabricante do painel tem de confirmar separadamente que os painéis solares contêm uma camada traseira sem PFS.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Verificação do relatório de conclusão, que deve conter o certificado ou a ficha técnica do painel solar, ou inspeção SCIOS Scope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Substituição por painéis solares que cumpram o requisito</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Requisitos facultativos para os painéis solares</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Os painéis devem cumprir a norma IEC 62716 (resistência ao amoníaco)</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Normalmente não é necessário, mas obrigatório no caso de edifícios pecuários. A resistência ao amoníaco só é necessária se existir uma elevada concentração de amoníaco – por exemplo, em instalações onde são mantidos animais (frangos/suínos/bovinos).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t>Incluído em muitas fichas técnicas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Ficha técnica através de relatório de conclusão e da inspeção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Os painéis devem cumprir a norma IEC 61701 (resistência ao nevoeiro salino)</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Normalmente não é necessário, mas obrigatório em zonas costeiras. A resistência ao ar salgado (nevoeiro salino) só é necessária se a instalação fotovoltaica estiver próxima do mar (a menos de 1 km)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Incluído em muitas fichas técnicas</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Ficha técnica através de relatório de conclusão e da inspeção SCIOS Scope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Cor da camada traseira – visível entre as células</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Não é necessário para muitos projetos. Os painéis «totalmente negros» são utilizados principalmente em telhados visíveis e inclinados. São ligeiramente mais caros e têm um desempenho ligeiramente inferior ao dos painéis de fundo branco. Os painéis solares coloridos são significativamente mais caros e têm menor eficiência.</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Cor da estrutura do painel solar</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Muitas vezes, as estruturas pretas ou coloridas não são necessárias, mas são mais caras.</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681554" w:rsidRDefault="007061E0" w:rsidP="007061E0">
      <w:pPr>
        <w:rPr>
          <w:b/>
          <w:bCs/>
          <w:color w:val="92D050"/>
        </w:rPr>
      </w:pPr>
    </w:p>
    <w:p w14:paraId="14E7F8FB" w14:textId="75D42BEF" w:rsidR="00026952" w:rsidRPr="004C0EBD" w:rsidRDefault="00026952" w:rsidP="00026952">
      <w:pPr>
        <w:spacing w:after="160" w:line="278" w:lineRule="auto"/>
        <w:rPr>
          <w:rFonts w:ascii="Aptos" w:eastAsia="Aptos" w:hAnsi="Aptos" w:cs="Times New Roman"/>
          <w:kern w:val="2"/>
          <w:sz w:val="24"/>
          <w:szCs w:val="24"/>
          <w:lang w:eastAsia="en-US"/>
          <w14:ligatures w14:val="standardContextual"/>
        </w:rPr>
      </w:pPr>
    </w:p>
    <w:p w14:paraId="2247612B" w14:textId="60E4391A" w:rsidR="00026952"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p>
    <w:p w14:paraId="20B8F401" w14:textId="6B4DAF44"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p>
    <w:p w14:paraId="253D7B2B" w14:textId="50AFC7C3" w:rsidR="00D109C4" w:rsidRDefault="00A11B94" w:rsidP="00026952">
      <w:pPr>
        <w:spacing w:after="160" w:line="278" w:lineRule="auto"/>
        <w:rPr>
          <w:rFonts w:ascii="Aptos" w:eastAsia="Aptos" w:hAnsi="Aptos" w:cs="Times New Roman"/>
          <w:kern w:val="2"/>
          <w:sz w:val="24"/>
          <w:szCs w:val="24"/>
          <w14:ligatures w14:val="standardContextual"/>
        </w:rPr>
      </w:pP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p>
    <w:p w14:paraId="325DAB4A" w14:textId="1D18CD12" w:rsidR="00E732CC" w:rsidRDefault="00A11B94" w:rsidP="00C83A67">
      <w:pPr>
        <w:spacing w:after="160" w:line="278" w:lineRule="auto"/>
        <w:rPr>
          <w:rFonts w:ascii="Aptos" w:eastAsia="Aptos" w:hAnsi="Aptos" w:cs="Times New Roman"/>
          <w:kern w:val="2"/>
          <w:sz w:val="24"/>
          <w:szCs w:val="24"/>
          <w:lang w:eastAsia="en-US"/>
          <w14:ligatures w14:val="standardContextual"/>
        </w:rPr>
      </w:pPr>
      <w:r>
        <w:rPr>
          <w:noProof/>
          <w:color w:val="92D050"/>
          <w:sz w:val="40"/>
        </w:rPr>
        <w:lastRenderedPageBreak/>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35040" behindDoc="0" locked="0" layoutInCell="1" allowOverlap="1" wp14:anchorId="4603B4DD" wp14:editId="2F2A3219">
                <wp:simplePos x="0" y="0"/>
                <wp:positionH relativeFrom="column">
                  <wp:posOffset>2523490</wp:posOffset>
                </wp:positionH>
                <wp:positionV relativeFrom="page">
                  <wp:posOffset>1495425</wp:posOffset>
                </wp:positionV>
                <wp:extent cx="1896745" cy="1896745"/>
                <wp:effectExtent l="0" t="0" r="8255" b="8255"/>
                <wp:wrapNone/>
                <wp:docPr id="919532178" name="Oval 19"/>
                <wp:cNvGraphicFramePr/>
                <a:graphic xmlns:a="http://schemas.openxmlformats.org/drawingml/2006/main">
                  <a:graphicData uri="http://schemas.microsoft.com/office/word/2010/wordprocessingShape">
                    <wps:wsp>
                      <wps:cNvSpPr/>
                      <wps:spPr>
                        <a:xfrm>
                          <a:off x="0" y="0"/>
                          <a:ext cx="1896745" cy="189674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8625EEC" id="Oval 19" o:spid="_x0000_s1026" style="position:absolute;margin-left:198.7pt;margin-top:117.75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" fillcolor="#9fe4ce" stroked="f" strokeweight="1pt">
                <v:fill opacity="19789f"/>
                <v:stroke joinstyle="miter"/>
                <w10:wrap anchory="page"/>
              </v:oval>
            </w:pict>
          </mc:Fallback>
        </mc:AlternateContent>
      </w:r>
    </w:p>
    <w:p w14:paraId="6136AA72" w14:textId="747F4D04" w:rsidR="00E732CC" w:rsidRPr="007061E0" w:rsidRDefault="00E732CC" w:rsidP="009548F1">
      <w:pPr>
        <w:pStyle w:val="MH2"/>
      </w:pPr>
      <w:bookmarkStart w:id="8" w:name="_Toc177482785"/>
      <w:r>
        <w:t>10.4 – Requisitos aplicáveis aos painéis solares</w:t>
      </w:r>
      <w:bookmarkEnd w:id="8"/>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492"/>
        <w:gridCol w:w="1701"/>
        <w:gridCol w:w="1937"/>
        <w:gridCol w:w="53"/>
      </w:tblGrid>
      <w:tr w:rsidR="00BF060B" w:rsidRPr="00BF060B" w14:paraId="792972D6" w14:textId="77777777" w:rsidTr="00C83A67">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A0B823E" w:rsidR="00BF060B" w:rsidRPr="00BF060B" w:rsidRDefault="00BF060B" w:rsidP="009548F1">
            <w:pPr>
              <w:pStyle w:val="MH3"/>
            </w:pPr>
            <w:bookmarkStart w:id="9" w:name="_Toc177482786"/>
            <w:r>
              <w:t xml:space="preserve">Requisitos relativos à instalação elétrica, inversores, </w:t>
            </w:r>
            <w:r>
              <w:br/>
              <w:t>cablagem e outros componentes elétricos</w:t>
            </w:r>
            <w:bookmarkEnd w:id="9"/>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Instruções ao cliente</w:t>
            </w:r>
          </w:p>
        </w:tc>
        <w:tc>
          <w:tcPr>
            <w:tcW w:w="1492"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1701"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C83A67">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Modelo dos requisitos e critérios de adjudicação para projetos fotovoltaicos</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Altere os campos amarelos com texto azul</w:t>
            </w:r>
          </w:p>
        </w:tc>
        <w:tc>
          <w:tcPr>
            <w:tcW w:w="1492"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1701"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Versão: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Introduza quaisquer requisitos adicionais nos campos vazios. Se forem inseridas linhas adicionais, ajuste as fórmulas de numeração automática nas colunas A e H.</w:t>
            </w:r>
          </w:p>
        </w:tc>
      </w:tr>
      <w:tr w:rsidR="00BF060B" w:rsidRPr="00BF060B" w14:paraId="2E57E4A3" w14:textId="77777777" w:rsidTr="00C83A67">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i/>
                <w:iCs/>
                <w:color w:val="808080"/>
                <w:sz w:val="16"/>
              </w:rPr>
              <w:t>Feedback</w:t>
            </w:r>
            <w:r>
              <w:rPr>
                <w:rFonts w:ascii="Arial" w:hAnsi="Arial"/>
                <w:color w:val="808080"/>
                <w:sz w:val="16"/>
              </w:rPr>
              <w:t>/erros/aditamentos: envie uma mensagem de correio eletrónico para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1492"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1701"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937"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C83A67">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ID</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Descrição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Valor</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Incluir requisito?</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Explicação para o cliente</w:t>
            </w:r>
          </w:p>
        </w:tc>
        <w:tc>
          <w:tcPr>
            <w:tcW w:w="1492"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Explicação para o proponente</w:t>
            </w:r>
          </w:p>
        </w:tc>
        <w:tc>
          <w:tcPr>
            <w:tcW w:w="1701"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Verificação e validação</w:t>
            </w:r>
          </w:p>
        </w:tc>
        <w:tc>
          <w:tcPr>
            <w:tcW w:w="1937"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Consequências do desempenho insuficiente</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A. Instalação elétrica</w:t>
            </w:r>
          </w:p>
        </w:tc>
      </w:tr>
      <w:tr w:rsidR="00BF060B" w:rsidRPr="00BF060B" w14:paraId="4A7A0F15" w14:textId="77777777" w:rsidTr="00C83A67">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A instalação deve ser segura e cumprir as normas NEN 1010 e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Inspeção SCIOS Scope 12</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O sistema deve estar equipado com um isolador de CC para efeitos de manutenção. </w:t>
            </w:r>
            <w:r>
              <w:rPr>
                <w:rFonts w:ascii="Arial" w:hAnsi="Arial"/>
                <w:color w:val="000000"/>
                <w:sz w:val="18"/>
              </w:rPr>
              <w:t xml:space="preserve">Este deve estar situado junto dos inversores ou no seu interior.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Inspeção SCIOS Scope 12</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Manter os circuitos de indução entre cabos de CC positivos e negativos (vermelhos/negros) curtos</w:t>
            </w:r>
            <w:r>
              <w:rPr>
                <w:rFonts w:ascii="Arial" w:hAnsi="Arial"/>
                <w:color w:val="000000"/>
                <w:sz w:val="18"/>
              </w:rPr>
              <w:t>. Os cabos do módulo e de retorno de cada cordão devem seguir o mesmo percurso e estar a menos de 1 metro um do outro.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Inspeção SCIOS Scope 12</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A cablagem de CC deve ser codificada segundo a polaridade (preto/vermelho ou +/-) e o número da cadeia de painéis.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Deve ser instalado um dispositivo de proteção contra sobretensões (NEN 62305-4: 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Esse dispositivo protege o inversor contra incêndios resultantes de descargas diretas ou indiretas de raios</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Inspeção SCIOS Scope 12</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B. Conexão dos painéis solares</w:t>
            </w:r>
          </w:p>
        </w:tc>
      </w:tr>
      <w:tr w:rsidR="00BF060B" w:rsidRPr="00BF060B" w14:paraId="48DAC9EF"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painéis conectados ao inversor em série (numa cadeia) devem ter o mesmo ângulo de inclinação e a mesma orientação.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C. Inversores</w:t>
            </w:r>
          </w:p>
        </w:tc>
      </w:tr>
      <w:tr w:rsidR="00BF060B" w:rsidRPr="00BF060B" w14:paraId="581795A9" w14:textId="77777777" w:rsidTr="00C83A67">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Os inversores devem cumprir as normas EN50524, IEC61683, IEC 62109, NEN-EN 50438 e IEC 60068.</w:t>
            </w:r>
            <w:r>
              <w:rPr>
                <w:rFonts w:ascii="Arial" w:hAnsi="Arial"/>
                <w:color w:val="000000"/>
                <w:sz w:val="18"/>
              </w:rPr>
              <w:t xml:space="preserve"> IEC 61683: Medição da eficiência dos condicionadores de potência em sistemas fotovoltaicos. EN 50524: Informações da ficha técnica para inversores fotovoltaicos. IEC 62109: Segurança dos conversores de energia nos sistemas fotovoltaicos. NEN-EN 50438: Instalações de </w:t>
            </w:r>
            <w:proofErr w:type="spellStart"/>
            <w:r>
              <w:rPr>
                <w:rFonts w:ascii="Arial" w:hAnsi="Arial"/>
                <w:color w:val="000000"/>
                <w:sz w:val="18"/>
              </w:rPr>
              <w:t>microgeração</w:t>
            </w:r>
            <w:proofErr w:type="spellEnd"/>
            <w:r>
              <w:rPr>
                <w:rFonts w:ascii="Arial" w:hAnsi="Arial"/>
                <w:color w:val="000000"/>
                <w:sz w:val="18"/>
              </w:rPr>
              <w:t xml:space="preserve"> ligadas a redes públicas de distribuição de baixa tensão. EN 60068: Testes ambientais, capacidade para funcionar nas condições previstas de transporte, armazenamento e utilização.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Requisitos padrão</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A maioria dos inversores satisfaz estes requisitos – indicados na ficha técnica</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Os inversores têm de ter uma garantia do fabricante de, pelo menos:</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anos</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Requisitos de CEM. </w:t>
            </w:r>
            <w:r>
              <w:rPr>
                <w:rFonts w:ascii="Arial" w:hAnsi="Arial"/>
                <w:color w:val="000000"/>
                <w:sz w:val="18"/>
              </w:rPr>
              <w:t xml:space="preserve">Os inversores, painéis solares e qualquer outro equipamento devem satisfazer os </w:t>
            </w:r>
            <w:r>
              <w:rPr>
                <w:rFonts w:ascii="Arial" w:hAnsi="Arial"/>
                <w:color w:val="000000"/>
                <w:sz w:val="18"/>
              </w:rPr>
              <w:lastRenderedPageBreak/>
              <w:t>requisitos de compatibilidade eletromagnética (CEM) em conformidade com as normas NEN-EN-IEC 61000-6-2 (imunidade) e NEN-EN-IEC 61000-6-4 (emissões)</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492"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1701"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937"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No caso de instalação no telhado, o inversor deve ter uma classificação de pelo menos IP65, incluindo proteção contra a luz solar, devendo cumprir outros requisitos especificados pelo fabricante.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C83A67">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inversores devem ter uma eficiência europeia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próprios inversores devem estar equipados com um dispositivo de deteção de falhas por arco, ou deve existir um dispositivo externo de deteção de falhas por arco para todas as cadeias de painéis solares conectadas aos inversores.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 fabricante do inversor deve ser uma parte idónea e ser titular de certificados ISO 9001 e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Regra geral, as peças sobresselentes devem ser entregues no prazo de 72 horas (por exemplo, através de um fornecedor da UE)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Os inversores devem cumprir as orientações do operador de rede, ser adequados à rede elétrica neerlandesa e ostentar a marcação CE (conformidade com a regulamentação da UE)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Deve ser instalado um interruptor do lado da CA do inversor, para este poder ser </w:t>
            </w:r>
            <w:r>
              <w:rPr>
                <w:rFonts w:ascii="Arial" w:hAnsi="Arial"/>
                <w:sz w:val="18"/>
              </w:rPr>
              <w:lastRenderedPageBreak/>
              <w:t>isolado, por exemplo, para fins de manutenção.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Os inversores devem dispor de um dispositivo integrado de desconexão da rede que cumpra a norma VDE 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C83A6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Para as províncias de </w:t>
            </w:r>
            <w:proofErr w:type="spellStart"/>
            <w:r>
              <w:rPr>
                <w:rFonts w:ascii="Arial" w:hAnsi="Arial"/>
                <w:sz w:val="18"/>
              </w:rPr>
              <w:t>Drenthe</w:t>
            </w:r>
            <w:proofErr w:type="spellEnd"/>
            <w:r>
              <w:rPr>
                <w:rFonts w:ascii="Arial" w:hAnsi="Arial"/>
                <w:sz w:val="18"/>
              </w:rPr>
              <w:t xml:space="preserve">, Groningen, </w:t>
            </w:r>
            <w:proofErr w:type="spellStart"/>
            <w:r>
              <w:rPr>
                <w:rFonts w:ascii="Arial" w:hAnsi="Arial"/>
                <w:sz w:val="18"/>
              </w:rPr>
              <w:t>Friesland</w:t>
            </w:r>
            <w:proofErr w:type="spellEnd"/>
            <w:r>
              <w:rPr>
                <w:rFonts w:ascii="Arial" w:hAnsi="Arial"/>
                <w:sz w:val="18"/>
              </w:rPr>
              <w:t xml:space="preserve">, Overijssel e Gelderland: se a instalação de energia solar se situar numa zona de proteção de </w:t>
            </w:r>
            <w:proofErr w:type="spellStart"/>
            <w:r>
              <w:rPr>
                <w:rFonts w:ascii="Arial" w:hAnsi="Arial"/>
                <w:sz w:val="18"/>
              </w:rPr>
              <w:t>Astron</w:t>
            </w:r>
            <w:proofErr w:type="spellEnd"/>
            <w:r>
              <w:rPr>
                <w:rFonts w:ascii="Arial" w:hAnsi="Arial"/>
                <w:sz w:val="18"/>
              </w:rPr>
              <w:t xml:space="preserve"> (https://www.astron.nl/beschermingszones/), os inversores têm de cumprir os requisitos de </w:t>
            </w:r>
            <w:proofErr w:type="spellStart"/>
            <w:r>
              <w:rPr>
                <w:rFonts w:ascii="Arial" w:hAnsi="Arial"/>
                <w:sz w:val="18"/>
              </w:rPr>
              <w:t>Astron</w:t>
            </w:r>
            <w:proofErr w:type="spellEnd"/>
            <w:r>
              <w:rPr>
                <w:rFonts w:ascii="Arial" w:hAnsi="Arial"/>
                <w:sz w:val="18"/>
              </w:rPr>
              <w:t xml:space="preserve">. Ver a «lista branca» dos inversores aprovados no sítio Web acima referido.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Deve ser previsto um espaço suficiente entre os inversores, em conformidade com os requisitos do fabricante.</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A localização dos inversores deve ser proposta pelo contratante e determinada de comum acordo com o cliente.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Os inversores devem ser facilmente acessíveis para assistência e manutenção.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Os inversores devem estar acusticamente isolados da parede ou da estrutura, de modo a evitar o ruído de contacto com paredes, estruturas e pavimentos.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Se o ruído puder constituir um problema</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O inversor deve ser resistente ao nevoeiro salino, em conformidade com a norma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Se a localização for próxima do mar</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C83A6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No caso de instalação no telhado, o inversor deve ter uma classificação de pelo menos IP65, incluindo proteção contra a luz solar, devendo cumprir outros requisitos especificados pelo fabricante.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IP6x para prevenir danos causados por tempestades, etc. IPx5 para prevenir que um funcionário de limpeza excessivamente zeloso, </w:t>
            </w:r>
            <w:r>
              <w:rPr>
                <w:rFonts w:ascii="Arial" w:hAnsi="Arial"/>
                <w:sz w:val="18"/>
              </w:rPr>
              <w:lastRenderedPageBreak/>
              <w:t>munido de uma mangueira de jardim, danifique o inversor.</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Os inversores devem estar devidamente selados e não devem ser acessíveis a pessoas não autorizadas.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Para evitar uma utilização indevida, furto ou vandalismo, os inversores devem ser selados.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D. Cabos, conectores, condutas</w:t>
            </w:r>
          </w:p>
        </w:tc>
      </w:tr>
      <w:tr w:rsidR="00BF060B" w:rsidRPr="00BF060B" w14:paraId="26D1C8CA"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Os conectores de CC devem ser MC4 e cumprir a norma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Os conectores de CC que se unem entre si (macho-fêmea) devem ser do mesmo tipo e fabricante</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O conector de CC deve ter, pelo menos, uma classificação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Toda a cablagem deve cumprir os requisitos da norma IEC 60364-7-712, secção 712.522 (requisitos para sistemas de alimentação fotovoltaica), IEC 60364-5-52 (cabos elétricos em edifícios), IEC 60332-1-2 (resistência ao fogo) e EN 50396 (ensaios não elétricos)</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Todas as cablagens de CC devem ser adequadas para aplicações solares e resistentes à radiação UV e ao ozono.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Todos os componentes do lado da CC (incluindo cabos e conectores) devem ser concebidos para suportar ≥1,15 vezes a tensão em circuito aberto no percurso dos cabos.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color w:val="000000"/>
                <w:sz w:val="18"/>
              </w:rPr>
              <w:t xml:space="preserve">Os </w:t>
            </w:r>
            <w:r>
              <w:rPr>
                <w:rFonts w:ascii="Arial" w:hAnsi="Arial"/>
                <w:b/>
                <w:color w:val="000000"/>
                <w:sz w:val="18"/>
              </w:rPr>
              <w:t>diferentes tipos de cabos</w:t>
            </w:r>
            <w:r>
              <w:rPr>
                <w:rFonts w:ascii="Arial" w:hAnsi="Arial"/>
                <w:color w:val="000000"/>
                <w:sz w:val="18"/>
              </w:rPr>
              <w:t xml:space="preserve"> (por exemplo, cabos de CC, CA e de dados) devem ser utilizados separadamente.</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Inspeção SCIOS Scope 12</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As dimensões dos cabos devem ser conformes com a norma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C83A6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Perdas por cabo: com a carga máxima, as perdas não devem exceder 2 % no lado da CC e 1 % no lado da CA.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Se necessário, ajuste a cada situação específica. Para cabos muito longos, pode ser aceitável uma percentagem de perdas mais elevada, considerando o equilíbrio custo/benefício.</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Se uma instalação contiver múltiplas cadeias de painéis, estas devem cumprir a norma IEC 60364-7-712, estando protegidas contra correntes de sobrecarga por fusíveis no lado positivo e negativo ou através de um dimensionamento adequado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cabos devem cumprir a classe </w:t>
            </w:r>
            <w:proofErr w:type="spellStart"/>
            <w:r>
              <w:rPr>
                <w:rFonts w:ascii="Arial" w:hAnsi="Arial"/>
                <w:b/>
                <w:sz w:val="18"/>
              </w:rPr>
              <w:t>Cca</w:t>
            </w:r>
            <w:proofErr w:type="spellEnd"/>
            <w:r>
              <w:rPr>
                <w:rFonts w:ascii="Arial" w:hAnsi="Arial"/>
                <w:b/>
                <w:sz w:val="18"/>
              </w:rPr>
              <w:t xml:space="preserve"> do Regulamento Produtos de Construção, em conformidade com a norma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cabos devem ser fixados mecanicamente de forma correta.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C83A67">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Os cabos devem ser encaminhados através de condutas ou tubos. O caminho dos cabos do sistema de energia solar pode ser preenchido até 80 % para novas rotas e até 100 % para os caminhos existentes.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As condutas de cabos não devem ser instaladas diretamente sobre o telhado, mas sim fixadas ao telhado ou à </w:t>
            </w:r>
            <w:r>
              <w:rPr>
                <w:rFonts w:ascii="Arial" w:hAnsi="Arial"/>
                <w:b/>
                <w:sz w:val="18"/>
              </w:rPr>
              <w:lastRenderedPageBreak/>
              <w:t>estrutura inferior por meio de capas ou pés de borracha, devendo impedir-se que fiquem pendentes.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A conduta de cabo deve estar sempre pendurada ou posicionada acima do nível máximo de água no telhado.</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Os cabos podem ser instalados em curvas até 90 graus.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C83A67">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 cabo deve ser montado de modo a minimizar a probabilidade de entrada de humidade ou de líquidos nos cabos ou conectores.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As portas de cabos e as portas de telhado devem ser estanques. Tal deve ser efetuado em conformidade com a versão mais recente das «orientações comerciais sobre o sistema de telhado fechado» (</w:t>
            </w:r>
            <w:proofErr w:type="spellStart"/>
            <w:r>
              <w:rPr>
                <w:rFonts w:ascii="Arial" w:hAnsi="Arial"/>
                <w:sz w:val="18"/>
              </w:rPr>
              <w:t>vakrichtlijn</w:t>
            </w:r>
            <w:proofErr w:type="spellEnd"/>
            <w:r>
              <w:rPr>
                <w:rFonts w:ascii="Arial" w:hAnsi="Arial"/>
                <w:sz w:val="18"/>
              </w:rPr>
              <w:t xml:space="preserve"> </w:t>
            </w:r>
            <w:proofErr w:type="spellStart"/>
            <w:r>
              <w:rPr>
                <w:rFonts w:ascii="Arial" w:hAnsi="Arial"/>
                <w:sz w:val="18"/>
              </w:rPr>
              <w:t>gesloten</w:t>
            </w:r>
            <w:proofErr w:type="spellEnd"/>
            <w:r>
              <w:rPr>
                <w:rFonts w:ascii="Arial" w:hAnsi="Arial"/>
                <w:sz w:val="18"/>
              </w:rPr>
              <w:t xml:space="preserve"> </w:t>
            </w:r>
            <w:proofErr w:type="spellStart"/>
            <w:r>
              <w:rPr>
                <w:rFonts w:ascii="Arial" w:hAnsi="Arial"/>
                <w:sz w:val="18"/>
              </w:rPr>
              <w:t>daksysteem</w:t>
            </w:r>
            <w:proofErr w:type="spellEnd"/>
            <w:r>
              <w:rPr>
                <w:rFonts w:ascii="Arial" w:hAnsi="Arial"/>
                <w:sz w:val="18"/>
              </w:rPr>
              <w:t>), ao passo que as portas de parede devem ser feitas em conformidade com o Decreto de Construção de 2012.</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cabos devem ser dispostos de modo a estarem protegidos cortes.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C83A67">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As portas de telhado devem ser corretamente instaladas de modo que o telhado fique estanque, mesmo durante a chuva.</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E. Armário do contador e ligação à rede</w:t>
            </w:r>
          </w:p>
        </w:tc>
      </w:tr>
      <w:tr w:rsidR="00BF060B" w:rsidRPr="00BF060B" w14:paraId="6DDB9370"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 ponto de ligação deve ter um circuito por inversor, um circuito de consumo adicional para os sistemas de monitorização e um contador de produção bruta para o sistema.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O contador de produção bruta deve cumprir os requisitos estabelecidos no regime de subvenções SDE++.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C83A67">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Ao adaptar a caixa de distribuição, os fusíveis (automáticos) pertinentes devem indicar que a instalação é uma instalação de energia solar através de um autocolante e/ou uma placa de plástico que indique: «ATENÇÃO: instalação de energia solar» (ou equivalente). Estes autocolantes devem também ser apostos na conduta de instalação utilizada e nas caixas de junção.</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Requisitos facultativos aplicáveis aos inversores</w:t>
            </w:r>
          </w:p>
        </w:tc>
      </w:tr>
      <w:tr w:rsidR="00BF060B" w:rsidRPr="00BF060B" w14:paraId="1D02C8BF"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Reparáveis. O fabricante deve dispor de um centro de assistência na Europa capaz de reparar inversores ou deve haver empresas externas na Europa autorizadas a reparar inversores.</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C83A67">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Cada inversor deve desempenhar as seguintes funções:</w:t>
            </w:r>
            <w:r>
              <w:rPr>
                <w:rFonts w:ascii="Arial" w:hAnsi="Arial"/>
                <w:b/>
                <w:sz w:val="18"/>
              </w:rPr>
              <w:br/>
              <w:t>– definir parâmetros,</w:t>
            </w:r>
            <w:r>
              <w:rPr>
                <w:rFonts w:ascii="Arial" w:hAnsi="Arial"/>
                <w:b/>
                <w:sz w:val="18"/>
              </w:rPr>
              <w:br/>
              <w:t>– notificar quedas de tensão (CA ou CC),</w:t>
            </w:r>
            <w:r>
              <w:rPr>
                <w:rFonts w:ascii="Arial" w:hAnsi="Arial"/>
                <w:b/>
                <w:sz w:val="18"/>
              </w:rPr>
              <w:br/>
              <w:t>– monitorizar os parâmetros da rede (frequência, tensão, etc.),</w:t>
            </w:r>
            <w:r>
              <w:rPr>
                <w:rFonts w:ascii="Arial" w:hAnsi="Arial"/>
                <w:b/>
                <w:sz w:val="18"/>
              </w:rPr>
              <w:br/>
              <w:t>– desativar-se logo que a rede saia dos limites permitidos.</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492"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C83A67">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Os inversores devem permitir que a energia produzida seja ajustada em função da procura de eletricidade do local, a fim de evitar a injeção na rede.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Por exemplo, em caso de congestionamento da rede na zona que impede temporariamente a injeção. </w:t>
            </w:r>
          </w:p>
        </w:tc>
        <w:tc>
          <w:tcPr>
            <w:tcW w:w="149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70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93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04C1AC17" w14:textId="77777777" w:rsidR="00026952" w:rsidRPr="007061E0" w:rsidRDefault="00026952" w:rsidP="00026952">
      <w:pPr>
        <w:spacing w:after="160" w:line="278" w:lineRule="auto"/>
        <w:rPr>
          <w:rFonts w:eastAsia="Aptos"/>
          <w:kern w:val="2"/>
          <w:sz w:val="16"/>
          <w:szCs w:val="16"/>
          <w:lang w:eastAsia="en-US"/>
          <w14:ligatures w14:val="standardContextual"/>
        </w:rPr>
      </w:pPr>
    </w:p>
    <w:p w14:paraId="14F393BF" w14:textId="04D28FA0" w:rsidR="00026952" w:rsidRPr="007061E0" w:rsidRDefault="00026952" w:rsidP="00026952">
      <w:pPr>
        <w:spacing w:after="160" w:line="278" w:lineRule="auto"/>
        <w:rPr>
          <w:rFonts w:eastAsia="Aptos"/>
          <w:kern w:val="2"/>
          <w:sz w:val="16"/>
          <w:szCs w:val="16"/>
          <w:lang w:eastAsia="en-US"/>
          <w14:ligatures w14:val="standardContextual"/>
        </w:rPr>
      </w:pPr>
    </w:p>
    <w:p w14:paraId="5F77D25D" w14:textId="1561B36A" w:rsidR="00026952" w:rsidRDefault="00026952" w:rsidP="00026952">
      <w:pPr>
        <w:spacing w:after="160" w:line="278" w:lineRule="auto"/>
        <w:rPr>
          <w:rFonts w:eastAsia="Aptos"/>
          <w:kern w:val="2"/>
          <w:sz w:val="16"/>
          <w:szCs w:val="16"/>
          <w:lang w:eastAsia="en-US"/>
          <w14:ligatures w14:val="standardContextual"/>
        </w:rPr>
      </w:pPr>
    </w:p>
    <w:p w14:paraId="7A18D2B0" w14:textId="3C07AFA9" w:rsidR="00BF060B" w:rsidRDefault="00BF060B" w:rsidP="00026952">
      <w:pPr>
        <w:spacing w:after="160" w:line="278" w:lineRule="auto"/>
        <w:rPr>
          <w:rFonts w:eastAsia="Aptos"/>
          <w:kern w:val="2"/>
          <w:sz w:val="16"/>
          <w:szCs w:val="16"/>
          <w:lang w:eastAsia="en-US"/>
          <w14:ligatures w14:val="standardContextual"/>
        </w:rPr>
      </w:pPr>
    </w:p>
    <w:p w14:paraId="2E5AE1EF" w14:textId="5AB21F79" w:rsidR="00BF060B" w:rsidRPr="00681554" w:rsidRDefault="00BF060B" w:rsidP="00026952">
      <w:pPr>
        <w:spacing w:after="160" w:line="278" w:lineRule="auto"/>
        <w:rPr>
          <w:rFonts w:eastAsia="Aptos"/>
          <w:kern w:val="2"/>
          <w:sz w:val="16"/>
          <w:szCs w:val="16"/>
          <w:lang w:eastAsia="en-US"/>
          <w14:ligatures w14:val="standardContextual"/>
        </w:rPr>
      </w:pPr>
    </w:p>
    <w:p w14:paraId="26446D52" w14:textId="7E2AF92F" w:rsidR="006678CB" w:rsidRPr="00681554" w:rsidRDefault="006678CB" w:rsidP="00026952">
      <w:pPr>
        <w:spacing w:after="160" w:line="278" w:lineRule="auto"/>
        <w:rPr>
          <w:rFonts w:eastAsia="Aptos"/>
          <w:kern w:val="2"/>
          <w:sz w:val="16"/>
          <w:szCs w:val="16"/>
          <w:lang w:eastAsia="en-US"/>
          <w14:ligatures w14:val="standardContextual"/>
        </w:rPr>
      </w:pPr>
    </w:p>
    <w:p w14:paraId="0E1087AD" w14:textId="1CDCA493"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2E3B21A8" w14:textId="77777777" w:rsidR="006678CB" w:rsidRPr="00681554" w:rsidRDefault="006678CB" w:rsidP="00026952">
      <w:pPr>
        <w:spacing w:after="160" w:line="278" w:lineRule="auto"/>
        <w:rPr>
          <w:rFonts w:eastAsia="Aptos"/>
          <w:kern w:val="2"/>
          <w:sz w:val="16"/>
          <w:szCs w:val="16"/>
          <w:lang w:eastAsia="en-US"/>
          <w14:ligatures w14:val="standardContextual"/>
        </w:rPr>
      </w:pPr>
    </w:p>
    <w:p w14:paraId="303EED17" w14:textId="52A7A465" w:rsidR="006678CB" w:rsidRDefault="006678CB" w:rsidP="00026952">
      <w:pPr>
        <w:spacing w:after="160" w:line="278" w:lineRule="auto"/>
        <w:rPr>
          <w:rFonts w:eastAsia="Aptos"/>
          <w:kern w:val="2"/>
          <w:sz w:val="16"/>
          <w:szCs w:val="16"/>
          <w:lang w:eastAsia="en-US"/>
          <w14:ligatures w14:val="standardContextual"/>
        </w:rPr>
      </w:pPr>
    </w:p>
    <w:p w14:paraId="59232842" w14:textId="77777777" w:rsidR="00C83A67" w:rsidRDefault="00C83A67" w:rsidP="00026952">
      <w:pPr>
        <w:spacing w:after="160" w:line="278" w:lineRule="auto"/>
        <w:rPr>
          <w:rFonts w:eastAsia="Aptos"/>
          <w:kern w:val="2"/>
          <w:sz w:val="16"/>
          <w:szCs w:val="16"/>
          <w:lang w:eastAsia="en-US"/>
          <w14:ligatures w14:val="standardContextual"/>
        </w:rPr>
      </w:pPr>
    </w:p>
    <w:p w14:paraId="1FD2443B" w14:textId="77777777" w:rsidR="00C83A67" w:rsidRDefault="00C83A67" w:rsidP="00026952">
      <w:pPr>
        <w:spacing w:after="160" w:line="278" w:lineRule="auto"/>
        <w:rPr>
          <w:rFonts w:eastAsia="Aptos"/>
          <w:kern w:val="2"/>
          <w:sz w:val="16"/>
          <w:szCs w:val="16"/>
          <w:lang w:eastAsia="en-US"/>
          <w14:ligatures w14:val="standardContextual"/>
        </w:rPr>
      </w:pPr>
    </w:p>
    <w:p w14:paraId="1D760C85" w14:textId="77777777" w:rsidR="00C83A67" w:rsidRDefault="00C83A67" w:rsidP="00026952">
      <w:pPr>
        <w:spacing w:after="160" w:line="278" w:lineRule="auto"/>
        <w:rPr>
          <w:rFonts w:eastAsia="Aptos"/>
          <w:kern w:val="2"/>
          <w:sz w:val="16"/>
          <w:szCs w:val="16"/>
          <w:lang w:eastAsia="en-US"/>
          <w14:ligatures w14:val="standardContextual"/>
        </w:rPr>
      </w:pPr>
    </w:p>
    <w:p w14:paraId="5F2BA84C" w14:textId="77777777" w:rsidR="00C83A67" w:rsidRDefault="00C83A67" w:rsidP="00026952">
      <w:pPr>
        <w:spacing w:after="160" w:line="278" w:lineRule="auto"/>
        <w:rPr>
          <w:rFonts w:eastAsia="Aptos"/>
          <w:kern w:val="2"/>
          <w:sz w:val="16"/>
          <w:szCs w:val="16"/>
          <w:lang w:eastAsia="en-US"/>
          <w14:ligatures w14:val="standardContextual"/>
        </w:rPr>
      </w:pPr>
    </w:p>
    <w:p w14:paraId="5726828E" w14:textId="75924E36" w:rsidR="006678CB" w:rsidRPr="00681554" w:rsidRDefault="006678CB" w:rsidP="00026952">
      <w:pPr>
        <w:spacing w:after="160" w:line="278" w:lineRule="auto"/>
        <w:rPr>
          <w:rFonts w:eastAsia="Aptos"/>
          <w:kern w:val="2"/>
          <w:sz w:val="16"/>
          <w:szCs w:val="16"/>
          <w:lang w:eastAsia="en-US"/>
          <w14:ligatures w14:val="standardContextual"/>
        </w:rPr>
      </w:pPr>
    </w:p>
    <w:p w14:paraId="61938B46" w14:textId="77777777" w:rsidR="006678CB" w:rsidRPr="00681554"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63111AA4">
                <wp:simplePos x="0" y="0"/>
                <wp:positionH relativeFrom="column">
                  <wp:posOffset>-1344559</wp:posOffset>
                </wp:positionH>
                <wp:positionV relativeFrom="page">
                  <wp:posOffset>3631721</wp:posOffset>
                </wp:positionV>
                <wp:extent cx="6099810" cy="6099810"/>
                <wp:effectExtent l="0" t="0" r="0" b="0"/>
                <wp:wrapNone/>
                <wp:docPr id="1040492543" name="Oval 19"/>
                <wp:cNvGraphicFramePr/>
                <a:graphic xmlns:a="http://schemas.openxmlformats.org/drawingml/2006/main">
                  <a:graphicData uri="http://schemas.microsoft.com/office/word/2010/wordprocessingShape">
                    <wps:wsp>
                      <wps:cNvSpPr/>
                      <wps:spPr>
                        <a:xfrm>
                          <a:off x="0" y="0"/>
                          <a:ext cx="6099810" cy="6099810"/>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AD6C24" id="Oval 19" o:spid="_x0000_s1026" style="position:absolute;margin-left:-105.85pt;margin-top:285.95pt;width:480.3pt;height:480.3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" fillcolor="#9fe4ce" stroked="f" strokeweight="1pt">
                <v:fill opacity="27499f"/>
                <v:stroke joinstyle="miter"/>
                <w10:wrap anchory="page"/>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681554"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9548F1">
      <w:pPr>
        <w:pStyle w:val="MH2"/>
      </w:pPr>
      <w:bookmarkStart w:id="10" w:name="_Toc177482787"/>
      <w:r>
        <w:lastRenderedPageBreak/>
        <w:t>10.5 – Requisitos aplicáveis à instalação elétrica, inversores, cablagem e outros componentes elétricos</w:t>
      </w:r>
      <w:bookmarkEnd w:id="10"/>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1611"/>
        <w:gridCol w:w="1896"/>
        <w:gridCol w:w="13"/>
      </w:tblGrid>
      <w:tr w:rsidR="00E467BD" w:rsidRPr="00E467BD" w14:paraId="56E9B694" w14:textId="77777777" w:rsidTr="00C83A67">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9548F1">
            <w:pPr>
              <w:pStyle w:val="MH3"/>
            </w:pPr>
            <w:bookmarkStart w:id="11" w:name="_Toc177482788"/>
            <w:r>
              <w:t xml:space="preserve">Requisitos – </w:t>
            </w:r>
            <w:r>
              <w:br/>
              <w:t>Estrutura de fixação</w:t>
            </w:r>
            <w:bookmarkEnd w:id="11"/>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Instruções ao cliente</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1611"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C83A67">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Modelo dos requisitos e critérios de adjudicação para projetos fotovoltaicos</w:t>
            </w:r>
          </w:p>
          <w:p w14:paraId="5F0E241B" w14:textId="77777777" w:rsidR="006678CB" w:rsidRPr="00681554"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Altere os campos amarelos com texto azul</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1611"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Versão: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E467BD" w:rsidRPr="00E467BD" w14:paraId="58C2E128" w14:textId="77777777" w:rsidTr="00C83A67">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Introduza quaisquer requisitos adicionais nos campos vazios. Se forem inseridas linhas adicionais, ajuste as fórmulas de numeração automática nas colunas A e H.</w:t>
            </w:r>
          </w:p>
        </w:tc>
        <w:tc>
          <w:tcPr>
            <w:tcW w:w="1611"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83A67">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i/>
                <w:iCs/>
                <w:color w:val="808080"/>
                <w:sz w:val="16"/>
              </w:rPr>
              <w:t>Feedback</w:t>
            </w:r>
            <w:r>
              <w:rPr>
                <w:rFonts w:ascii="Arial" w:hAnsi="Arial"/>
                <w:color w:val="808080"/>
                <w:sz w:val="16"/>
              </w:rPr>
              <w:t xml:space="preserve">/erros/aditamentos: envie uma mensagem de correio eletrónico para </w:t>
            </w:r>
            <w:hyperlink r:id="rId11" w:history="1">
              <w:r>
                <w:rPr>
                  <w:rStyle w:val="Hyperlink"/>
                  <w:rFonts w:ascii="Arial" w:hAnsi="Arial"/>
                  <w:sz w:val="16"/>
                </w:rPr>
                <w:t>BGDPV@pianoo.nl</w:t>
              </w:r>
            </w:hyperlink>
          </w:p>
          <w:p w14:paraId="4744A7E1" w14:textId="77777777" w:rsidR="006678CB" w:rsidRPr="00681554"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1611"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896"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83A67">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ID</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Descrição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Valor</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Incluir requisito?</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Explicação para o cliente</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Explicação para o proponente</w:t>
            </w:r>
          </w:p>
        </w:tc>
        <w:tc>
          <w:tcPr>
            <w:tcW w:w="16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Verificação e validação</w:t>
            </w:r>
          </w:p>
        </w:tc>
        <w:tc>
          <w:tcPr>
            <w:tcW w:w="189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Consequências do desempenho insuficiente</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2" w:name="_Toc176878253"/>
            <w:bookmarkStart w:id="13" w:name="_Toc176879284"/>
            <w:r>
              <w:rPr>
                <w:rFonts w:ascii="Arial" w:hAnsi="Arial"/>
                <w:b/>
                <w:color w:val="000000"/>
              </w:rPr>
              <w:t xml:space="preserve">Requisitos de construção </w:t>
            </w:r>
            <w:r>
              <w:rPr>
                <w:rFonts w:ascii="Arial" w:hAnsi="Arial"/>
                <w:b/>
                <w:color w:val="FF0000"/>
              </w:rPr>
              <w:t>no caso de painéis fotovoltaicos no TELHADO</w:t>
            </w:r>
            <w:bookmarkEnd w:id="12"/>
            <w:bookmarkEnd w:id="13"/>
          </w:p>
        </w:tc>
      </w:tr>
      <w:tr w:rsidR="00E467BD" w:rsidRPr="00E467BD" w14:paraId="6949CE2D" w14:textId="77777777" w:rsidTr="00C83A67">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14" w:name="_Toc176878254"/>
            <w:bookmarkStart w:id="15" w:name="_Toc176879285"/>
            <w:r>
              <w:rPr>
                <w:rFonts w:ascii="Arial" w:hAnsi="Arial"/>
                <w:sz w:val="18"/>
              </w:rPr>
              <w:t>5.1</w:t>
            </w:r>
            <w:bookmarkEnd w:id="14"/>
            <w:bookmarkEnd w:id="1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16" w:name="_Toc176878255"/>
            <w:bookmarkStart w:id="17" w:name="_Toc176879286"/>
            <w:r>
              <w:rPr>
                <w:rFonts w:ascii="Arial" w:hAnsi="Arial"/>
                <w:b/>
                <w:color w:val="000000"/>
                <w:sz w:val="18"/>
              </w:rPr>
              <w:t xml:space="preserve">O projeto deve ser capaz de suportar a carga prevista. </w:t>
            </w:r>
            <w:r>
              <w:rPr>
                <w:rFonts w:ascii="Arial" w:hAnsi="Arial"/>
                <w:color w:val="000000"/>
                <w:sz w:val="18"/>
              </w:rPr>
              <w:t xml:space="preserve">A conceção da estrutura e o material de construção devem cumprir as normas NEN 7250 e </w:t>
            </w:r>
            <w:proofErr w:type="spellStart"/>
            <w:r>
              <w:rPr>
                <w:rFonts w:ascii="Arial" w:hAnsi="Arial"/>
                <w:color w:val="000000"/>
                <w:sz w:val="18"/>
              </w:rPr>
              <w:t>Eurocódigo</w:t>
            </w:r>
            <w:proofErr w:type="spellEnd"/>
            <w:r>
              <w:rPr>
                <w:rFonts w:ascii="Arial" w:hAnsi="Arial"/>
                <w:color w:val="000000"/>
                <w:sz w:val="18"/>
              </w:rPr>
              <w:t xml:space="preserve"> 1 (EN 1991-1-4). Verifique a conceção após a </w:t>
            </w:r>
            <w:r>
              <w:rPr>
                <w:rFonts w:ascii="Arial" w:hAnsi="Arial"/>
                <w:color w:val="000000"/>
                <w:sz w:val="18"/>
              </w:rPr>
              <w:lastRenderedPageBreak/>
              <w:t>adjudicação, mas antes do início da instalação.</w:t>
            </w:r>
            <w:bookmarkEnd w:id="16"/>
            <w:bookmarkEnd w:id="17"/>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7777777" w:rsidR="00E467BD" w:rsidRPr="00E05E85" w:rsidRDefault="00E467BD" w:rsidP="00E467BD">
            <w:pPr>
              <w:spacing w:line="240" w:lineRule="auto"/>
              <w:outlineLvl w:val="0"/>
              <w:rPr>
                <w:rFonts w:ascii="Arial" w:hAnsi="Arial" w:cs="Arial"/>
                <w:sz w:val="18"/>
                <w:szCs w:val="18"/>
              </w:rPr>
            </w:pPr>
            <w:bookmarkStart w:id="18" w:name="_Toc176878256"/>
            <w:bookmarkStart w:id="19" w:name="_Toc176879287"/>
            <w:r>
              <w:rPr>
                <w:rFonts w:ascii="Arial" w:hAnsi="Arial"/>
                <w:color w:val="000000"/>
                <w:sz w:val="18"/>
              </w:rPr>
              <w:t xml:space="preserve">Normas relativas aos aspetos da construção e às cargas devidas ao vento. NEN 7250: </w:t>
            </w:r>
            <w:r>
              <w:rPr>
                <w:rFonts w:ascii="Arial" w:hAnsi="Arial"/>
                <w:i/>
                <w:color w:val="000000"/>
                <w:sz w:val="18"/>
              </w:rPr>
              <w:t xml:space="preserve">«Sistemas de energia solar – integração em telhados e fachadas – aspetos de construção». </w:t>
            </w:r>
            <w:proofErr w:type="spellStart"/>
            <w:r>
              <w:rPr>
                <w:rFonts w:ascii="Arial" w:hAnsi="Arial"/>
                <w:color w:val="000000"/>
                <w:sz w:val="18"/>
              </w:rPr>
              <w:t>Eurocódigo</w:t>
            </w:r>
            <w:proofErr w:type="spellEnd"/>
            <w:r>
              <w:rPr>
                <w:rFonts w:ascii="Arial" w:hAnsi="Arial"/>
                <w:color w:val="000000"/>
                <w:sz w:val="18"/>
              </w:rPr>
              <w:t xml:space="preserve"> 1 – EN 1991-1-4:  </w:t>
            </w:r>
            <w:r>
              <w:rPr>
                <w:rFonts w:ascii="Arial" w:hAnsi="Arial"/>
                <w:i/>
                <w:color w:val="000000"/>
                <w:sz w:val="18"/>
              </w:rPr>
              <w:t xml:space="preserve">«Ações em </w:t>
            </w:r>
            <w:r>
              <w:rPr>
                <w:rFonts w:ascii="Arial" w:hAnsi="Arial"/>
                <w:i/>
                <w:color w:val="000000"/>
                <w:sz w:val="18"/>
              </w:rPr>
              <w:lastRenderedPageBreak/>
              <w:t>estruturas – Parte 1.4: Ações gerais – Ações do vento»</w:t>
            </w:r>
            <w:bookmarkEnd w:id="18"/>
            <w:bookmarkEnd w:id="19"/>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20" w:name="_Toc176878257"/>
            <w:bookmarkStart w:id="21" w:name="_Toc176879288"/>
            <w:r>
              <w:rPr>
                <w:rFonts w:ascii="Arial" w:hAnsi="Arial"/>
                <w:sz w:val="18"/>
              </w:rPr>
              <w:lastRenderedPageBreak/>
              <w:t xml:space="preserve">Os fornecedores de estruturas de fixação em telhados dispõem geralmente de </w:t>
            </w:r>
            <w:r>
              <w:rPr>
                <w:rFonts w:ascii="Arial" w:hAnsi="Arial"/>
                <w:i/>
                <w:iCs/>
                <w:sz w:val="18"/>
              </w:rPr>
              <w:t>software</w:t>
            </w:r>
            <w:r>
              <w:rPr>
                <w:rFonts w:ascii="Arial" w:hAnsi="Arial"/>
                <w:sz w:val="18"/>
              </w:rPr>
              <w:t xml:space="preserve"> ou de uma aplicação Web que permite calcular o lastro necessário para cumprir estas normas.</w:t>
            </w:r>
            <w:bookmarkEnd w:id="20"/>
            <w:bookmarkEnd w:id="21"/>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22" w:name="_Toc176878258"/>
            <w:bookmarkStart w:id="23" w:name="_Toc176879289"/>
            <w:r>
              <w:rPr>
                <w:rFonts w:ascii="Arial" w:hAnsi="Arial"/>
                <w:sz w:val="18"/>
              </w:rPr>
              <w:t xml:space="preserve">Relatório sobre a conceção proposta a partir do </w:t>
            </w:r>
            <w:r>
              <w:rPr>
                <w:rFonts w:ascii="Arial" w:hAnsi="Arial"/>
                <w:i/>
                <w:iCs/>
                <w:sz w:val="18"/>
              </w:rPr>
              <w:t>software</w:t>
            </w:r>
            <w:r>
              <w:rPr>
                <w:rFonts w:ascii="Arial" w:hAnsi="Arial"/>
                <w:sz w:val="18"/>
              </w:rPr>
              <w:t xml:space="preserve"> ou da aplicação Web do fornecedor da estrutura de fixação, a </w:t>
            </w:r>
            <w:r>
              <w:rPr>
                <w:rFonts w:ascii="Arial" w:hAnsi="Arial"/>
                <w:sz w:val="18"/>
              </w:rPr>
              <w:lastRenderedPageBreak/>
              <w:t>apresentar ao contratante antes da instalação.</w:t>
            </w:r>
            <w:bookmarkEnd w:id="22"/>
            <w:bookmarkEnd w:id="23"/>
            <w:r>
              <w:rPr>
                <w:rFonts w:ascii="Arial" w:hAnsi="Arial"/>
                <w:sz w:val="18"/>
              </w:rPr>
              <w:t xml:space="preserve">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24" w:name="_Toc176878259"/>
            <w:bookmarkStart w:id="25" w:name="_Toc176879290"/>
            <w:r>
              <w:rPr>
                <w:rFonts w:ascii="Arial" w:hAnsi="Arial"/>
                <w:color w:val="000000"/>
                <w:sz w:val="18"/>
              </w:rPr>
              <w:lastRenderedPageBreak/>
              <w:t>Consultar e adaptar conforme necessário</w:t>
            </w:r>
            <w:bookmarkEnd w:id="24"/>
            <w:bookmarkEnd w:id="25"/>
          </w:p>
        </w:tc>
      </w:tr>
      <w:tr w:rsidR="00E467BD" w:rsidRPr="00E467BD" w14:paraId="52F125A0" w14:textId="77777777" w:rsidTr="00C83A67">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26" w:name="_Toc176878260"/>
            <w:bookmarkStart w:id="27" w:name="_Toc176879291"/>
            <w:r>
              <w:rPr>
                <w:rFonts w:ascii="Arial" w:hAnsi="Arial"/>
                <w:sz w:val="18"/>
              </w:rPr>
              <w:t>5.2</w:t>
            </w:r>
            <w:bookmarkEnd w:id="26"/>
            <w:bookmarkEnd w:id="2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28" w:name="_Toc176878261"/>
            <w:bookmarkStart w:id="29" w:name="_Toc176879292"/>
            <w:r>
              <w:rPr>
                <w:rFonts w:ascii="Arial" w:hAnsi="Arial"/>
                <w:b/>
                <w:color w:val="000000"/>
                <w:sz w:val="18"/>
              </w:rPr>
              <w:t xml:space="preserve">A conceção deve ser compatível com o telhado. </w:t>
            </w:r>
            <w:r>
              <w:rPr>
                <w:rFonts w:ascii="Arial" w:hAnsi="Arial"/>
                <w:color w:val="000000"/>
                <w:sz w:val="18"/>
              </w:rPr>
              <w:t>O telhado e a estrutura do telhado devem ser capazes de suportar a carga que pode ser exercida sobre eles pelo sistema fotovoltaico em combinação com as condições meteorológicas (neve, vento). Verifique a conceção após a adjudicação, mas antes do início da instalação.</w:t>
            </w:r>
            <w:bookmarkEnd w:id="28"/>
            <w:bookmarkEnd w:id="2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30" w:name="_Toc176878262"/>
            <w:bookmarkStart w:id="31" w:name="_Toc176879293"/>
            <w:r>
              <w:rPr>
                <w:rFonts w:ascii="Arial" w:hAnsi="Arial"/>
                <w:sz w:val="18"/>
              </w:rPr>
              <w:t>No caso de telhados «frágeis» que não sejam adequados para estruturas projetadas para grandes cargas de lastro em condições normais, pode considerar-se o seguinte: reforço do telhado ou da estrutura do telhado, utilizando estruturas de fixação especiais, ou painéis solares especiais que estejam, por exemplo, colados ao telhado.</w:t>
            </w:r>
            <w:bookmarkEnd w:id="30"/>
            <w:bookmarkEnd w:id="31"/>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32" w:name="_Toc176878263"/>
            <w:bookmarkStart w:id="33" w:name="_Toc176879294"/>
            <w:r>
              <w:rPr>
                <w:rFonts w:ascii="Arial" w:hAnsi="Arial"/>
                <w:color w:val="000000"/>
                <w:sz w:val="18"/>
              </w:rPr>
              <w:t>A conceção da instalação fotovoltaica, incluindo os desenhos da estrutura com os locais e pesos do lastro, deve ser apresentada ao contratante para aprovação pelo menos 4 semanas antes da instalação.</w:t>
            </w:r>
            <w:bookmarkEnd w:id="32"/>
            <w:bookmarkEnd w:id="33"/>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34" w:name="_Toc176878264"/>
            <w:bookmarkStart w:id="35" w:name="_Toc176879295"/>
            <w:r>
              <w:rPr>
                <w:rFonts w:ascii="Arial" w:hAnsi="Arial"/>
                <w:color w:val="000000"/>
                <w:sz w:val="18"/>
              </w:rPr>
              <w:t>Consultar e adaptar conforme necessário</w:t>
            </w:r>
            <w:bookmarkEnd w:id="34"/>
            <w:bookmarkEnd w:id="35"/>
          </w:p>
        </w:tc>
      </w:tr>
      <w:tr w:rsidR="00E467BD" w:rsidRPr="00E467BD" w14:paraId="26ED3508" w14:textId="77777777" w:rsidTr="00C83A67">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36" w:name="_Toc176878265"/>
            <w:bookmarkStart w:id="37" w:name="_Toc176879296"/>
            <w:r>
              <w:rPr>
                <w:rFonts w:ascii="Arial" w:hAnsi="Arial"/>
                <w:sz w:val="18"/>
              </w:rPr>
              <w:t>5.3</w:t>
            </w:r>
            <w:bookmarkEnd w:id="36"/>
            <w:bookmarkEnd w:id="3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38" w:name="_Toc176878266"/>
            <w:bookmarkStart w:id="39" w:name="_Toc176879297"/>
            <w:r>
              <w:rPr>
                <w:rFonts w:ascii="Arial" w:hAnsi="Arial"/>
                <w:b/>
                <w:color w:val="000000"/>
                <w:sz w:val="18"/>
              </w:rPr>
              <w:t xml:space="preserve">Ligação à terra. </w:t>
            </w:r>
            <w:r>
              <w:rPr>
                <w:rFonts w:ascii="Arial" w:hAnsi="Arial"/>
                <w:color w:val="000000"/>
                <w:sz w:val="18"/>
              </w:rPr>
              <w:t>Toda a subestrutura do painel deve estar ligada à terra.</w:t>
            </w:r>
            <w:bookmarkEnd w:id="38"/>
            <w:bookmarkEnd w:id="3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40" w:name="_Toc176878267"/>
            <w:bookmarkStart w:id="41" w:name="_Toc176879298"/>
            <w:r>
              <w:rPr>
                <w:rFonts w:ascii="Arial" w:hAnsi="Arial"/>
                <w:sz w:val="18"/>
              </w:rPr>
              <w:t>Inspeção SCIOS Scope 12</w:t>
            </w:r>
            <w:bookmarkEnd w:id="40"/>
            <w:bookmarkEnd w:id="41"/>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C83A67">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42" w:name="_Toc176878268"/>
            <w:bookmarkStart w:id="43" w:name="_Toc176879299"/>
            <w:r>
              <w:rPr>
                <w:rFonts w:ascii="Arial" w:hAnsi="Arial"/>
                <w:sz w:val="18"/>
              </w:rPr>
              <w:t>5.4</w:t>
            </w:r>
            <w:bookmarkEnd w:id="42"/>
            <w:bookmarkEnd w:id="43"/>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44" w:name="_Toc176878269"/>
            <w:bookmarkStart w:id="45" w:name="_Toc176879300"/>
            <w:r>
              <w:rPr>
                <w:rFonts w:ascii="Arial" w:hAnsi="Arial"/>
                <w:b/>
                <w:color w:val="000000"/>
                <w:sz w:val="18"/>
              </w:rPr>
              <w:t>Deve ser instalado um sistema adequado de proteção contra os raios</w:t>
            </w:r>
            <w:bookmarkEnd w:id="44"/>
            <w:bookmarkEnd w:id="4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46" w:name="_Toc176878270"/>
            <w:bookmarkStart w:id="47" w:name="_Toc176879301"/>
            <w:r>
              <w:rPr>
                <w:rFonts w:ascii="Arial" w:hAnsi="Arial"/>
                <w:b/>
                <w:sz w:val="18"/>
              </w:rPr>
              <w:t>?</w:t>
            </w:r>
            <w:bookmarkEnd w:id="46"/>
            <w:bookmarkEnd w:id="47"/>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48" w:name="_Toc176878271"/>
            <w:bookmarkStart w:id="49" w:name="_Toc176879302"/>
            <w:r>
              <w:rPr>
                <w:rFonts w:ascii="Arial" w:hAnsi="Arial"/>
                <w:sz w:val="18"/>
              </w:rPr>
              <w:t>Normalmente, este já está em vigor e, se não for o caso, é instalado independentemente do sistema fotovoltaico. A determinar em consulta com os consultores.</w:t>
            </w:r>
            <w:bookmarkEnd w:id="48"/>
            <w:bookmarkEnd w:id="49"/>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50" w:name="_Toc176878272"/>
            <w:bookmarkStart w:id="51" w:name="_Toc176879303"/>
            <w:r>
              <w:rPr>
                <w:rFonts w:ascii="Arial" w:hAnsi="Arial"/>
                <w:sz w:val="18"/>
              </w:rPr>
              <w:t>Nota: o sistema de proteção contra os raios não deve ser utilizado para ligar a estrutura fotovoltaica à terra.</w:t>
            </w:r>
            <w:bookmarkEnd w:id="50"/>
            <w:bookmarkEnd w:id="51"/>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52" w:name="_Toc176878273"/>
            <w:bookmarkStart w:id="53" w:name="_Toc176879304"/>
            <w:r>
              <w:rPr>
                <w:rFonts w:ascii="Arial" w:hAnsi="Arial"/>
                <w:sz w:val="18"/>
              </w:rPr>
              <w:t>Inspeção SCIOS Scope 12</w:t>
            </w:r>
            <w:bookmarkEnd w:id="52"/>
            <w:bookmarkEnd w:id="53"/>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C83A67">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54" w:name="_Toc176878274"/>
            <w:bookmarkStart w:id="55" w:name="_Toc176879305"/>
            <w:r>
              <w:rPr>
                <w:rFonts w:ascii="Arial" w:hAnsi="Arial"/>
                <w:sz w:val="18"/>
              </w:rPr>
              <w:t>5.5</w:t>
            </w:r>
            <w:bookmarkEnd w:id="54"/>
            <w:bookmarkEnd w:id="5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56" w:name="_Toc176878275"/>
            <w:bookmarkStart w:id="57" w:name="_Toc176879306"/>
            <w:r>
              <w:rPr>
                <w:rFonts w:ascii="Arial" w:hAnsi="Arial"/>
                <w:b/>
                <w:color w:val="000000"/>
                <w:sz w:val="18"/>
              </w:rPr>
              <w:t xml:space="preserve">Diferenças de dilatação. </w:t>
            </w:r>
            <w:r>
              <w:rPr>
                <w:rFonts w:ascii="Arial" w:hAnsi="Arial"/>
                <w:color w:val="000000"/>
                <w:sz w:val="18"/>
              </w:rPr>
              <w:t xml:space="preserve">As superfícies de contacto entre o telhado e a estrutura de montagem fotovoltaica devem ser concebidas de modo que o telhado não seja danificado por diferenças de dilatação térmica entre </w:t>
            </w:r>
            <w:r>
              <w:rPr>
                <w:rFonts w:ascii="Arial" w:hAnsi="Arial"/>
                <w:color w:val="000000"/>
                <w:sz w:val="18"/>
              </w:rPr>
              <w:lastRenderedPageBreak/>
              <w:t>a estrutura de montagem e o telhado.</w:t>
            </w:r>
            <w:bookmarkEnd w:id="56"/>
            <w:bookmarkEnd w:id="5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58" w:name="_Toc176878276"/>
            <w:bookmarkStart w:id="59" w:name="_Toc176879307"/>
            <w:r>
              <w:rPr>
                <w:rFonts w:ascii="Arial" w:hAnsi="Arial"/>
                <w:sz w:val="18"/>
              </w:rPr>
              <w:t>Por exemplo, com uma camada de borracha sob pés metálicos.</w:t>
            </w:r>
            <w:bookmarkEnd w:id="58"/>
            <w:bookmarkEnd w:id="59"/>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60" w:name="_Toc176878277"/>
            <w:bookmarkStart w:id="61" w:name="_Toc176879308"/>
            <w:r>
              <w:rPr>
                <w:rFonts w:ascii="Arial" w:hAnsi="Arial"/>
                <w:sz w:val="18"/>
              </w:rPr>
              <w:t>Verificar conceção</w:t>
            </w:r>
            <w:bookmarkEnd w:id="60"/>
            <w:bookmarkEnd w:id="61"/>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C83A67">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62" w:name="_Toc176878278"/>
            <w:bookmarkStart w:id="63" w:name="_Toc176879309"/>
            <w:r>
              <w:rPr>
                <w:rFonts w:ascii="Arial" w:hAnsi="Arial"/>
                <w:sz w:val="18"/>
              </w:rPr>
              <w:t>5.6</w:t>
            </w:r>
            <w:bookmarkEnd w:id="62"/>
            <w:bookmarkEnd w:id="6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64" w:name="_Toc176878279"/>
            <w:bookmarkStart w:id="65" w:name="_Toc176879310"/>
            <w:r>
              <w:rPr>
                <w:rFonts w:ascii="Arial" w:hAnsi="Arial"/>
                <w:b/>
                <w:color w:val="000000"/>
                <w:sz w:val="18"/>
              </w:rPr>
              <w:t xml:space="preserve">Prevenção de fugas e danos no telhado. </w:t>
            </w:r>
            <w:r>
              <w:rPr>
                <w:rFonts w:ascii="Arial" w:hAnsi="Arial"/>
                <w:color w:val="000000"/>
                <w:sz w:val="18"/>
              </w:rPr>
              <w:t>Se necessário, o contratante deve proteger o telhado contra danos e fugas durante o trabalho.</w:t>
            </w:r>
            <w:bookmarkEnd w:id="64"/>
            <w:bookmarkEnd w:id="65"/>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66" w:name="_Toc176878280"/>
            <w:bookmarkStart w:id="67" w:name="_Toc176879311"/>
            <w:r>
              <w:rPr>
                <w:rFonts w:ascii="Arial" w:hAnsi="Arial"/>
                <w:sz w:val="18"/>
              </w:rPr>
              <w:t>Se necessário, o contratante pode proteger as vias pedonais no telhado com uma camada protetora. As áreas de armazenamento nos telhados podem ser protegidas de forma semelhante. O peso máximo admissível do telhado, nomeadamente no caso das zonas de armazenagem, não deve ser excedido.</w:t>
            </w:r>
            <w:bookmarkEnd w:id="66"/>
            <w:bookmarkEnd w:id="67"/>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68" w:name="_Toc176878281"/>
            <w:bookmarkStart w:id="69" w:name="_Toc176879312"/>
            <w:r>
              <w:rPr>
                <w:rFonts w:ascii="Arial" w:hAnsi="Arial"/>
                <w:sz w:val="18"/>
              </w:rPr>
              <w:t>Inspeção SCIOS Scope 12</w:t>
            </w:r>
            <w:bookmarkEnd w:id="68"/>
            <w:bookmarkEnd w:id="69"/>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70" w:name="_Toc176878282"/>
            <w:bookmarkStart w:id="71" w:name="_Toc176879313"/>
            <w:r>
              <w:rPr>
                <w:rFonts w:ascii="Arial" w:hAnsi="Arial"/>
                <w:color w:val="000000"/>
                <w:sz w:val="18"/>
              </w:rPr>
              <w:t>Em caso de danos ou fugas causados pela instalação fotovoltaica ou pelos trabalhos, os custos de reparação serão suportados pelo contratante.</w:t>
            </w:r>
            <w:bookmarkEnd w:id="70"/>
            <w:bookmarkEnd w:id="71"/>
            <w:r>
              <w:rPr>
                <w:rFonts w:ascii="Arial" w:hAnsi="Arial"/>
                <w:color w:val="000000"/>
                <w:sz w:val="18"/>
              </w:rPr>
              <w:t xml:space="preserve"> </w:t>
            </w:r>
          </w:p>
        </w:tc>
      </w:tr>
      <w:tr w:rsidR="00E467BD" w:rsidRPr="00E467BD" w14:paraId="766AACD7" w14:textId="77777777" w:rsidTr="00C83A67">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72" w:name="_Toc176878283"/>
            <w:bookmarkStart w:id="73" w:name="_Toc176879314"/>
            <w:r>
              <w:rPr>
                <w:rFonts w:ascii="Arial" w:hAnsi="Arial"/>
                <w:sz w:val="18"/>
              </w:rPr>
              <w:t>5.7</w:t>
            </w:r>
            <w:bookmarkEnd w:id="72"/>
            <w:bookmarkEnd w:id="7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74" w:name="_Toc176878284"/>
            <w:bookmarkStart w:id="75" w:name="_Toc176879315"/>
            <w:r>
              <w:rPr>
                <w:rFonts w:ascii="Arial" w:hAnsi="Arial"/>
                <w:b/>
                <w:color w:val="000000"/>
                <w:sz w:val="18"/>
              </w:rPr>
              <w:t xml:space="preserve">Drenagem. </w:t>
            </w:r>
            <w:r>
              <w:rPr>
                <w:rFonts w:ascii="Arial" w:hAnsi="Arial"/>
                <w:color w:val="000000"/>
                <w:sz w:val="18"/>
              </w:rPr>
              <w:t>.O material de montagem não deve obstruir a drenagem do telhado ou da fachada de modo a provocar poças que não ocorreriam na sua ausência.</w:t>
            </w:r>
            <w:bookmarkEnd w:id="74"/>
            <w:bookmarkEnd w:id="75"/>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76" w:name="_Toc176878285"/>
            <w:bookmarkStart w:id="77" w:name="_Toc176879316"/>
            <w:r>
              <w:rPr>
                <w:rFonts w:ascii="Arial" w:hAnsi="Arial"/>
                <w:sz w:val="18"/>
              </w:rPr>
              <w:t>Verificar conceção</w:t>
            </w:r>
            <w:bookmarkEnd w:id="76"/>
            <w:bookmarkEnd w:id="77"/>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78" w:name="_Toc176878286"/>
            <w:bookmarkStart w:id="79" w:name="_Toc176879317"/>
            <w:r>
              <w:rPr>
                <w:rFonts w:ascii="Arial" w:hAnsi="Arial"/>
                <w:b/>
                <w:color w:val="000000"/>
              </w:rPr>
              <w:t xml:space="preserve">Requisitos de construção </w:t>
            </w:r>
            <w:r>
              <w:rPr>
                <w:rFonts w:ascii="Arial" w:hAnsi="Arial"/>
                <w:b/>
                <w:color w:val="7030A0"/>
              </w:rPr>
              <w:t>no caso de painéis fotovoltaicos TERRESTRES</w:t>
            </w:r>
            <w:bookmarkEnd w:id="78"/>
            <w:bookmarkEnd w:id="79"/>
          </w:p>
        </w:tc>
      </w:tr>
      <w:tr w:rsidR="00E467BD" w:rsidRPr="00E467BD" w14:paraId="56294DE2" w14:textId="77777777" w:rsidTr="00C83A67">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80" w:name="_Toc176878287"/>
            <w:bookmarkStart w:id="81" w:name="_Toc176879318"/>
            <w:r>
              <w:rPr>
                <w:rFonts w:ascii="Arial" w:hAnsi="Arial"/>
                <w:sz w:val="18"/>
              </w:rPr>
              <w:t>5.8</w:t>
            </w:r>
            <w:bookmarkEnd w:id="80"/>
            <w:bookmarkEnd w:id="8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82" w:name="_Toc176878288"/>
            <w:bookmarkStart w:id="83" w:name="_Toc176879319"/>
            <w:r>
              <w:rPr>
                <w:rFonts w:ascii="Arial" w:hAnsi="Arial"/>
                <w:b/>
                <w:color w:val="000000"/>
                <w:sz w:val="18"/>
              </w:rPr>
              <w:t xml:space="preserve">O projeto deve ser capaz de suportar a carga prevista. </w:t>
            </w:r>
            <w:r>
              <w:rPr>
                <w:rFonts w:ascii="Arial" w:hAnsi="Arial"/>
                <w:color w:val="000000"/>
                <w:sz w:val="18"/>
              </w:rPr>
              <w:t xml:space="preserve">A conceção da estrutura e o material de construção devem cumprir as normas NEN 7250 e </w:t>
            </w:r>
            <w:proofErr w:type="spellStart"/>
            <w:r>
              <w:rPr>
                <w:rFonts w:ascii="Arial" w:hAnsi="Arial"/>
                <w:color w:val="000000"/>
                <w:sz w:val="18"/>
              </w:rPr>
              <w:t>Eurocódigo</w:t>
            </w:r>
            <w:proofErr w:type="spellEnd"/>
            <w:r>
              <w:rPr>
                <w:rFonts w:ascii="Arial" w:hAnsi="Arial"/>
                <w:color w:val="000000"/>
                <w:sz w:val="18"/>
              </w:rPr>
              <w:t xml:space="preserve"> 1 (EN 1991-1-4). Após a adjudicação, mas antes do início da instalação</w:t>
            </w:r>
            <w:bookmarkEnd w:id="82"/>
            <w:bookmarkEnd w:id="83"/>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84" w:name="_Toc176878289"/>
            <w:bookmarkStart w:id="85" w:name="_Toc176879320"/>
            <w:r>
              <w:rPr>
                <w:rFonts w:ascii="Arial" w:hAnsi="Arial"/>
                <w:sz w:val="18"/>
              </w:rPr>
              <w:t xml:space="preserve">Os fornecedores de estruturas de fixação em telhados dispõem geralmente de </w:t>
            </w:r>
            <w:r>
              <w:rPr>
                <w:rFonts w:ascii="Arial" w:hAnsi="Arial"/>
                <w:i/>
                <w:iCs/>
                <w:sz w:val="18"/>
              </w:rPr>
              <w:t>software</w:t>
            </w:r>
            <w:r>
              <w:rPr>
                <w:rFonts w:ascii="Arial" w:hAnsi="Arial"/>
                <w:sz w:val="18"/>
              </w:rPr>
              <w:t xml:space="preserve"> ou de uma aplicação Web que permite calcular o lastro necessário para cumprir estas normas.</w:t>
            </w:r>
            <w:bookmarkEnd w:id="84"/>
            <w:bookmarkEnd w:id="85"/>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86" w:name="_Toc176878290"/>
            <w:bookmarkStart w:id="87" w:name="_Toc176879321"/>
            <w:r>
              <w:rPr>
                <w:rFonts w:ascii="Arial" w:hAnsi="Arial"/>
                <w:sz w:val="18"/>
              </w:rPr>
              <w:t xml:space="preserve">Relatório sobre a conceção proposta a partir do </w:t>
            </w:r>
            <w:r>
              <w:rPr>
                <w:rFonts w:ascii="Arial" w:hAnsi="Arial"/>
                <w:i/>
                <w:iCs/>
                <w:sz w:val="18"/>
              </w:rPr>
              <w:t>software</w:t>
            </w:r>
            <w:r>
              <w:rPr>
                <w:rFonts w:ascii="Arial" w:hAnsi="Arial"/>
                <w:sz w:val="18"/>
              </w:rPr>
              <w:t xml:space="preserve"> ou da aplicação Web do fornecedor da estrutura de fixação, a apresentar ao contratante antes da instalação.</w:t>
            </w:r>
            <w:bookmarkEnd w:id="86"/>
            <w:bookmarkEnd w:id="87"/>
            <w:r>
              <w:rPr>
                <w:rFonts w:ascii="Arial" w:hAnsi="Arial"/>
                <w:sz w:val="18"/>
              </w:rPr>
              <w:t xml:space="preserve">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6BDDF8B" w14:textId="77777777" w:rsidTr="00C83A67">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88" w:name="_Toc176878291"/>
            <w:bookmarkStart w:id="89" w:name="_Toc176879322"/>
            <w:r>
              <w:rPr>
                <w:rFonts w:ascii="Arial" w:hAnsi="Arial"/>
                <w:sz w:val="18"/>
              </w:rPr>
              <w:lastRenderedPageBreak/>
              <w:t>5.9</w:t>
            </w:r>
            <w:bookmarkEnd w:id="88"/>
            <w:bookmarkEnd w:id="8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90" w:name="_Toc176878292"/>
            <w:bookmarkStart w:id="91" w:name="_Toc176879323"/>
            <w:r>
              <w:rPr>
                <w:rFonts w:ascii="Arial" w:hAnsi="Arial"/>
                <w:b/>
                <w:color w:val="000000"/>
                <w:sz w:val="18"/>
              </w:rPr>
              <w:t>Proteção dos alicerces.</w:t>
            </w:r>
            <w:r>
              <w:rPr>
                <w:rFonts w:ascii="Arial" w:hAnsi="Arial"/>
                <w:color w:val="000000"/>
                <w:sz w:val="18"/>
              </w:rPr>
              <w:t xml:space="preserve"> Os componentes (por exemplo, postes de aço) que entram no solo estão protegidos contra a corrosão que pode ser causada pelo pH do solo, permitindo contar com um tempo de vida de, pelo menos, 25 anos.</w:t>
            </w:r>
            <w:bookmarkEnd w:id="90"/>
            <w:bookmarkEnd w:id="91"/>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92" w:name="_Toc176878293"/>
            <w:bookmarkStart w:id="93" w:name="_Toc176879324"/>
            <w:r>
              <w:rPr>
                <w:rFonts w:ascii="Arial" w:hAnsi="Arial"/>
                <w:b/>
                <w:color w:val="0070C0"/>
                <w:sz w:val="18"/>
              </w:rPr>
              <w:t>O valor do pH do solo é…</w:t>
            </w:r>
            <w:bookmarkEnd w:id="92"/>
            <w:bookmarkEnd w:id="93"/>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94" w:name="_Toc176878294"/>
            <w:bookmarkStart w:id="95" w:name="_Toc176879325"/>
            <w:r>
              <w:rPr>
                <w:rFonts w:ascii="Arial" w:hAnsi="Arial"/>
                <w:sz w:val="18"/>
              </w:rPr>
              <w:t>Recomendação para determinar a acidez do solo durante o estudo preliminar. Determina o tipo de revestimento a aplicar (por exemplo, x </w:t>
            </w:r>
            <w:proofErr w:type="spellStart"/>
            <w:r>
              <w:rPr>
                <w:rFonts w:ascii="Arial" w:hAnsi="Arial"/>
                <w:sz w:val="18"/>
              </w:rPr>
              <w:t>μm</w:t>
            </w:r>
            <w:proofErr w:type="spellEnd"/>
            <w:r>
              <w:rPr>
                <w:rFonts w:ascii="Arial" w:hAnsi="Arial"/>
                <w:sz w:val="18"/>
              </w:rPr>
              <w:t xml:space="preserve"> </w:t>
            </w:r>
            <w:proofErr w:type="spellStart"/>
            <w:r>
              <w:rPr>
                <w:rFonts w:ascii="Arial" w:hAnsi="Arial"/>
                <w:sz w:val="18"/>
              </w:rPr>
              <w:t>ZnMg</w:t>
            </w:r>
            <w:proofErr w:type="spellEnd"/>
            <w:r>
              <w:rPr>
                <w:rFonts w:ascii="Arial" w:hAnsi="Arial"/>
                <w:sz w:val="18"/>
              </w:rPr>
              <w:t>)</w:t>
            </w:r>
            <w:bookmarkEnd w:id="94"/>
            <w:bookmarkEnd w:id="95"/>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96" w:name="_Toc176878295"/>
            <w:bookmarkStart w:id="97" w:name="_Toc176879326"/>
            <w:r>
              <w:rPr>
                <w:rFonts w:ascii="Arial" w:hAnsi="Arial"/>
                <w:sz w:val="18"/>
              </w:rPr>
              <w:t>Inspeção SCIOS Scope 12</w:t>
            </w:r>
            <w:bookmarkEnd w:id="96"/>
            <w:bookmarkEnd w:id="97"/>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98" w:name="_Toc176878296"/>
            <w:bookmarkStart w:id="99" w:name="_Toc176879327"/>
            <w:r>
              <w:rPr>
                <w:rFonts w:ascii="Arial" w:hAnsi="Arial"/>
                <w:b/>
                <w:color w:val="000000"/>
              </w:rPr>
              <w:t xml:space="preserve">Requisitos de construção </w:t>
            </w:r>
            <w:r>
              <w:rPr>
                <w:rFonts w:ascii="Arial" w:hAnsi="Arial"/>
                <w:b/>
                <w:color w:val="00B0F0"/>
              </w:rPr>
              <w:t>no caso de painéis fotovoltaicos FLUTUANTES</w:t>
            </w:r>
            <w:bookmarkEnd w:id="98"/>
            <w:bookmarkEnd w:id="99"/>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100" w:name="_Toc176878297"/>
            <w:bookmarkStart w:id="101" w:name="_Toc176879328"/>
            <w:r>
              <w:rPr>
                <w:rFonts w:ascii="Arial" w:hAnsi="Arial"/>
                <w:b/>
                <w:color w:val="FF0000"/>
                <w:sz w:val="18"/>
              </w:rPr>
              <w:t xml:space="preserve">Nota: as estruturas fotovoltaicas flutuantes são um desenvolvimento relativamente novo, mesmo nas vias navegáveis interiores. Os procedimentos normalizados e de ensaio relativos às ações do vento e das ondas ainda estão a ser desenvolvidos. Contacte o consórcio </w:t>
            </w:r>
            <w:proofErr w:type="spellStart"/>
            <w:r>
              <w:rPr>
                <w:rFonts w:ascii="Arial" w:hAnsi="Arial"/>
                <w:b/>
                <w:color w:val="FF0000"/>
                <w:sz w:val="18"/>
              </w:rPr>
              <w:t>Zon</w:t>
            </w:r>
            <w:proofErr w:type="spellEnd"/>
            <w:r>
              <w:rPr>
                <w:rFonts w:ascii="Arial" w:hAnsi="Arial"/>
                <w:b/>
                <w:color w:val="FF0000"/>
                <w:sz w:val="18"/>
              </w:rPr>
              <w:t xml:space="preserve"> </w:t>
            </w:r>
            <w:proofErr w:type="spellStart"/>
            <w:r>
              <w:rPr>
                <w:rFonts w:ascii="Arial" w:hAnsi="Arial"/>
                <w:b/>
                <w:color w:val="FF0000"/>
                <w:sz w:val="18"/>
              </w:rPr>
              <w:t>op</w:t>
            </w:r>
            <w:proofErr w:type="spellEnd"/>
            <w:r>
              <w:rPr>
                <w:rFonts w:ascii="Arial" w:hAnsi="Arial"/>
                <w:b/>
                <w:color w:val="FF0000"/>
                <w:sz w:val="18"/>
              </w:rPr>
              <w:t xml:space="preserve"> </w:t>
            </w:r>
            <w:proofErr w:type="spellStart"/>
            <w:r>
              <w:rPr>
                <w:rFonts w:ascii="Arial" w:hAnsi="Arial"/>
                <w:b/>
                <w:color w:val="FF0000"/>
                <w:sz w:val="18"/>
              </w:rPr>
              <w:t>Water</w:t>
            </w:r>
            <w:proofErr w:type="spellEnd"/>
            <w:r>
              <w:rPr>
                <w:rFonts w:ascii="Arial" w:hAnsi="Arial"/>
                <w:b/>
                <w:color w:val="FF0000"/>
                <w:sz w:val="18"/>
              </w:rPr>
              <w:t xml:space="preserve"> [Sistemas Solares Flutuantes] em: </w:t>
            </w:r>
            <w:hyperlink r:id="rId12" w:history="1">
              <w:r>
                <w:rPr>
                  <w:rStyle w:val="Hyperlink"/>
                  <w:rFonts w:ascii="Arial" w:hAnsi="Arial"/>
                  <w:b/>
                  <w:sz w:val="18"/>
                </w:rPr>
                <w:t>www.zonopwater.nl</w:t>
              </w:r>
              <w:bookmarkEnd w:id="100"/>
              <w:bookmarkEnd w:id="101"/>
            </w:hyperlink>
          </w:p>
        </w:tc>
      </w:tr>
      <w:tr w:rsidR="00E467BD" w:rsidRPr="00E467BD" w14:paraId="1D6F2655" w14:textId="77777777" w:rsidTr="00C83A67">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102" w:name="_Toc176878298"/>
            <w:bookmarkStart w:id="103" w:name="_Toc176879329"/>
            <w:r>
              <w:rPr>
                <w:rFonts w:ascii="Arial" w:hAnsi="Arial"/>
                <w:sz w:val="18"/>
              </w:rPr>
              <w:t>5.10</w:t>
            </w:r>
            <w:bookmarkEnd w:id="102"/>
            <w:bookmarkEnd w:id="103"/>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104" w:name="_Toc176878299"/>
            <w:bookmarkStart w:id="105" w:name="_Toc176879330"/>
            <w:r>
              <w:rPr>
                <w:rFonts w:ascii="Arial" w:hAnsi="Arial"/>
                <w:b/>
                <w:color w:val="000000"/>
                <w:sz w:val="18"/>
              </w:rPr>
              <w:t xml:space="preserve">Conceção. </w:t>
            </w:r>
            <w:r>
              <w:rPr>
                <w:rFonts w:ascii="Arial" w:hAnsi="Arial"/>
                <w:color w:val="000000"/>
                <w:sz w:val="18"/>
              </w:rPr>
              <w:t>A conceção da estrutura e o material de construção devem ser capazes de resistir à ação relevante do vento.</w:t>
            </w:r>
            <w:bookmarkEnd w:id="104"/>
            <w:bookmarkEnd w:id="105"/>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106" w:name="_Toc176878300"/>
            <w:bookmarkStart w:id="107" w:name="_Toc176879331"/>
            <w:r>
              <w:rPr>
                <w:rFonts w:ascii="Arial" w:hAnsi="Arial"/>
                <w:b/>
                <w:color w:val="0070C0"/>
                <w:sz w:val="18"/>
              </w:rPr>
              <w:t>A decidir</w:t>
            </w:r>
            <w:bookmarkEnd w:id="106"/>
            <w:bookmarkEnd w:id="10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108" w:name="_Toc176878301"/>
            <w:bookmarkStart w:id="109" w:name="_Toc176879332"/>
            <w:r>
              <w:rPr>
                <w:rFonts w:ascii="Arial" w:hAnsi="Arial"/>
                <w:sz w:val="18"/>
              </w:rPr>
              <w:t>Normas ainda em desenvolvimento. A decidir após consulta do consultor técnico, dependendo muito da localização.</w:t>
            </w:r>
            <w:bookmarkEnd w:id="108"/>
            <w:bookmarkEnd w:id="109"/>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C83A67">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110" w:name="_Toc176878302"/>
            <w:bookmarkStart w:id="111" w:name="_Toc176879333"/>
            <w:r>
              <w:rPr>
                <w:rFonts w:ascii="Arial" w:hAnsi="Arial"/>
                <w:sz w:val="18"/>
              </w:rPr>
              <w:t>5.11</w:t>
            </w:r>
            <w:bookmarkEnd w:id="110"/>
            <w:bookmarkEnd w:id="111"/>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112" w:name="_Toc176878303"/>
            <w:bookmarkStart w:id="113" w:name="_Toc176879334"/>
            <w:r>
              <w:rPr>
                <w:rFonts w:ascii="Arial" w:hAnsi="Arial"/>
                <w:b/>
                <w:color w:val="000000"/>
                <w:sz w:val="18"/>
              </w:rPr>
              <w:t xml:space="preserve">Conceção. </w:t>
            </w:r>
            <w:r>
              <w:rPr>
                <w:rFonts w:ascii="Arial" w:hAnsi="Arial"/>
                <w:color w:val="000000"/>
                <w:sz w:val="18"/>
              </w:rPr>
              <w:t>A conceção da estrutura, o material de construção e a ancoragem devem ser capazes de resistir à ação relevante das ondas.</w:t>
            </w:r>
            <w:bookmarkEnd w:id="112"/>
            <w:bookmarkEnd w:id="113"/>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114" w:name="_Toc176878304"/>
            <w:bookmarkStart w:id="115" w:name="_Toc176879335"/>
            <w:r>
              <w:rPr>
                <w:rFonts w:ascii="Arial" w:hAnsi="Arial"/>
                <w:b/>
                <w:color w:val="0070C0"/>
                <w:sz w:val="18"/>
              </w:rPr>
              <w:t>A decidir</w:t>
            </w:r>
            <w:bookmarkEnd w:id="114"/>
            <w:bookmarkEnd w:id="11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116" w:name="_Toc176878305"/>
            <w:bookmarkStart w:id="117" w:name="_Toc176879336"/>
            <w:r>
              <w:rPr>
                <w:rFonts w:ascii="Arial" w:hAnsi="Arial"/>
                <w:sz w:val="18"/>
              </w:rPr>
              <w:t>Normas ainda em desenvolvimento. A decidir após consulta do consultor técnico, dependendo muito da localização.</w:t>
            </w:r>
            <w:bookmarkEnd w:id="116"/>
            <w:bookmarkEnd w:id="117"/>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89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118" w:name="_Toc176878306"/>
            <w:bookmarkStart w:id="119" w:name="_Toc176879337"/>
            <w:r>
              <w:rPr>
                <w:rFonts w:ascii="Arial" w:hAnsi="Arial"/>
                <w:b/>
              </w:rPr>
              <w:t>Materiais</w:t>
            </w:r>
            <w:bookmarkEnd w:id="118"/>
            <w:bookmarkEnd w:id="119"/>
          </w:p>
        </w:tc>
      </w:tr>
      <w:tr w:rsidR="00E467BD" w:rsidRPr="00E467BD" w14:paraId="224A040B" w14:textId="77777777" w:rsidTr="00C83A67">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120" w:name="_Toc176878307"/>
            <w:bookmarkStart w:id="121" w:name="_Toc176879338"/>
            <w:r>
              <w:rPr>
                <w:rFonts w:ascii="Arial" w:hAnsi="Arial"/>
                <w:sz w:val="18"/>
              </w:rPr>
              <w:t>5.12</w:t>
            </w:r>
            <w:bookmarkEnd w:id="120"/>
            <w:bookmarkEnd w:id="12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122" w:name="_Toc176878308"/>
            <w:bookmarkStart w:id="123" w:name="_Toc176879339"/>
            <w:r>
              <w:rPr>
                <w:rFonts w:ascii="Arial" w:hAnsi="Arial"/>
                <w:b/>
                <w:sz w:val="18"/>
              </w:rPr>
              <w:t>Os componentes de aço devem ser protegidos contra a corrosão.</w:t>
            </w:r>
            <w:bookmarkEnd w:id="122"/>
            <w:bookmarkEnd w:id="123"/>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C83A67">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124" w:name="_Toc176878309"/>
            <w:bookmarkStart w:id="125" w:name="_Toc176879340"/>
            <w:r>
              <w:rPr>
                <w:rFonts w:ascii="Arial" w:hAnsi="Arial"/>
                <w:sz w:val="18"/>
              </w:rPr>
              <w:t>5.13</w:t>
            </w:r>
            <w:bookmarkEnd w:id="124"/>
            <w:bookmarkEnd w:id="125"/>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126" w:name="_Toc176878310"/>
            <w:bookmarkStart w:id="127" w:name="_Toc176879341"/>
            <w:r>
              <w:rPr>
                <w:rFonts w:ascii="Arial" w:hAnsi="Arial"/>
                <w:b/>
                <w:sz w:val="18"/>
              </w:rPr>
              <w:t>Os elementos de fixação devem estar em conformidade com a norma NEN-EN-ISO 10683.</w:t>
            </w:r>
            <w:bookmarkEnd w:id="126"/>
            <w:bookmarkEnd w:id="12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128" w:name="_Toc176878311"/>
            <w:bookmarkStart w:id="129" w:name="_Toc176879342"/>
            <w:r>
              <w:rPr>
                <w:rFonts w:ascii="Arial" w:hAnsi="Arial"/>
                <w:color w:val="000000"/>
                <w:sz w:val="18"/>
              </w:rPr>
              <w:t xml:space="preserve">NEN-EN-ISO 10683: </w:t>
            </w:r>
            <w:r>
              <w:rPr>
                <w:rFonts w:ascii="Arial" w:hAnsi="Arial"/>
                <w:i/>
                <w:color w:val="000000"/>
                <w:sz w:val="18"/>
              </w:rPr>
              <w:t xml:space="preserve">«Elementos de fixação – revestimentos de flocos de zinco aplicados não </w:t>
            </w:r>
            <w:proofErr w:type="spellStart"/>
            <w:r>
              <w:rPr>
                <w:rFonts w:ascii="Arial" w:hAnsi="Arial"/>
                <w:i/>
                <w:color w:val="000000"/>
                <w:sz w:val="18"/>
              </w:rPr>
              <w:t>eletroliticamente</w:t>
            </w:r>
            <w:proofErr w:type="spellEnd"/>
            <w:r>
              <w:rPr>
                <w:rFonts w:ascii="Arial" w:hAnsi="Arial"/>
                <w:i/>
                <w:color w:val="000000"/>
                <w:sz w:val="18"/>
              </w:rPr>
              <w:t>»</w:t>
            </w:r>
            <w:bookmarkEnd w:id="128"/>
            <w:bookmarkEnd w:id="129"/>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C83A67">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130" w:name="_Toc176878312"/>
            <w:bookmarkStart w:id="131" w:name="_Toc176879343"/>
            <w:r>
              <w:rPr>
                <w:rFonts w:ascii="Arial" w:hAnsi="Arial"/>
                <w:sz w:val="18"/>
              </w:rPr>
              <w:lastRenderedPageBreak/>
              <w:t>5.14</w:t>
            </w:r>
            <w:bookmarkEnd w:id="130"/>
            <w:bookmarkEnd w:id="131"/>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132" w:name="_Toc176878313"/>
            <w:bookmarkStart w:id="133" w:name="_Toc176879344"/>
            <w:r>
              <w:rPr>
                <w:rFonts w:ascii="Arial" w:hAnsi="Arial"/>
                <w:b/>
                <w:sz w:val="18"/>
              </w:rPr>
              <w:t>Os materiais devem ser escolhidos de modo que não haja efeitos adversos resultantes de diferenças de nobreza entre os metais e os materiais utilizados.</w:t>
            </w:r>
            <w:bookmarkEnd w:id="132"/>
            <w:bookmarkEnd w:id="133"/>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134" w:name="_Toc176878314"/>
            <w:bookmarkStart w:id="135" w:name="_Toc176879345"/>
            <w:r>
              <w:rPr>
                <w:rFonts w:ascii="Arial" w:hAnsi="Arial"/>
                <w:sz w:val="18"/>
              </w:rPr>
              <w:t>Por exemplo: a presença de determinadas ligas de aço em contacto mecânico direto com componentes de alumínio pode provocar corrosão galvânica em determinadas relações de peso.</w:t>
            </w:r>
            <w:bookmarkEnd w:id="134"/>
            <w:bookmarkEnd w:id="135"/>
            <w:r>
              <w:rPr>
                <w:rFonts w:ascii="Arial" w:hAnsi="Arial"/>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C83A67">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136" w:name="_Toc176878315"/>
            <w:bookmarkStart w:id="137" w:name="_Toc176879346"/>
            <w:r>
              <w:rPr>
                <w:rFonts w:ascii="Arial" w:hAnsi="Arial"/>
                <w:sz w:val="18"/>
              </w:rPr>
              <w:t>5.15</w:t>
            </w:r>
            <w:bookmarkEnd w:id="136"/>
            <w:bookmarkEnd w:id="137"/>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138" w:name="_Toc176878316"/>
            <w:bookmarkStart w:id="139" w:name="_Toc176879347"/>
            <w:r>
              <w:rPr>
                <w:rFonts w:ascii="Arial" w:hAnsi="Arial"/>
                <w:b/>
                <w:sz w:val="18"/>
              </w:rPr>
              <w:t>A robustez da estrutura referida na NEN-EN 1990 deve ser suficiente durante todo o período de utilização.</w:t>
            </w:r>
            <w:bookmarkEnd w:id="138"/>
            <w:bookmarkEnd w:id="139"/>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140" w:name="_Toc176878317"/>
            <w:bookmarkStart w:id="141" w:name="_Toc176879348"/>
            <w:r>
              <w:rPr>
                <w:rFonts w:ascii="Arial" w:hAnsi="Arial"/>
                <w:color w:val="000000"/>
                <w:sz w:val="18"/>
              </w:rPr>
              <w:t xml:space="preserve">NEN-EN 1990: </w:t>
            </w:r>
            <w:r>
              <w:rPr>
                <w:rFonts w:ascii="Arial" w:hAnsi="Arial"/>
                <w:i/>
                <w:color w:val="000000"/>
                <w:sz w:val="18"/>
              </w:rPr>
              <w:t>«</w:t>
            </w:r>
            <w:proofErr w:type="spellStart"/>
            <w:r>
              <w:rPr>
                <w:rFonts w:ascii="Arial" w:hAnsi="Arial"/>
                <w:i/>
                <w:color w:val="000000"/>
                <w:sz w:val="18"/>
              </w:rPr>
              <w:t>Eurocódigo</w:t>
            </w:r>
            <w:proofErr w:type="spellEnd"/>
            <w:r>
              <w:rPr>
                <w:rFonts w:ascii="Arial" w:hAnsi="Arial"/>
                <w:i/>
                <w:color w:val="000000"/>
                <w:sz w:val="18"/>
              </w:rPr>
              <w:t xml:space="preserve"> – Bases para o projeto de estruturas». </w:t>
            </w:r>
            <w:r>
              <w:rPr>
                <w:rFonts w:ascii="Arial" w:hAnsi="Arial"/>
                <w:color w:val="000000"/>
                <w:sz w:val="18"/>
              </w:rPr>
              <w:t>Esta norma estabelece os requisitos básicos relativos à segurança, à facilidade de utilização e à durabilidade das estruturas. Define os princípios de conceção, cálculo e ensaio e fornece orientações sobre aspetos conexos da fiabilidade estrutural.</w:t>
            </w:r>
            <w:bookmarkEnd w:id="140"/>
            <w:bookmarkEnd w:id="141"/>
            <w:r>
              <w:rPr>
                <w:rFonts w:ascii="Arial" w:hAnsi="Arial"/>
                <w:color w:val="000000"/>
                <w:sz w:val="18"/>
              </w:rPr>
              <w:t xml:space="preserve">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142" w:name="_Toc176878318"/>
            <w:bookmarkStart w:id="143" w:name="_Toc176879349"/>
            <w:r>
              <w:rPr>
                <w:rFonts w:ascii="Arial" w:hAnsi="Arial"/>
                <w:b/>
                <w:color w:val="0070C0"/>
              </w:rPr>
              <w:t>Facultativo</w:t>
            </w:r>
            <w:bookmarkEnd w:id="142"/>
            <w:bookmarkEnd w:id="143"/>
            <w:r>
              <w:rPr>
                <w:rFonts w:ascii="Arial" w:hAnsi="Arial"/>
                <w:b/>
                <w:sz w:val="18"/>
              </w:rPr>
              <w:t> </w:t>
            </w:r>
          </w:p>
        </w:tc>
      </w:tr>
      <w:tr w:rsidR="00E467BD" w:rsidRPr="00E467BD" w14:paraId="12544328" w14:textId="77777777" w:rsidTr="00C83A67">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144" w:name="_Toc176878319"/>
            <w:bookmarkStart w:id="145" w:name="_Toc176879350"/>
            <w:r>
              <w:rPr>
                <w:rFonts w:ascii="Arial" w:hAnsi="Arial"/>
                <w:sz w:val="18"/>
              </w:rPr>
              <w:t>5.16</w:t>
            </w:r>
            <w:bookmarkEnd w:id="144"/>
            <w:bookmarkEnd w:id="145"/>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146" w:name="_Toc176878320"/>
            <w:bookmarkStart w:id="147" w:name="_Toc176879351"/>
            <w:r>
              <w:rPr>
                <w:rFonts w:ascii="Arial" w:hAnsi="Arial"/>
                <w:b/>
                <w:color w:val="000000"/>
                <w:sz w:val="18"/>
              </w:rPr>
              <w:t>Cor das partes visíveis da estrutura de fixação</w:t>
            </w:r>
            <w:bookmarkEnd w:id="146"/>
            <w:bookmarkEnd w:id="147"/>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148" w:name="_Toc176878321"/>
            <w:bookmarkStart w:id="149" w:name="_Toc176879352"/>
            <w:r>
              <w:rPr>
                <w:rFonts w:ascii="Arial" w:hAnsi="Arial"/>
                <w:b/>
                <w:sz w:val="18"/>
              </w:rPr>
              <w:t>?</w:t>
            </w:r>
            <w:bookmarkEnd w:id="148"/>
            <w:bookmarkEnd w:id="149"/>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150" w:name="_Toc176878322"/>
            <w:bookmarkStart w:id="151" w:name="_Toc176879353"/>
            <w:r>
              <w:rPr>
                <w:rFonts w:ascii="Arial" w:hAnsi="Arial"/>
                <w:sz w:val="18"/>
              </w:rPr>
              <w:t>Facultativo quando montado em telhados inclinados</w:t>
            </w:r>
            <w:bookmarkEnd w:id="150"/>
            <w:bookmarkEnd w:id="151"/>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6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C83A67">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152" w:name="_Toc176878323"/>
            <w:bookmarkStart w:id="153" w:name="_Toc176879354"/>
            <w:r>
              <w:rPr>
                <w:rFonts w:ascii="Arial" w:hAnsi="Arial"/>
                <w:sz w:val="18"/>
              </w:rPr>
              <w:t>5.17</w:t>
            </w:r>
            <w:bookmarkEnd w:id="152"/>
            <w:bookmarkEnd w:id="153"/>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154" w:name="_Toc176878324"/>
            <w:bookmarkStart w:id="155" w:name="_Toc176879355"/>
            <w:r>
              <w:rPr>
                <w:rFonts w:ascii="Arial" w:hAnsi="Arial"/>
                <w:b/>
                <w:sz w:val="18"/>
              </w:rPr>
              <w:t>As ligações entre os componentes devem contribuir para a prevenção do roubo.</w:t>
            </w:r>
            <w:bookmarkEnd w:id="154"/>
            <w:bookmarkEnd w:id="155"/>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156" w:name="_Toc176878325"/>
            <w:bookmarkStart w:id="157" w:name="_Toc176879356"/>
            <w:r>
              <w:rPr>
                <w:rFonts w:ascii="Arial" w:hAnsi="Arial"/>
                <w:b/>
                <w:sz w:val="18"/>
              </w:rPr>
              <w:t>?</w:t>
            </w:r>
            <w:bookmarkEnd w:id="156"/>
            <w:bookmarkEnd w:id="157"/>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158" w:name="_Toc176878326"/>
            <w:bookmarkStart w:id="159" w:name="_Toc176879357"/>
            <w:r>
              <w:rPr>
                <w:rFonts w:ascii="Arial" w:hAnsi="Arial"/>
                <w:color w:val="000000"/>
                <w:sz w:val="18"/>
              </w:rPr>
              <w:t>Facultativo em caso de localização remota: para ajudar a prevenir o roubo, as ligações não devem poder ser desfeitas utilizando ferramentas comuns.</w:t>
            </w:r>
            <w:bookmarkEnd w:id="158"/>
            <w:bookmarkEnd w:id="159"/>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16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89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46A33709" w14:textId="5F3D1747" w:rsidR="00E732CC" w:rsidRDefault="00A11B94" w:rsidP="00C83A67">
      <w:pPr>
        <w:spacing w:after="160" w:line="278" w:lineRule="auto"/>
        <w:rPr>
          <w:rFonts w:eastAsia="Aptos"/>
          <w:kern w:val="2"/>
          <w:sz w:val="16"/>
          <w:szCs w:val="16"/>
          <w:lang w:eastAsia="en-US"/>
          <w14:ligatures w14:val="standardContextual"/>
        </w:rPr>
      </w:pPr>
      <w:r>
        <w:rPr>
          <w:noProof/>
          <w:color w:val="92D050"/>
          <w:sz w:val="40"/>
        </w:rPr>
        <w:lastRenderedPageBreak/>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58592" behindDoc="0" locked="0" layoutInCell="1" allowOverlap="1" wp14:anchorId="22CF528F" wp14:editId="0E7837FE">
                <wp:simplePos x="0" y="0"/>
                <wp:positionH relativeFrom="column">
                  <wp:posOffset>7371715</wp:posOffset>
                </wp:positionH>
                <wp:positionV relativeFrom="page">
                  <wp:posOffset>2876550</wp:posOffset>
                </wp:positionV>
                <wp:extent cx="511810" cy="511810"/>
                <wp:effectExtent l="0" t="0" r="2540" b="2540"/>
                <wp:wrapNone/>
                <wp:docPr id="1564075817" name="Oval 19"/>
                <wp:cNvGraphicFramePr/>
                <a:graphic xmlns:a="http://schemas.openxmlformats.org/drawingml/2006/main">
                  <a:graphicData uri="http://schemas.microsoft.com/office/word/2010/wordprocessingShape">
                    <wps:wsp>
                      <wps:cNvSpPr/>
                      <wps:spPr>
                        <a:xfrm>
                          <a:off x="0" y="0"/>
                          <a:ext cx="511810" cy="511810"/>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7A2CB29" id="Oval 19" o:spid="_x0000_s1026" style="position:absolute;margin-left:580.45pt;margin-top:226.5pt;width:40.3pt;height:40.3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" fillcolor="#9fe4ce" stroked="f" strokeweight="1pt">
                <v:fill opacity="41377f"/>
                <v:stroke joinstyle="miter"/>
                <w10:wrap anchory="page"/>
              </v:oval>
            </w:pict>
          </mc:Fallback>
        </mc:AlternateContent>
      </w:r>
      <w:r>
        <w:rPr>
          <w:noProof/>
          <w:color w:val="92D050"/>
          <w:sz w:val="40"/>
        </w:rPr>
        <mc:AlternateContent>
          <mc:Choice Requires="wps">
            <w:drawing>
              <wp:anchor distT="0" distB="0" distL="114300" distR="114300" simplePos="0" relativeHeight="251750400" behindDoc="0" locked="0" layoutInCell="1" allowOverlap="1" wp14:anchorId="0B1A43FF" wp14:editId="67DC0632">
                <wp:simplePos x="0" y="0"/>
                <wp:positionH relativeFrom="column">
                  <wp:posOffset>-635</wp:posOffset>
                </wp:positionH>
                <wp:positionV relativeFrom="page">
                  <wp:posOffset>3752850</wp:posOffset>
                </wp:positionV>
                <wp:extent cx="4749165" cy="4749165"/>
                <wp:effectExtent l="0" t="0" r="0" b="0"/>
                <wp:wrapNone/>
                <wp:docPr id="1198272793" name="Oval 19"/>
                <wp:cNvGraphicFramePr/>
                <a:graphic xmlns:a="http://schemas.openxmlformats.org/drawingml/2006/main">
                  <a:graphicData uri="http://schemas.microsoft.com/office/word/2010/wordprocessingShape">
                    <wps:wsp>
                      <wps:cNvSpPr/>
                      <wps:spPr>
                        <a:xfrm>
                          <a:off x="0" y="0"/>
                          <a:ext cx="4749165" cy="4749165"/>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DF5EF4F" id="Oval 19" o:spid="_x0000_s1026" style="position:absolute;margin-left:-.05pt;margin-top:295.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" fillcolor="#9fe4ce" stroked="f" strokeweight="1pt">
                <v:fill opacity="13878f"/>
                <v:stroke joinstyle="miter"/>
                <w10:wrap anchory="page"/>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9A11386">
                <wp:simplePos x="0" y="0"/>
                <wp:positionH relativeFrom="column">
                  <wp:posOffset>5304790</wp:posOffset>
                </wp:positionH>
                <wp:positionV relativeFrom="page">
                  <wp:posOffset>3219450</wp:posOffset>
                </wp:positionV>
                <wp:extent cx="736600" cy="736600"/>
                <wp:effectExtent l="0" t="0" r="6350" b="6350"/>
                <wp:wrapNone/>
                <wp:docPr id="1278084716"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E608D6B" id="Oval 19" o:spid="_x0000_s1026" style="position:absolute;margin-left:417.7pt;margin-top:253.5pt;width:58pt;height:58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" fillcolor="#9fe4ce" stroked="f" strokeweight="1pt">
                <v:fill opacity="19789f"/>
                <v:stroke joinstyle="miter"/>
                <w10:wrap anchory="page"/>
              </v:oval>
            </w:pict>
          </mc:Fallback>
        </mc:AlternateContent>
      </w:r>
    </w:p>
    <w:p w14:paraId="1A2CE6AC" w14:textId="4F994970" w:rsidR="00E732CC" w:rsidRDefault="00E732CC" w:rsidP="009548F1">
      <w:pPr>
        <w:pStyle w:val="MH2"/>
      </w:pPr>
      <w:bookmarkStart w:id="160" w:name="_Toc177482789"/>
      <w:r>
        <w:t>10.6 – Requisitos – Estrutura de fixação</w:t>
      </w:r>
      <w:bookmarkEnd w:id="160"/>
    </w:p>
    <w:p w14:paraId="6CF48CC5" w14:textId="7021E43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349"/>
        <w:gridCol w:w="2965"/>
        <w:gridCol w:w="1393"/>
        <w:gridCol w:w="216"/>
        <w:gridCol w:w="232"/>
        <w:gridCol w:w="701"/>
        <w:gridCol w:w="2207"/>
        <w:gridCol w:w="1976"/>
        <w:gridCol w:w="511"/>
        <w:gridCol w:w="1080"/>
        <w:gridCol w:w="1112"/>
        <w:gridCol w:w="1252"/>
        <w:gridCol w:w="331"/>
        <w:gridCol w:w="263"/>
      </w:tblGrid>
      <w:tr w:rsidR="00343E75" w:rsidRPr="001A0646" w14:paraId="0BAA8070" w14:textId="77777777" w:rsidTr="00343E75">
        <w:trPr>
          <w:trHeight w:val="434"/>
        </w:trPr>
        <w:tc>
          <w:tcPr>
            <w:tcW w:w="4575" w:type="dxa"/>
            <w:gridSpan w:val="2"/>
            <w:tcBorders>
              <w:bottom w:val="nil"/>
              <w:right w:val="nil"/>
            </w:tcBorders>
            <w:shd w:val="clear" w:color="000000" w:fill="FFFFFF"/>
            <w:noWrap/>
            <w:hideMark/>
          </w:tcPr>
          <w:p w14:paraId="107E3A44" w14:textId="77777777" w:rsidR="001A0646" w:rsidRPr="001A0646" w:rsidRDefault="001A0646" w:rsidP="009548F1">
            <w:pPr>
              <w:pStyle w:val="MH3"/>
            </w:pPr>
            <w:bookmarkStart w:id="161" w:name="_Toc177482790"/>
            <w:r>
              <w:t>Requisitos – conclusão, inspeção e controlo</w:t>
            </w:r>
            <w:bookmarkEnd w:id="161"/>
          </w:p>
        </w:tc>
        <w:tc>
          <w:tcPr>
            <w:tcW w:w="1979"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Instruções ao cliente</w:t>
            </w:r>
          </w:p>
        </w:tc>
        <w:tc>
          <w:tcPr>
            <w:tcW w:w="1822"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2034"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41BED325" w14:textId="77777777" w:rsidTr="00343E75">
        <w:trPr>
          <w:trHeight w:val="281"/>
        </w:trPr>
        <w:tc>
          <w:tcPr>
            <w:tcW w:w="4575" w:type="dxa"/>
            <w:gridSpan w:val="2"/>
            <w:tcBorders>
              <w:top w:val="nil"/>
              <w:bottom w:val="nil"/>
              <w:right w:val="nil"/>
            </w:tcBorders>
            <w:shd w:val="clear" w:color="000000" w:fill="FFFFFF"/>
            <w:noWrap/>
            <w:hideMark/>
          </w:tcPr>
          <w:p w14:paraId="270DFD84" w14:textId="77777777" w:rsidR="001A0646" w:rsidRPr="00CE1B5F" w:rsidRDefault="001A0646" w:rsidP="001A0646">
            <w:pPr>
              <w:spacing w:line="240" w:lineRule="auto"/>
              <w:rPr>
                <w:rFonts w:ascii="Arial" w:hAnsi="Arial" w:cs="Arial"/>
                <w:i/>
                <w:iCs/>
                <w:color w:val="000000"/>
                <w:sz w:val="21"/>
                <w:szCs w:val="21"/>
              </w:rPr>
            </w:pPr>
            <w:r>
              <w:rPr>
                <w:rFonts w:ascii="Arial" w:hAnsi="Arial"/>
                <w:i/>
                <w:color w:val="104D54"/>
                <w:sz w:val="21"/>
              </w:rPr>
              <w:t>Modelo dos requisitos e critérios de adjudicação para projetos fotovoltaicos</w:t>
            </w:r>
          </w:p>
        </w:tc>
        <w:tc>
          <w:tcPr>
            <w:tcW w:w="1979" w:type="dxa"/>
            <w:gridSpan w:val="2"/>
            <w:tcBorders>
              <w:top w:val="nil"/>
              <w:left w:val="nil"/>
              <w:bottom w:val="nil"/>
              <w:right w:val="nil"/>
            </w:tcBorders>
            <w:shd w:val="clear" w:color="000000" w:fill="FFFFFF"/>
            <w:hideMark/>
          </w:tcPr>
          <w:p w14:paraId="5EC3669A"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0943FDE3"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106F9C13" w14:textId="77C364B3"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1. Altere os campos amarelos com texto azul</w:t>
            </w:r>
          </w:p>
        </w:tc>
        <w:tc>
          <w:tcPr>
            <w:tcW w:w="1822" w:type="dxa"/>
            <w:gridSpan w:val="2"/>
            <w:tcBorders>
              <w:top w:val="nil"/>
              <w:left w:val="nil"/>
              <w:bottom w:val="nil"/>
              <w:right w:val="nil"/>
            </w:tcBorders>
            <w:shd w:val="clear" w:color="000000" w:fill="FFFFFF"/>
            <w:hideMark/>
          </w:tcPr>
          <w:p w14:paraId="24C337A1"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7039F433"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7A5A4B20"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7500FB8A"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343E75">
        <w:trPr>
          <w:gridAfter w:val="1"/>
          <w:wAfter w:w="263" w:type="dxa"/>
          <w:trHeight w:val="281"/>
        </w:trPr>
        <w:tc>
          <w:tcPr>
            <w:tcW w:w="4575"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Versão: 0.99</w:t>
            </w:r>
          </w:p>
        </w:tc>
        <w:tc>
          <w:tcPr>
            <w:tcW w:w="1979"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336"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CE1B5F" w:rsidRPr="001A0646" w14:paraId="7A4E2BDE" w14:textId="77777777" w:rsidTr="00343E75">
        <w:trPr>
          <w:trHeight w:val="281"/>
        </w:trPr>
        <w:tc>
          <w:tcPr>
            <w:tcW w:w="4575"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979"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036"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Introduza quaisquer requisitos adicionais nos campos vazios. Se forem inseridas linhas adicionais, ajuste as fórmulas de numeração automática nas colunas A e H.</w:t>
            </w:r>
          </w:p>
        </w:tc>
        <w:tc>
          <w:tcPr>
            <w:tcW w:w="2300"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343E75" w:rsidRPr="001A0646" w14:paraId="2FD33481" w14:textId="77777777" w:rsidTr="00343E75">
        <w:trPr>
          <w:trHeight w:val="281"/>
        </w:trPr>
        <w:tc>
          <w:tcPr>
            <w:tcW w:w="4575" w:type="dxa"/>
            <w:gridSpan w:val="2"/>
            <w:tcBorders>
              <w:top w:val="nil"/>
              <w:bottom w:val="nil"/>
              <w:right w:val="nil"/>
            </w:tcBorders>
            <w:shd w:val="clear" w:color="000000" w:fill="FFFFFF"/>
            <w:noWrap/>
            <w:hideMark/>
          </w:tcPr>
          <w:p w14:paraId="1A0654EB" w14:textId="663D4CEB" w:rsidR="001A0646" w:rsidRPr="00CE1B5F" w:rsidRDefault="001A0646" w:rsidP="001A0646">
            <w:pPr>
              <w:spacing w:line="240" w:lineRule="auto"/>
              <w:rPr>
                <w:rFonts w:ascii="Arial" w:hAnsi="Arial" w:cs="Arial"/>
                <w:color w:val="104D54"/>
                <w:sz w:val="16"/>
                <w:szCs w:val="16"/>
              </w:rPr>
            </w:pPr>
            <w:r>
              <w:rPr>
                <w:rFonts w:ascii="Arial" w:hAnsi="Arial"/>
                <w:i/>
                <w:iCs/>
                <w:color w:val="808080"/>
                <w:sz w:val="16"/>
              </w:rPr>
              <w:t>Feedback</w:t>
            </w:r>
            <w:r>
              <w:rPr>
                <w:rFonts w:ascii="Arial" w:hAnsi="Arial"/>
                <w:color w:val="808080"/>
                <w:sz w:val="16"/>
              </w:rPr>
              <w:t xml:space="preserve">/erros/aditamentos: envie uma mensagem de correio eletrónico para </w:t>
            </w:r>
            <w:hyperlink r:id="rId13" w:history="1">
              <w:r>
                <w:rPr>
                  <w:rStyle w:val="Hyperlink"/>
                  <w:rFonts w:ascii="Arial" w:hAnsi="Arial"/>
                  <w:color w:val="104D54"/>
                  <w:sz w:val="16"/>
                </w:rPr>
                <w:t>BGDPV@pianoo.nl</w:t>
              </w:r>
            </w:hyperlink>
          </w:p>
          <w:p w14:paraId="37FEE408" w14:textId="77777777" w:rsidR="00CE1B5F" w:rsidRPr="00681554" w:rsidRDefault="00CE1B5F" w:rsidP="001A0646">
            <w:pPr>
              <w:spacing w:line="240" w:lineRule="auto"/>
              <w:rPr>
                <w:rFonts w:ascii="Arial" w:hAnsi="Arial" w:cs="Arial"/>
                <w:color w:val="808080"/>
                <w:sz w:val="16"/>
                <w:szCs w:val="16"/>
                <w:lang w:eastAsia="en-GB"/>
              </w:rPr>
            </w:pPr>
          </w:p>
          <w:p w14:paraId="23F5E4D4" w14:textId="77777777" w:rsidR="00CE1B5F" w:rsidRPr="00681554" w:rsidRDefault="00CE1B5F" w:rsidP="001A0646">
            <w:pPr>
              <w:spacing w:line="240" w:lineRule="auto"/>
              <w:rPr>
                <w:rFonts w:ascii="Arial" w:hAnsi="Arial" w:cs="Arial"/>
                <w:color w:val="808080"/>
                <w:sz w:val="16"/>
                <w:szCs w:val="16"/>
                <w:lang w:eastAsia="en-GB"/>
              </w:rPr>
            </w:pPr>
          </w:p>
        </w:tc>
        <w:tc>
          <w:tcPr>
            <w:tcW w:w="1979" w:type="dxa"/>
            <w:gridSpan w:val="2"/>
            <w:tcBorders>
              <w:top w:val="nil"/>
              <w:left w:val="nil"/>
              <w:bottom w:val="nil"/>
              <w:right w:val="nil"/>
            </w:tcBorders>
            <w:shd w:val="clear" w:color="000000" w:fill="FFFFFF"/>
            <w:hideMark/>
          </w:tcPr>
          <w:p w14:paraId="2B586093" w14:textId="77777777" w:rsidR="001A0646" w:rsidRPr="001A0646" w:rsidRDefault="001A0646" w:rsidP="001A0646">
            <w:pPr>
              <w:spacing w:line="240" w:lineRule="auto"/>
              <w:rPr>
                <w:rFonts w:ascii="Calibri" w:hAnsi="Calibri" w:cs="Calibri"/>
              </w:rPr>
            </w:pPr>
            <w:r>
              <w:rPr>
                <w:rFonts w:ascii="Calibri" w:hAnsi="Calibri"/>
              </w:rPr>
              <w:t> </w:t>
            </w:r>
          </w:p>
        </w:tc>
        <w:tc>
          <w:tcPr>
            <w:tcW w:w="435" w:type="dxa"/>
            <w:tcBorders>
              <w:top w:val="nil"/>
              <w:left w:val="nil"/>
              <w:bottom w:val="nil"/>
              <w:right w:val="nil"/>
            </w:tcBorders>
            <w:shd w:val="clear" w:color="000000" w:fill="FFFFFF"/>
            <w:hideMark/>
          </w:tcPr>
          <w:p w14:paraId="787DACC8" w14:textId="77777777" w:rsidR="001A0646" w:rsidRPr="00CE1B5F" w:rsidRDefault="001A0646" w:rsidP="001A0646">
            <w:pPr>
              <w:spacing w:line="240" w:lineRule="auto"/>
              <w:rPr>
                <w:rFonts w:ascii="Arial" w:hAnsi="Arial" w:cs="Arial"/>
              </w:rPr>
            </w:pPr>
            <w:r>
              <w:rPr>
                <w:rFonts w:ascii="Arial" w:hAnsi="Arial"/>
              </w:rPr>
              <w:t> </w:t>
            </w:r>
          </w:p>
        </w:tc>
        <w:tc>
          <w:tcPr>
            <w:tcW w:w="3076" w:type="dxa"/>
            <w:gridSpan w:val="2"/>
            <w:tcBorders>
              <w:top w:val="nil"/>
              <w:left w:val="nil"/>
              <w:bottom w:val="nil"/>
              <w:right w:val="nil"/>
            </w:tcBorders>
            <w:shd w:val="clear" w:color="000000" w:fill="FFFFFF"/>
            <w:noWrap/>
            <w:vAlign w:val="center"/>
            <w:hideMark/>
          </w:tcPr>
          <w:p w14:paraId="085A7C81" w14:textId="10576ACA" w:rsidR="001A0646" w:rsidRPr="00343E75" w:rsidRDefault="001A0646" w:rsidP="001A0646">
            <w:pPr>
              <w:spacing w:line="240" w:lineRule="auto"/>
              <w:rPr>
                <w:rFonts w:ascii="Arial" w:hAnsi="Arial" w:cs="Arial"/>
                <w:color w:val="808080"/>
                <w:sz w:val="16"/>
                <w:szCs w:val="16"/>
              </w:rPr>
            </w:pPr>
            <w:r>
              <w:rPr>
                <w:rFonts w:ascii="Arial" w:hAnsi="Arial"/>
                <w:color w:val="808080"/>
                <w:sz w:val="16"/>
              </w:rPr>
              <w:t xml:space="preserve">4. 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1822" w:type="dxa"/>
            <w:gridSpan w:val="2"/>
            <w:tcBorders>
              <w:top w:val="nil"/>
              <w:left w:val="nil"/>
              <w:bottom w:val="nil"/>
              <w:right w:val="nil"/>
            </w:tcBorders>
            <w:shd w:val="clear" w:color="000000" w:fill="FFFFFF"/>
            <w:noWrap/>
            <w:hideMark/>
          </w:tcPr>
          <w:p w14:paraId="1267207B" w14:textId="77777777" w:rsidR="001A0646" w:rsidRPr="001A0646" w:rsidRDefault="001A0646" w:rsidP="001A0646">
            <w:pPr>
              <w:spacing w:line="240" w:lineRule="auto"/>
              <w:rPr>
                <w:rFonts w:ascii="Calibri" w:hAnsi="Calibri" w:cs="Calibri"/>
                <w:color w:val="000000"/>
                <w:sz w:val="18"/>
                <w:szCs w:val="18"/>
              </w:rPr>
            </w:pPr>
            <w:r>
              <w:rPr>
                <w:rFonts w:ascii="Calibri" w:hAnsi="Calibri"/>
                <w:color w:val="000000"/>
                <w:sz w:val="18"/>
              </w:rPr>
              <w:t> </w:t>
            </w:r>
          </w:p>
        </w:tc>
        <w:tc>
          <w:tcPr>
            <w:tcW w:w="2034" w:type="dxa"/>
            <w:gridSpan w:val="2"/>
            <w:tcBorders>
              <w:top w:val="nil"/>
              <w:left w:val="nil"/>
              <w:bottom w:val="nil"/>
              <w:right w:val="nil"/>
            </w:tcBorders>
            <w:shd w:val="clear" w:color="000000" w:fill="FFFFFF"/>
            <w:noWrap/>
            <w:hideMark/>
          </w:tcPr>
          <w:p w14:paraId="1955CA54"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404" w:type="dxa"/>
            <w:gridSpan w:val="2"/>
            <w:tcBorders>
              <w:top w:val="nil"/>
              <w:left w:val="nil"/>
              <w:bottom w:val="nil"/>
              <w:right w:val="nil"/>
            </w:tcBorders>
            <w:shd w:val="clear" w:color="000000" w:fill="FFFFFF"/>
            <w:hideMark/>
          </w:tcPr>
          <w:p w14:paraId="0B3FC279"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3" w:type="dxa"/>
            <w:tcBorders>
              <w:top w:val="nil"/>
              <w:left w:val="nil"/>
              <w:bottom w:val="nil"/>
              <w:right w:val="nil"/>
            </w:tcBorders>
            <w:shd w:val="clear" w:color="000000" w:fill="FFFFFF"/>
            <w:hideMark/>
          </w:tcPr>
          <w:p w14:paraId="28145A26"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343E75">
        <w:trPr>
          <w:gridAfter w:val="1"/>
          <w:wAfter w:w="263" w:type="dxa"/>
          <w:trHeight w:val="1108"/>
        </w:trPr>
        <w:tc>
          <w:tcPr>
            <w:tcW w:w="14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ID</w:t>
            </w:r>
          </w:p>
        </w:tc>
        <w:tc>
          <w:tcPr>
            <w:tcW w:w="315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Descrição do requisito</w:t>
            </w:r>
          </w:p>
        </w:tc>
        <w:tc>
          <w:tcPr>
            <w:tcW w:w="17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Valor</w:t>
            </w:r>
          </w:p>
        </w:tc>
        <w:tc>
          <w:tcPr>
            <w:tcW w:w="144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Incluir requisito?</w:t>
            </w:r>
          </w:p>
        </w:tc>
        <w:tc>
          <w:tcPr>
            <w:tcW w:w="23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Explicação para o cliente</w:t>
            </w:r>
          </w:p>
        </w:tc>
        <w:tc>
          <w:tcPr>
            <w:tcW w:w="129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Explicação para o proponente</w:t>
            </w:r>
          </w:p>
        </w:tc>
        <w:tc>
          <w:tcPr>
            <w:tcW w:w="166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Verificação e validação</w:t>
            </w:r>
          </w:p>
        </w:tc>
        <w:tc>
          <w:tcPr>
            <w:tcW w:w="1968"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Consequências do desempenho</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insuficiente</w:t>
            </w:r>
          </w:p>
        </w:tc>
        <w:tc>
          <w:tcPr>
            <w:tcW w:w="332"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343E75">
        <w:trPr>
          <w:gridAfter w:val="1"/>
          <w:wAfter w:w="263" w:type="dxa"/>
          <w:trHeight w:val="287"/>
        </w:trPr>
        <w:tc>
          <w:tcPr>
            <w:tcW w:w="14993"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Relatório de conclusão</w:t>
            </w:r>
          </w:p>
        </w:tc>
        <w:tc>
          <w:tcPr>
            <w:tcW w:w="332"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343E75">
        <w:trPr>
          <w:gridAfter w:val="1"/>
          <w:wAfter w:w="263" w:type="dxa"/>
          <w:trHeight w:val="3214"/>
        </w:trPr>
        <w:tc>
          <w:tcPr>
            <w:tcW w:w="1424"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lastRenderedPageBreak/>
              <w:t>6.1</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Após a conclusão, deve ser fornecido um documento de conclusão </w:t>
            </w:r>
            <w:r>
              <w:rPr>
                <w:rFonts w:ascii="Arial" w:hAnsi="Arial"/>
                <w:b/>
                <w:color w:val="000000"/>
                <w:sz w:val="20"/>
                <w:u w:val="single"/>
              </w:rPr>
              <w:t>para cada local</w:t>
            </w:r>
            <w:r>
              <w:rPr>
                <w:rFonts w:ascii="Arial" w:hAnsi="Arial"/>
                <w:b/>
                <w:color w:val="000000"/>
                <w:sz w:val="20"/>
              </w:rPr>
              <w:t>, sob a forma de um ficheiro «como construído». O ficheiro deve incluir as seguintes informações:</w:t>
            </w:r>
          </w:p>
        </w:tc>
        <w:tc>
          <w:tcPr>
            <w:tcW w:w="1703"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Verificar o relatório de conclusão em comparação com o projeto anteriormente apresentado</w:t>
            </w:r>
          </w:p>
        </w:tc>
        <w:tc>
          <w:tcPr>
            <w:tcW w:w="1968"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Corrigir desvios em relação ao valor de projeto, se o cliente considerar necessário</w:t>
            </w:r>
          </w:p>
        </w:tc>
        <w:tc>
          <w:tcPr>
            <w:tcW w:w="332"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Nome e endereço das instalações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Manual de instruções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343E75">
        <w:trPr>
          <w:gridAfter w:val="1"/>
          <w:wAfter w:w="263" w:type="dxa"/>
          <w:trHeight w:val="105"/>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Instruções de segurança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Mapas de quantidades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Disposição dos painéis, inversores e cadeias de painéis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Diagramas esquemáticos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Estrutura de apoio</w:t>
            </w:r>
            <w:r>
              <w:rPr>
                <w:rFonts w:ascii="Arial" w:hAnsi="Arial"/>
                <w:color w:val="000000"/>
                <w:sz w:val="20"/>
              </w:rPr>
              <w:t>: especificações técnicas, declaração de estabilidade, garantias e certificados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Painéis solares</w:t>
            </w:r>
            <w:r>
              <w:rPr>
                <w:rFonts w:ascii="Arial" w:hAnsi="Arial"/>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Ficha técnica com especificações técnicas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Avaliação simplificada do carbono emitida pela </w:t>
            </w:r>
            <w:proofErr w:type="spellStart"/>
            <w:r>
              <w:rPr>
                <w:rFonts w:ascii="Arial" w:hAnsi="Arial"/>
                <w:color w:val="000000"/>
                <w:sz w:val="20"/>
              </w:rPr>
              <w:t>Certisolis</w:t>
            </w:r>
            <w:proofErr w:type="spellEnd"/>
            <w:r>
              <w:rPr>
                <w:rFonts w:ascii="Arial" w:hAnsi="Arial"/>
                <w:color w:val="000000"/>
                <w:sz w:val="20"/>
              </w:rPr>
              <w:t xml:space="preserve"> em conformidade com a PPE2/CRE4</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Garantia do produto + garantia de desempenho</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Lista dos números de série dos painéis + dados do </w:t>
            </w:r>
            <w:r>
              <w:rPr>
                <w:rFonts w:ascii="Arial" w:hAnsi="Arial"/>
                <w:i/>
                <w:iCs/>
                <w:color w:val="000000"/>
                <w:sz w:val="20"/>
              </w:rPr>
              <w:t xml:space="preserve">flash </w:t>
            </w:r>
            <w:proofErr w:type="spellStart"/>
            <w:r>
              <w:rPr>
                <w:rFonts w:ascii="Arial" w:hAnsi="Arial"/>
                <w:i/>
                <w:iCs/>
                <w:color w:val="000000"/>
                <w:sz w:val="20"/>
              </w:rPr>
              <w:t>test</w:t>
            </w:r>
            <w:proofErr w:type="spellEnd"/>
            <w:r>
              <w:rPr>
                <w:rFonts w:ascii="Arial" w:hAnsi="Arial"/>
                <w:color w:val="000000"/>
                <w:sz w:val="20"/>
              </w:rPr>
              <w:t xml:space="preserve"> (curva I-V) para cada número de série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Instruções de montagem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343E75">
        <w:trPr>
          <w:gridAfter w:val="1"/>
          <w:wAfter w:w="263" w:type="dxa"/>
          <w:trHeight w:val="95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Se tiver sido utilizada uma camada traseira de plástico e </w:t>
            </w:r>
            <w:r>
              <w:rPr>
                <w:rFonts w:ascii="Arial" w:hAnsi="Arial"/>
                <w:i/>
                <w:color w:val="000000"/>
                <w:sz w:val="20"/>
              </w:rPr>
              <w:t>não</w:t>
            </w:r>
            <w:r>
              <w:rPr>
                <w:rFonts w:ascii="Arial" w:hAnsi="Arial"/>
                <w:color w:val="000000"/>
                <w:sz w:val="20"/>
              </w:rPr>
              <w:t xml:space="preserve"> houver qualquer menção na ficha técnica dos materiais utilizados nessa camada, é necessário um atestado de ausência de PFAS. </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O atestado de ausência de PFAS é um documento elaborado e assinado pelo fabricante que indica os materiais utilizados na camada traseira e confirma que esta está isenta de PFAS.</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Pelo consultor técnico do cliente</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Instalação elétrica, lado da CC:</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Cálculos dos cabos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Diagrama esquemático da cadeia e da codificação ou etiqueta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Especificações técnicas para cablagem, conectores e caixas de junção</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Certificados para cablagem e conectores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Instalação elétrica, lado da CA:</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Cálculos dos cabos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Diagramas esquemáticos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Especificações técnicas para a proteção contra a desconexão da rede, relés, disjuntor, proteção contra sobretensão, comutadores de percurso utilizados, fusíveis e cablagem</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Inversor(</w:t>
            </w:r>
            <w:proofErr w:type="spellStart"/>
            <w:r>
              <w:rPr>
                <w:rFonts w:ascii="Arial" w:hAnsi="Arial"/>
                <w:b/>
                <w:color w:val="000000"/>
                <w:sz w:val="20"/>
              </w:rPr>
              <w:t>es</w:t>
            </w:r>
            <w:proofErr w:type="spellEnd"/>
            <w:r>
              <w:rPr>
                <w:rFonts w:ascii="Arial" w:hAnsi="Arial"/>
                <w:b/>
                <w:color w:val="000000"/>
                <w:sz w:val="20"/>
              </w:rPr>
              <w:t>):</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Especificações técnicas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Certificados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Garantias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Manual de instruções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Número de série com referência da etiqueta por inversor</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343E75">
        <w:trPr>
          <w:gridAfter w:val="1"/>
          <w:wAfter w:w="263" w:type="dxa"/>
          <w:trHeight w:val="551"/>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Dados de monitorização</w:t>
            </w:r>
            <w:r>
              <w:rPr>
                <w:rFonts w:ascii="Arial" w:hAnsi="Arial"/>
                <w:color w:val="000000"/>
                <w:sz w:val="20"/>
              </w:rPr>
              <w:t>; especificações técnicas para o registador de dados, dados de início de sessão e manual de instruções</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343E75">
        <w:trPr>
          <w:gridAfter w:val="1"/>
          <w:wAfter w:w="263" w:type="dxa"/>
          <w:trHeight w:val="287"/>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Garantias de rendimento</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343E75">
        <w:trPr>
          <w:gridAfter w:val="1"/>
          <w:wAfter w:w="263" w:type="dxa"/>
          <w:trHeight w:val="49"/>
        </w:trPr>
        <w:tc>
          <w:tcPr>
            <w:tcW w:w="1424"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 Prova de registo junto do operador da rede e da </w:t>
            </w:r>
            <w:r>
              <w:rPr>
                <w:rFonts w:ascii="Arial" w:hAnsi="Arial"/>
                <w:b/>
                <w:color w:val="000000"/>
                <w:sz w:val="20"/>
              </w:rPr>
              <w:lastRenderedPageBreak/>
              <w:t>empresa de contagem (</w:t>
            </w:r>
            <w:proofErr w:type="spellStart"/>
            <w:r>
              <w:rPr>
                <w:rFonts w:ascii="Arial" w:hAnsi="Arial"/>
                <w:b/>
                <w:color w:val="000000"/>
                <w:sz w:val="20"/>
              </w:rPr>
              <w:t>Het</w:t>
            </w:r>
            <w:proofErr w:type="spellEnd"/>
            <w:r>
              <w:rPr>
                <w:rFonts w:ascii="Arial" w:hAnsi="Arial"/>
                <w:b/>
                <w:color w:val="000000"/>
                <w:sz w:val="20"/>
              </w:rPr>
              <w:t xml:space="preserve"> Meetbedrijf).</w:t>
            </w:r>
          </w:p>
        </w:tc>
        <w:tc>
          <w:tcPr>
            <w:tcW w:w="1703"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lastRenderedPageBreak/>
              <w:t> </w:t>
            </w:r>
          </w:p>
        </w:tc>
        <w:tc>
          <w:tcPr>
            <w:tcW w:w="144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343E75">
        <w:trPr>
          <w:gridAfter w:val="1"/>
          <w:wAfter w:w="263" w:type="dxa"/>
          <w:trHeight w:val="49"/>
        </w:trPr>
        <w:tc>
          <w:tcPr>
            <w:tcW w:w="1424"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3151"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Código EAN para injeção na rede</w:t>
            </w:r>
          </w:p>
        </w:tc>
        <w:tc>
          <w:tcPr>
            <w:tcW w:w="17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34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968"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343E75">
        <w:trPr>
          <w:gridAfter w:val="1"/>
          <w:wAfter w:w="263" w:type="dxa"/>
          <w:trHeight w:val="287"/>
        </w:trPr>
        <w:tc>
          <w:tcPr>
            <w:tcW w:w="14993"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 xml:space="preserve">Facultativo: para instalações fotovoltaicas superiores a 1 </w:t>
            </w:r>
            <w:proofErr w:type="spellStart"/>
            <w:r>
              <w:rPr>
                <w:rFonts w:ascii="Arial" w:hAnsi="Arial"/>
                <w:b/>
                <w:color w:val="0070C0"/>
              </w:rPr>
              <w:t>MWp</w:t>
            </w:r>
            <w:proofErr w:type="spellEnd"/>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343E75">
        <w:trPr>
          <w:gridAfter w:val="1"/>
          <w:wAfter w:w="263" w:type="dxa"/>
          <w:trHeight w:val="1337"/>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O contratante deve aceitar o CAP (certificado de aceitação provisório) após a inspeção SCIOS Scope 12 e começar a abordar a lista de não conformidades.</w:t>
            </w:r>
          </w:p>
        </w:tc>
        <w:tc>
          <w:tcPr>
            <w:tcW w:w="17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 CAP apresenta uma síntese das não conformidades graves e menores de acordo com um consultor técnico e identifica igualmente as questões que têm de ser melhoradas antes da aceitação final.</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Relatório SCIOS Scope 12/consultor técnico</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 instalador/EPC/construtor tem de introduzir melhorias</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343E75">
        <w:trPr>
          <w:gridAfter w:val="1"/>
          <w:wAfter w:w="263" w:type="dxa"/>
          <w:trHeight w:val="6441"/>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6.3</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O contratante tem de ter tomado todas as medidas necessárias para garantir que o CAF (certificado de aceitação final) possa ser emitido no prazo de… meses a contar da data do CAP.</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no prazo de x meses</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O CAF é um relatório que indica, para cada ponto a melhorar indicado no CAP, se a melhoria foi alcançada de acordo com o proprietário/consultor técnico. Requer o seguinte: todos os pontos a melhorar indicados no CAP têm de ter sido implementados; o rácio de desempenho real nos últimos 30 dias tem de ser de, pelo menos, 98 % do rácio de desempenho nominal (RD</w:t>
            </w:r>
            <w:r>
              <w:rPr>
                <w:rFonts w:ascii="Arial" w:hAnsi="Arial"/>
                <w:color w:val="000000"/>
                <w:sz w:val="20"/>
                <w:vertAlign w:val="subscript"/>
              </w:rPr>
              <w:t>N</w:t>
            </w:r>
            <w:r>
              <w:rPr>
                <w:rFonts w:ascii="Arial" w:hAnsi="Arial"/>
                <w:color w:val="000000"/>
                <w:sz w:val="20"/>
              </w:rPr>
              <w:t xml:space="preserve">, ver critérios de adjudicação); o relatório de conclusão tem de ter sido atualizado com documentação «como construído». </w:t>
            </w:r>
          </w:p>
        </w:tc>
        <w:tc>
          <w:tcPr>
            <w:tcW w:w="1669"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Relatório SCIOS Scope 12/consultor técnico</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343E75">
        <w:trPr>
          <w:gridAfter w:val="1"/>
          <w:wAfter w:w="263" w:type="dxa"/>
          <w:trHeight w:val="478"/>
        </w:trPr>
        <w:tc>
          <w:tcPr>
            <w:tcW w:w="14993"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 xml:space="preserve">Facultativo: para instalações fotovoltaicas superiores a 10 </w:t>
            </w:r>
            <w:proofErr w:type="spellStart"/>
            <w:r>
              <w:rPr>
                <w:rFonts w:ascii="Arial" w:hAnsi="Arial"/>
                <w:b/>
                <w:color w:val="0070C0"/>
              </w:rPr>
              <w:t>MWp</w:t>
            </w:r>
            <w:proofErr w:type="spellEnd"/>
          </w:p>
        </w:tc>
        <w:tc>
          <w:tcPr>
            <w:tcW w:w="332"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343E75">
        <w:trPr>
          <w:gridAfter w:val="1"/>
          <w:wAfter w:w="263" w:type="dxa"/>
          <w:trHeight w:val="2482"/>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6.4</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Ensaios por amostragem para verificar a potência e a qualidade dos painéis solares fornecidos.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1) </w:t>
            </w:r>
            <w:proofErr w:type="spellStart"/>
            <w:r>
              <w:rPr>
                <w:rFonts w:ascii="Arial" w:hAnsi="Arial"/>
                <w:b/>
                <w:color w:val="0070C0"/>
                <w:sz w:val="20"/>
              </w:rPr>
              <w:t>P_ensaio</w:t>
            </w:r>
            <w:proofErr w:type="spellEnd"/>
            <w:r>
              <w:rPr>
                <w:rFonts w:ascii="Arial" w:hAnsi="Arial"/>
                <w:b/>
                <w:color w:val="0070C0"/>
                <w:sz w:val="20"/>
              </w:rPr>
              <w:t xml:space="preserve"> &gt; 99% </w:t>
            </w:r>
            <w:proofErr w:type="spellStart"/>
            <w:r>
              <w:rPr>
                <w:rFonts w:ascii="Arial" w:hAnsi="Arial"/>
                <w:b/>
                <w:color w:val="0070C0"/>
                <w:sz w:val="20"/>
              </w:rPr>
              <w:t>P_fabricante</w:t>
            </w:r>
            <w:proofErr w:type="spellEnd"/>
            <w:r>
              <w:rPr>
                <w:rFonts w:ascii="Arial" w:hAnsi="Arial"/>
                <w:b/>
                <w:color w:val="0070C0"/>
                <w:sz w:val="20"/>
              </w:rPr>
              <w:t>. 2) Condição aceitável.</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Normalmente, apenas para projetos &gt;10 </w:t>
            </w:r>
            <w:proofErr w:type="spellStart"/>
            <w:r>
              <w:rPr>
                <w:rFonts w:ascii="Arial" w:hAnsi="Arial"/>
                <w:color w:val="000000"/>
                <w:sz w:val="20"/>
              </w:rPr>
              <w:t>MWp</w:t>
            </w:r>
            <w:proofErr w:type="spellEnd"/>
            <w:r>
              <w:rPr>
                <w:rFonts w:ascii="Arial" w:hAnsi="Arial"/>
                <w:color w:val="000000"/>
                <w:sz w:val="20"/>
              </w:rPr>
              <w:t>. Os testes por amostragem envolvem o seguinte: 1) A potência dos painéis incluídos na amostra, de acordo com um ensaio I-V independente, deve ser &gt;99 % da potência indicada pelo fabricante; 2) As amostras devem estar em condições aceitáveis [inspeção visual, número de microfissuras de acordo com o ensaio de eletroluminescência (EE), etc.].</w:t>
            </w:r>
          </w:p>
        </w:tc>
        <w:tc>
          <w:tcPr>
            <w:tcW w:w="129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Relatório de dados I-V e imagens de EE dos módulos fotovoltaicos de acordo com a IS 2859, número de amostras determinado de acordo com AQL nível S2 ou S3. </w:t>
            </w:r>
          </w:p>
        </w:tc>
        <w:tc>
          <w:tcPr>
            <w:tcW w:w="1669"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Deve ser aprovado por um consultor técnico. </w:t>
            </w:r>
          </w:p>
        </w:tc>
        <w:tc>
          <w:tcPr>
            <w:tcW w:w="1968"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Em caso de desempenho insuficiente substancial (&gt;1 %), devem ser fornecidos painéis adicionais até que a potência de CC efetiva corresponda à potência de CC indicada na proposta, ou deve ser aplicado um desconto proporcional ao custo global do projeto.</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343E75">
        <w:trPr>
          <w:gridAfter w:val="1"/>
          <w:wAfter w:w="263" w:type="dxa"/>
          <w:trHeight w:val="1930"/>
        </w:trPr>
        <w:tc>
          <w:tcPr>
            <w:tcW w:w="142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315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Auditorias às fábricas</w:t>
            </w:r>
          </w:p>
        </w:tc>
        <w:tc>
          <w:tcPr>
            <w:tcW w:w="1703"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Avaliação: «suficiente»</w:t>
            </w:r>
          </w:p>
        </w:tc>
        <w:tc>
          <w:tcPr>
            <w:tcW w:w="144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3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Normalmente, apenas para projetos fotovoltaicos &gt;10 </w:t>
            </w:r>
            <w:proofErr w:type="spellStart"/>
            <w:r>
              <w:rPr>
                <w:rFonts w:ascii="Arial" w:hAnsi="Arial"/>
                <w:color w:val="000000"/>
                <w:sz w:val="20"/>
              </w:rPr>
              <w:t>MWp</w:t>
            </w:r>
            <w:proofErr w:type="spellEnd"/>
            <w:r>
              <w:rPr>
                <w:rFonts w:ascii="Arial" w:hAnsi="Arial"/>
                <w:color w:val="000000"/>
                <w:sz w:val="20"/>
              </w:rPr>
              <w:t xml:space="preserve">. Custo aproximado de 3 000-7 000 EUR. A fábrica em que os módulos são produzidos deve ser inspecionada antes ou durante a produção dos painéis, incluindo controlos da qualidade dos materiais e do processo de produção. </w:t>
            </w:r>
          </w:p>
        </w:tc>
        <w:tc>
          <w:tcPr>
            <w:tcW w:w="129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66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968"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lang w:val="el-GR"/>
        </w:rPr>
      </w:pPr>
    </w:p>
    <w:p w14:paraId="26E3FD64" w14:textId="77777777" w:rsidR="00C83A67" w:rsidRDefault="00C83A67">
      <w:pPr>
        <w:spacing w:line="240" w:lineRule="auto"/>
        <w:rPr>
          <w:rFonts w:ascii="Arial" w:hAnsi="Arial" w:cs="Arial"/>
          <w:b/>
          <w:color w:val="104D54"/>
          <w:sz w:val="36"/>
          <w:szCs w:val="36"/>
        </w:rPr>
      </w:pPr>
      <w:r>
        <w:br w:type="page"/>
      </w:r>
    </w:p>
    <w:p w14:paraId="6078ED1A" w14:textId="5680D123" w:rsidR="00E732CC" w:rsidRDefault="00534D6F" w:rsidP="009548F1">
      <w:pPr>
        <w:pStyle w:val="MH2"/>
      </w:pPr>
      <w:bookmarkStart w:id="162" w:name="_Toc177482791"/>
      <w:r>
        <w:t>10.7 – Requisitos – conclusão, inspeção e controlo</w:t>
      </w:r>
      <w:bookmarkEnd w:id="162"/>
    </w:p>
    <w:p w14:paraId="0F2202EE" w14:textId="77777777" w:rsidR="00DB3C55" w:rsidRDefault="00DB3C55" w:rsidP="003070E7">
      <w:pPr>
        <w:ind w:left="-720"/>
        <w:rPr>
          <w:b/>
          <w:bCs/>
          <w:color w:val="92D050"/>
          <w:lang w:val="en-US"/>
        </w:rPr>
      </w:pPr>
    </w:p>
    <w:tbl>
      <w:tblPr>
        <w:tblW w:w="15689" w:type="dxa"/>
        <w:tblInd w:w="-810" w:type="dxa"/>
        <w:tblLook w:val="04A0" w:firstRow="1" w:lastRow="0" w:firstColumn="1" w:lastColumn="0" w:noHBand="0" w:noVBand="1"/>
      </w:tblPr>
      <w:tblGrid>
        <w:gridCol w:w="1376"/>
        <w:gridCol w:w="2911"/>
        <w:gridCol w:w="1826"/>
        <w:gridCol w:w="216"/>
        <w:gridCol w:w="223"/>
        <w:gridCol w:w="1047"/>
        <w:gridCol w:w="223"/>
        <w:gridCol w:w="216"/>
        <w:gridCol w:w="3358"/>
        <w:gridCol w:w="1717"/>
        <w:gridCol w:w="2313"/>
        <w:gridCol w:w="226"/>
        <w:gridCol w:w="37"/>
      </w:tblGrid>
      <w:tr w:rsidR="00DB3C55" w:rsidRPr="00DB3C55" w14:paraId="3F723C42" w14:textId="77777777" w:rsidTr="00343E75">
        <w:trPr>
          <w:gridAfter w:val="2"/>
          <w:wAfter w:w="263" w:type="dxa"/>
          <w:trHeight w:val="288"/>
        </w:trPr>
        <w:tc>
          <w:tcPr>
            <w:tcW w:w="4287" w:type="dxa"/>
            <w:gridSpan w:val="2"/>
            <w:tcBorders>
              <w:top w:val="nil"/>
              <w:left w:val="nil"/>
              <w:bottom w:val="nil"/>
              <w:right w:val="nil"/>
            </w:tcBorders>
            <w:shd w:val="clear" w:color="000000" w:fill="FFFFFF"/>
            <w:noWrap/>
            <w:hideMark/>
          </w:tcPr>
          <w:p w14:paraId="79B252F9" w14:textId="77777777" w:rsidR="00DB3C55" w:rsidRPr="00DB3C55" w:rsidRDefault="00DB3C55" w:rsidP="009548F1">
            <w:pPr>
              <w:pStyle w:val="MH2"/>
            </w:pPr>
            <w:bookmarkStart w:id="163" w:name="_Toc177482792"/>
            <w:r>
              <w:t>Requisitos – Manutenção e monitorização</w:t>
            </w:r>
            <w:bookmarkEnd w:id="163"/>
            <w:r>
              <w:t xml:space="preserve"> </w:t>
            </w:r>
          </w:p>
        </w:tc>
        <w:tc>
          <w:tcPr>
            <w:tcW w:w="7109" w:type="dxa"/>
            <w:gridSpan w:val="7"/>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Nota: apenas se forem solicitadas M&amp;M no contrato/concurso</w:t>
            </w:r>
          </w:p>
        </w:tc>
        <w:tc>
          <w:tcPr>
            <w:tcW w:w="1717"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343E75">
        <w:trPr>
          <w:gridAfter w:val="2"/>
          <w:wAfter w:w="263" w:type="dxa"/>
          <w:trHeight w:val="300"/>
        </w:trPr>
        <w:tc>
          <w:tcPr>
            <w:tcW w:w="6552"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Modelo dos requisitos e critérios de adjudicação para projetos fotovoltaicos</w:t>
            </w:r>
          </w:p>
        </w:tc>
        <w:tc>
          <w:tcPr>
            <w:tcW w:w="1486" w:type="dxa"/>
            <w:gridSpan w:val="3"/>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Instruções ao cliente</w:t>
            </w:r>
            <w:r>
              <w:rPr>
                <w:rFonts w:ascii="Arial" w:hAnsi="Arial"/>
                <w:color w:val="808080"/>
                <w:sz w:val="16"/>
              </w:rPr>
              <w:t xml:space="preserve"> </w:t>
            </w:r>
            <w:r>
              <w:rPr>
                <w:rFonts w:ascii="Arial" w:hAnsi="Arial"/>
                <w:color w:val="808080"/>
                <w:sz w:val="16"/>
              </w:rPr>
              <w:br/>
              <w:t>1. Altere os campos amarelos com texto azul</w:t>
            </w:r>
          </w:p>
        </w:tc>
        <w:tc>
          <w:tcPr>
            <w:tcW w:w="1717"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343E75">
        <w:trPr>
          <w:gridAfter w:val="1"/>
          <w:wAfter w:w="37" w:type="dxa"/>
          <w:trHeight w:val="222"/>
        </w:trPr>
        <w:tc>
          <w:tcPr>
            <w:tcW w:w="4287"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Versão: 0.99</w:t>
            </w:r>
          </w:p>
        </w:tc>
        <w:tc>
          <w:tcPr>
            <w:tcW w:w="182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8053" w:type="dxa"/>
            <w:gridSpan w:val="6"/>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DB3C55" w:rsidRPr="00DB3C55" w14:paraId="75403E1C" w14:textId="77777777" w:rsidTr="00343E75">
        <w:trPr>
          <w:trHeight w:val="222"/>
        </w:trPr>
        <w:tc>
          <w:tcPr>
            <w:tcW w:w="4287"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82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486"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827" w:type="dxa"/>
            <w:gridSpan w:val="5"/>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Introduza quaisquer requisitos adicionais nos campos vazios. Se forem inseridas linhas adicionais, ajuste as fórmulas de numeração automática nas colunas A e H.</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343E75">
        <w:trPr>
          <w:trHeight w:val="222"/>
        </w:trPr>
        <w:tc>
          <w:tcPr>
            <w:tcW w:w="6552"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i/>
                <w:iCs/>
                <w:color w:val="808080"/>
                <w:sz w:val="16"/>
              </w:rPr>
              <w:t>Feedback</w:t>
            </w:r>
            <w:r>
              <w:rPr>
                <w:rFonts w:ascii="Arial" w:hAnsi="Arial"/>
                <w:color w:val="808080"/>
                <w:sz w:val="16"/>
              </w:rPr>
              <w:t>/erros/aditamentos: envie uma mensagem de correio eletrónico para BGDPV@pianoo.nl</w:t>
            </w:r>
          </w:p>
        </w:tc>
        <w:tc>
          <w:tcPr>
            <w:tcW w:w="1486" w:type="dxa"/>
            <w:gridSpan w:val="3"/>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358" w:type="dxa"/>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1717"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3"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343E75">
        <w:trPr>
          <w:trHeight w:val="405"/>
        </w:trPr>
        <w:tc>
          <w:tcPr>
            <w:tcW w:w="137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ID</w:t>
            </w:r>
          </w:p>
        </w:tc>
        <w:tc>
          <w:tcPr>
            <w:tcW w:w="291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Descrição</w:t>
            </w:r>
          </w:p>
        </w:tc>
        <w:tc>
          <w:tcPr>
            <w:tcW w:w="204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Valor</w:t>
            </w:r>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Incluir requisito?</w:t>
            </w:r>
          </w:p>
        </w:tc>
        <w:tc>
          <w:tcPr>
            <w:tcW w:w="3574"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Explicação para o cliente</w:t>
            </w:r>
          </w:p>
        </w:tc>
        <w:tc>
          <w:tcPr>
            <w:tcW w:w="171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Verificação e validação</w:t>
            </w:r>
          </w:p>
        </w:tc>
        <w:tc>
          <w:tcPr>
            <w:tcW w:w="231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Consequências do desempenho insuficiente</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Manutenção e reparações</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Disponibilidade da instalação</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Sistemas &lt;1 </w:t>
            </w:r>
            <w:proofErr w:type="spellStart"/>
            <w:r>
              <w:rPr>
                <w:rFonts w:ascii="Arial" w:hAnsi="Arial"/>
                <w:b/>
                <w:color w:val="0070C0"/>
                <w:sz w:val="18"/>
              </w:rPr>
              <w:t>MWp</w:t>
            </w:r>
            <w:proofErr w:type="spellEnd"/>
            <w:r>
              <w:rPr>
                <w:rFonts w:ascii="Arial" w:hAnsi="Arial"/>
                <w:b/>
                <w:color w:val="0070C0"/>
                <w:sz w:val="18"/>
              </w:rPr>
              <w:t xml:space="preserve">: &gt;98 %;   Sistemas &gt;1 </w:t>
            </w:r>
            <w:proofErr w:type="spellStart"/>
            <w:r>
              <w:rPr>
                <w:rFonts w:ascii="Arial" w:hAnsi="Arial"/>
                <w:b/>
                <w:color w:val="0070C0"/>
                <w:sz w:val="18"/>
              </w:rPr>
              <w:t>MWp</w:t>
            </w:r>
            <w:proofErr w:type="spellEnd"/>
            <w:r>
              <w:rPr>
                <w:rFonts w:ascii="Arial" w:hAnsi="Arial"/>
                <w:b/>
                <w:color w:val="0070C0"/>
                <w:sz w:val="18"/>
              </w:rPr>
              <w:t>: 99 %</w:t>
            </w:r>
          </w:p>
        </w:tc>
        <w:tc>
          <w:tcPr>
            <w:tcW w:w="149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 determinar em consulta com o consultor. Este requisito nem sempre é incluído. A disponibilidade indica que um projeto está em funcionamento durante 98 % ou 99 % das horas de luz solar. Qualquer manutenção deve ser breve e as avarias devem ser resolvidas rapidamente. </w:t>
            </w:r>
          </w:p>
        </w:tc>
        <w:tc>
          <w:tcPr>
            <w:tcW w:w="1717"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Através do sistema de monitorização ou, em alternativa, através de relatórios do sistema de monitorização.</w:t>
            </w:r>
          </w:p>
        </w:tc>
        <w:tc>
          <w:tcPr>
            <w:tcW w:w="2313"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Facultativo: os sistemas de grande dimensão incluem frequentemente uma cláusula de penalização</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343E75">
        <w:trPr>
          <w:trHeight w:val="1044"/>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91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color w:val="000000"/>
                <w:sz w:val="18"/>
              </w:rPr>
              <w:t xml:space="preserve">O </w:t>
            </w:r>
            <w:r>
              <w:rPr>
                <w:rFonts w:ascii="Arial" w:hAnsi="Arial"/>
                <w:b/>
                <w:color w:val="000000"/>
                <w:sz w:val="18"/>
              </w:rPr>
              <w:t>rácio de desempenho medido (RD</w:t>
            </w:r>
            <w:r>
              <w:rPr>
                <w:rFonts w:ascii="Arial" w:hAnsi="Arial"/>
                <w:b/>
                <w:color w:val="000000"/>
                <w:sz w:val="18"/>
                <w:vertAlign w:val="subscript"/>
              </w:rPr>
              <w:t>M</w:t>
            </w:r>
            <w:r>
              <w:rPr>
                <w:rFonts w:ascii="Arial" w:hAnsi="Arial"/>
                <w:b/>
                <w:color w:val="000000"/>
                <w:sz w:val="18"/>
              </w:rPr>
              <w:t xml:space="preserve">), </w:t>
            </w:r>
            <w:r>
              <w:rPr>
                <w:rFonts w:ascii="Arial" w:hAnsi="Arial"/>
                <w:color w:val="000000"/>
                <w:sz w:val="18"/>
              </w:rPr>
              <w:t>durante um período de 1 ano, deve ser de, pelo menos, 97 % do RD</w:t>
            </w:r>
            <w:r>
              <w:rPr>
                <w:rFonts w:ascii="Arial" w:hAnsi="Arial"/>
                <w:color w:val="000000"/>
                <w:sz w:val="18"/>
                <w:vertAlign w:val="subscript"/>
              </w:rPr>
              <w:t>N</w:t>
            </w:r>
            <w:r>
              <w:rPr>
                <w:rFonts w:ascii="Arial" w:hAnsi="Arial"/>
                <w:color w:val="000000"/>
                <w:sz w:val="18"/>
              </w:rPr>
              <w:t xml:space="preserve"> (RD nominal de acordo com a conceção, ver ficha 9 – Critérios de adjudicação)</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&gt;97 % do RD</w:t>
            </w:r>
            <w:r>
              <w:rPr>
                <w:rFonts w:ascii="Arial" w:hAnsi="Arial"/>
                <w:b/>
                <w:color w:val="0070C0"/>
                <w:sz w:val="18"/>
                <w:vertAlign w:val="subscript"/>
              </w:rPr>
              <w:t>N</w:t>
            </w:r>
          </w:p>
        </w:tc>
        <w:tc>
          <w:tcPr>
            <w:tcW w:w="149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 Este requisito nem sempre é incluído. O RD</w:t>
            </w:r>
            <w:r>
              <w:rPr>
                <w:rFonts w:ascii="Arial" w:hAnsi="Arial"/>
                <w:sz w:val="18"/>
                <w:vertAlign w:val="subscript"/>
              </w:rPr>
              <w:t>M</w:t>
            </w:r>
            <w:r>
              <w:rPr>
                <w:rFonts w:ascii="Arial" w:hAnsi="Arial"/>
                <w:sz w:val="18"/>
              </w:rPr>
              <w:t xml:space="preserve"> é determinado dividindo a energia produzida ao longo de 1 ano pela potência fotovoltaica instalada (em watt-pico de CC) e pela irradiação efetiva por m</w:t>
            </w:r>
            <w:r>
              <w:rPr>
                <w:rFonts w:ascii="Arial" w:hAnsi="Arial"/>
                <w:sz w:val="18"/>
                <w:vertAlign w:val="superscript"/>
              </w:rPr>
              <w:t>2</w:t>
            </w:r>
            <w:r>
              <w:rPr>
                <w:rFonts w:ascii="Arial" w:hAnsi="Arial"/>
                <w:sz w:val="18"/>
              </w:rPr>
              <w:t xml:space="preserve"> durante esse ano (por exemplo, segundo uma estação meteorológica do Instituto Real de Meteorologia dos Países Baixos ou um medidor de irradiação no local).  Os desvios superiores a 3 % indicam problemas na instalação. </w:t>
            </w:r>
          </w:p>
        </w:tc>
        <w:tc>
          <w:tcPr>
            <w:tcW w:w="171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t>Anualmente através do sistema de monitorização ou um relatório anual do sistema de monitorização.</w:t>
            </w:r>
          </w:p>
        </w:tc>
        <w:tc>
          <w:tcPr>
            <w:tcW w:w="2313"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Facultativo: os grandes sistemas incluem frequentemente uma cláusula de penalização, por exemplo, 60 EUR por </w:t>
            </w:r>
            <w:proofErr w:type="spellStart"/>
            <w:r>
              <w:rPr>
                <w:rFonts w:ascii="Arial" w:hAnsi="Arial"/>
                <w:color w:val="000000"/>
                <w:sz w:val="18"/>
              </w:rPr>
              <w:t>MWh</w:t>
            </w:r>
            <w:proofErr w:type="spellEnd"/>
            <w:r>
              <w:rPr>
                <w:rFonts w:ascii="Arial" w:hAnsi="Arial"/>
                <w:color w:val="000000"/>
                <w:sz w:val="18"/>
              </w:rPr>
              <w:t xml:space="preserve"> de produção em falta em comparação com a produção que seria alcançada se PR</w:t>
            </w:r>
            <w:r>
              <w:rPr>
                <w:rFonts w:ascii="Arial" w:hAnsi="Arial"/>
                <w:color w:val="000000"/>
                <w:sz w:val="18"/>
                <w:vertAlign w:val="subscript"/>
              </w:rPr>
              <w:t>G</w:t>
            </w:r>
            <w:r>
              <w:rPr>
                <w:rFonts w:ascii="Arial" w:hAnsi="Arial"/>
                <w:color w:val="000000"/>
                <w:sz w:val="18"/>
              </w:rPr>
              <w:t xml:space="preserve"> = 97 % de RD</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Plano de inspeção e manutenção</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Um documento que descreve como e com que frequência são realizadas as inspeções e a manutenção.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Acordo de manutenção corretiva/nível de serviço – A.</w:t>
            </w:r>
            <w:r>
              <w:rPr>
                <w:rFonts w:ascii="Arial" w:hAnsi="Arial"/>
                <w:color w:val="000000"/>
                <w:sz w:val="18"/>
              </w:rPr>
              <w:t xml:space="preserve"> Em caso de falha de um transformador, inversor ou sistema de monitorização: investigar a causa e propor medidas corretivas no prazo de:</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Para sistemas &gt;1 </w:t>
            </w:r>
            <w:proofErr w:type="spellStart"/>
            <w:r>
              <w:rPr>
                <w:rFonts w:ascii="Arial" w:hAnsi="Arial"/>
                <w:b/>
                <w:color w:val="0070C0"/>
                <w:sz w:val="18"/>
              </w:rPr>
              <w:t>MWp</w:t>
            </w:r>
            <w:proofErr w:type="spellEnd"/>
            <w:r>
              <w:rPr>
                <w:rFonts w:ascii="Arial" w:hAnsi="Arial"/>
                <w:b/>
                <w:color w:val="0070C0"/>
                <w:sz w:val="18"/>
              </w:rPr>
              <w:t xml:space="preserve">: 4 horas; Para sistemas &gt; 100 kW, &lt; 1 </w:t>
            </w:r>
            <w:proofErr w:type="spellStart"/>
            <w:r>
              <w:rPr>
                <w:rFonts w:ascii="Arial" w:hAnsi="Arial"/>
                <w:b/>
                <w:color w:val="0070C0"/>
                <w:sz w:val="18"/>
              </w:rPr>
              <w:t>MWp</w:t>
            </w:r>
            <w:proofErr w:type="spellEnd"/>
            <w:r>
              <w:rPr>
                <w:rFonts w:ascii="Arial" w:hAnsi="Arial"/>
                <w:b/>
                <w:color w:val="0070C0"/>
                <w:sz w:val="18"/>
              </w:rPr>
              <w:t>: 24 horas; Para sistemas &lt; 100 kW: 72 horas</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Acordo de manutenção corretiva/nível de serviço – B.</w:t>
            </w:r>
            <w:r>
              <w:rPr>
                <w:rFonts w:ascii="Arial" w:hAnsi="Arial"/>
                <w:color w:val="000000"/>
                <w:sz w:val="18"/>
              </w:rPr>
              <w:t xml:space="preserve"> Em caso de falha grave ou falha de mais de 4 módulos fotovoltaicos, investigar a causa e propor medidas corretivas dentro de: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Para sistemas &gt;1 </w:t>
            </w:r>
            <w:proofErr w:type="spellStart"/>
            <w:r>
              <w:rPr>
                <w:rFonts w:ascii="Arial" w:hAnsi="Arial"/>
                <w:b/>
                <w:color w:val="0070C0"/>
                <w:sz w:val="18"/>
              </w:rPr>
              <w:t>MWp</w:t>
            </w:r>
            <w:proofErr w:type="spellEnd"/>
            <w:r>
              <w:rPr>
                <w:rFonts w:ascii="Arial" w:hAnsi="Arial"/>
                <w:b/>
                <w:color w:val="0070C0"/>
                <w:sz w:val="18"/>
              </w:rPr>
              <w:t xml:space="preserve">: 24 horas; Para sistemas &gt; 100 kW, &lt; 1 </w:t>
            </w:r>
            <w:proofErr w:type="spellStart"/>
            <w:r>
              <w:rPr>
                <w:rFonts w:ascii="Arial" w:hAnsi="Arial"/>
                <w:b/>
                <w:color w:val="0070C0"/>
                <w:sz w:val="18"/>
              </w:rPr>
              <w:t>MWp</w:t>
            </w:r>
            <w:proofErr w:type="spellEnd"/>
            <w:r>
              <w:rPr>
                <w:rFonts w:ascii="Arial" w:hAnsi="Arial"/>
                <w:b/>
                <w:color w:val="0070C0"/>
                <w:sz w:val="18"/>
              </w:rPr>
              <w:t>: 72 horas; Para sistemas &lt; 100 kW: 1 semana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Acordo de manutenção corretiva/nível de serviço – C.</w:t>
            </w:r>
            <w:r>
              <w:rPr>
                <w:rFonts w:ascii="Arial" w:hAnsi="Arial"/>
                <w:color w:val="000000"/>
                <w:sz w:val="18"/>
              </w:rPr>
              <w:t xml:space="preserve"> Em caso de falha de 1 módulo fotovoltaico, investigar a causa e propor medidas corretivas dentro de: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Para sistemas &gt;1 </w:t>
            </w:r>
            <w:proofErr w:type="spellStart"/>
            <w:r>
              <w:rPr>
                <w:rFonts w:ascii="Arial" w:hAnsi="Arial"/>
                <w:b/>
                <w:color w:val="0070C0"/>
                <w:sz w:val="18"/>
              </w:rPr>
              <w:t>MWp</w:t>
            </w:r>
            <w:proofErr w:type="spellEnd"/>
            <w:r>
              <w:rPr>
                <w:rFonts w:ascii="Arial" w:hAnsi="Arial"/>
                <w:b/>
                <w:color w:val="0070C0"/>
                <w:sz w:val="18"/>
              </w:rPr>
              <w:t xml:space="preserve">: 72 horas; Para sistemas &gt; 100 kW, &lt; 1 </w:t>
            </w:r>
            <w:proofErr w:type="spellStart"/>
            <w:r>
              <w:rPr>
                <w:rFonts w:ascii="Arial" w:hAnsi="Arial"/>
                <w:b/>
                <w:color w:val="0070C0"/>
                <w:sz w:val="18"/>
              </w:rPr>
              <w:t>MWp</w:t>
            </w:r>
            <w:proofErr w:type="spellEnd"/>
            <w:r>
              <w:rPr>
                <w:rFonts w:ascii="Arial" w:hAnsi="Arial"/>
                <w:b/>
                <w:color w:val="0070C0"/>
                <w:sz w:val="18"/>
              </w:rPr>
              <w:t>: 1 semana; Para sistemas &lt; 100 kW: 1 semana</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343E75">
        <w:trPr>
          <w:trHeight w:val="205"/>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911"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Manutenção preventiva dos inversores e, se necessário, do transformador.</w:t>
            </w:r>
            <w:r>
              <w:rPr>
                <w:rFonts w:ascii="Arial" w:hAnsi="Arial"/>
                <w:color w:val="000000"/>
                <w:sz w:val="18"/>
              </w:rPr>
              <w:t xml:space="preserve"> O transformador e os inversores devem receber a manutenção preventiva exigida pelo fabricante a cada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ano/meio ano</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343E75">
        <w:trPr>
          <w:trHeight w:val="1219"/>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Manutenção preventiva de painéis solares, cabos, conectores, subestrutura. </w:t>
            </w:r>
            <w:r>
              <w:rPr>
                <w:rFonts w:ascii="Arial" w:hAnsi="Arial"/>
                <w:color w:val="000000"/>
                <w:sz w:val="18"/>
              </w:rPr>
              <w:t xml:space="preserve">Sob a forma de inspeção visual e de quaisquer reparações/ajustamentos necessários no local, efetuados com a mesma frequência que a manutenção preventiva dos inversores.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 decidir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343E75">
        <w:trPr>
          <w:trHeight w:val="179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Limpeza dos painéis solares. </w:t>
            </w:r>
            <w:r>
              <w:rPr>
                <w:rFonts w:ascii="Arial" w:hAnsi="Arial"/>
                <w:color w:val="000000"/>
                <w:sz w:val="18"/>
              </w:rPr>
              <w:t xml:space="preserve">Sujeito a inspeção visual e RD do sistema, por decisão do responsável por M&amp;M. </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 decidir</w:t>
            </w:r>
          </w:p>
        </w:tc>
        <w:tc>
          <w:tcPr>
            <w:tcW w:w="149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 Normalmente, os Países Baixos têm precipitação suficiente para assegurar a limpeza automática dos painéis e os custos de limpeza muitas vezes não compensam o rendimento adicional. No entanto, em caso de sujidade persistente, a limpeza pode ser útil. Tal pode dever-se às condições meteorológicas, à presença de um grande número de aves em alguns locais, a painéis de declive reduzido ou à cobertura parcial das células mais baixas por musgos/algas.</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343E75">
        <w:trPr>
          <w:trHeight w:val="1251"/>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Manutenção da vegetação</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 decidir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A determinar em consulta com o consultor. Normalmente, a vegetação não deve sobressair acima dos módulos nem impedir o bom funcionamento dos painéis.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Previamente: plano de inspeção e manutenção Após o ano 1: possíveis verificações por parte do cliente para determinar se o trabalho foi realizado.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343E75">
        <w:trPr>
          <w:trHeight w:val="288"/>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Gestão dos pedidos de garantia</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A decidir</w:t>
            </w:r>
          </w:p>
        </w:tc>
        <w:tc>
          <w:tcPr>
            <w:tcW w:w="149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Documento que descreve quem assume a responsabilidade em caso de rutura de um painel ou inversor e como é feito o pedido. </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1"/>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Monitorização</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O desempenho dos painéis fotovoltaicos (kWh por unidade de tempo) deve ser mensurável pelo sistema de monitorização a nível da cadeia de painéis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343E75">
        <w:trPr>
          <w:trHeight w:val="9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A instalação de energia solar deve estar equipada com um sistema de monitorização que permita a leitura remota 24/7 do sistema através de uma ligação (sem fios).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343E75">
        <w:trPr>
          <w:trHeight w:val="336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911"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Em qualquer caso, a plataforma de monitorização deve apresentar os seguintes elementos: </w:t>
            </w:r>
            <w:r>
              <w:rPr>
                <w:rFonts w:ascii="Arial" w:hAnsi="Arial"/>
                <w:b/>
                <w:sz w:val="18"/>
              </w:rPr>
              <w:br/>
              <w:t>– valores de produção em tempo real em kWh/inversor,</w:t>
            </w:r>
            <w:r>
              <w:rPr>
                <w:rFonts w:ascii="Arial" w:hAnsi="Arial"/>
                <w:b/>
                <w:sz w:val="18"/>
              </w:rPr>
              <w:br/>
              <w:t xml:space="preserve">– produção total, em kWh, de todos os inversores, </w:t>
            </w:r>
            <w:r>
              <w:rPr>
                <w:rFonts w:ascii="Arial" w:hAnsi="Arial"/>
                <w:b/>
                <w:sz w:val="18"/>
              </w:rPr>
              <w:br/>
              <w:t>– potência total de CA, em watts, de todos os inversores,</w:t>
            </w:r>
            <w:r>
              <w:rPr>
                <w:rFonts w:ascii="Arial" w:hAnsi="Arial"/>
                <w:b/>
                <w:sz w:val="18"/>
              </w:rPr>
              <w:br/>
              <w:t>– tensão de CC em volts/inversor,</w:t>
            </w:r>
            <w:r>
              <w:rPr>
                <w:rFonts w:ascii="Arial" w:hAnsi="Arial"/>
                <w:b/>
                <w:sz w:val="18"/>
              </w:rPr>
              <w:br/>
              <w:t>– corrente de CC em amperes/inversor,</w:t>
            </w:r>
            <w:r>
              <w:rPr>
                <w:rFonts w:ascii="Arial" w:hAnsi="Arial"/>
                <w:b/>
                <w:sz w:val="18"/>
              </w:rPr>
              <w:br/>
              <w:t>– potência de CC em watts/inversor,</w:t>
            </w:r>
            <w:r>
              <w:rPr>
                <w:rFonts w:ascii="Arial" w:hAnsi="Arial"/>
                <w:b/>
                <w:sz w:val="18"/>
              </w:rPr>
              <w:br/>
              <w:t>– tensão de CA por fase/inversor,</w:t>
            </w:r>
            <w:r>
              <w:rPr>
                <w:rFonts w:ascii="Arial" w:hAnsi="Arial"/>
                <w:b/>
                <w:sz w:val="18"/>
              </w:rPr>
              <w:br/>
              <w:t>– corrente de CA por fase/inversor,</w:t>
            </w:r>
            <w:r>
              <w:rPr>
                <w:rFonts w:ascii="Arial" w:hAnsi="Arial"/>
                <w:b/>
                <w:sz w:val="18"/>
              </w:rPr>
              <w:br/>
              <w:t>– estado de funcionamento/inversor,</w:t>
            </w:r>
            <w:r>
              <w:rPr>
                <w:rFonts w:ascii="Arial" w:hAnsi="Arial"/>
                <w:b/>
                <w:sz w:val="18"/>
              </w:rPr>
              <w:br/>
              <w:t xml:space="preserve">– falhas do inversor, </w:t>
            </w:r>
            <w:r>
              <w:rPr>
                <w:rFonts w:ascii="Arial" w:hAnsi="Arial"/>
                <w:b/>
                <w:sz w:val="18"/>
              </w:rPr>
              <w:br/>
              <w:t xml:space="preserve">– falhas de comunicação, </w:t>
            </w:r>
            <w:r>
              <w:rPr>
                <w:rFonts w:ascii="Arial" w:hAnsi="Arial"/>
                <w:b/>
                <w:sz w:val="18"/>
              </w:rPr>
              <w:br/>
              <w:t xml:space="preserve">– valores realizados em relação aos valores esperados.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343E75">
        <w:trPr>
          <w:trHeight w:val="48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91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O sistema de monitorização deve ter uma disponibilidade ≥99 %.</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717"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1"/>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Facultativo</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Os relatórios de situação que contêm os dados do sistema de monitorização do mês anterior devem ser enviados no prazo de 15 dias a contar do final do mês</w:t>
            </w:r>
          </w:p>
        </w:tc>
        <w:tc>
          <w:tcPr>
            <w:tcW w:w="204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343E75">
        <w:trPr>
          <w:trHeight w:val="720"/>
        </w:trPr>
        <w:tc>
          <w:tcPr>
            <w:tcW w:w="1376"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91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A empresa responsável por M&amp;M deve ter experiência e ter anteriormente gerido um número mínimo de instalações fotovoltaicas:</w:t>
            </w:r>
          </w:p>
        </w:tc>
        <w:tc>
          <w:tcPr>
            <w:tcW w:w="204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xml:space="preserve">50 </w:t>
            </w:r>
            <w:proofErr w:type="spellStart"/>
            <w:r>
              <w:rPr>
                <w:rFonts w:ascii="Arial" w:hAnsi="Arial"/>
                <w:b/>
                <w:color w:val="0070C0"/>
                <w:sz w:val="18"/>
              </w:rPr>
              <w:t>MWp</w:t>
            </w:r>
            <w:proofErr w:type="spellEnd"/>
          </w:p>
        </w:tc>
        <w:tc>
          <w:tcPr>
            <w:tcW w:w="149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313"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343E75">
        <w:trPr>
          <w:trHeight w:val="720"/>
        </w:trPr>
        <w:tc>
          <w:tcPr>
            <w:tcW w:w="137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91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A empresa responsável por M&amp;M deve ter um bom historial</w:t>
            </w:r>
          </w:p>
        </w:tc>
        <w:tc>
          <w:tcPr>
            <w:tcW w:w="204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média &gt;95 GPR e disponibilidade &gt;98 % nos últimos dois anos</w:t>
            </w:r>
          </w:p>
        </w:tc>
        <w:tc>
          <w:tcPr>
            <w:tcW w:w="149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7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A determinar em consulta com o consultor</w:t>
            </w:r>
          </w:p>
        </w:tc>
        <w:tc>
          <w:tcPr>
            <w:tcW w:w="17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31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681554"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681554" w:rsidRDefault="003070E7" w:rsidP="003339C0">
      <w:pPr>
        <w:rPr>
          <w:b/>
          <w:bCs/>
          <w:color w:val="92D050"/>
        </w:rPr>
      </w:pPr>
    </w:p>
    <w:p w14:paraId="1D71BBAC" w14:textId="10712AB3" w:rsidR="003070E7" w:rsidRPr="00681554" w:rsidRDefault="003070E7" w:rsidP="003339C0">
      <w:pPr>
        <w:rPr>
          <w:b/>
          <w:bCs/>
          <w:color w:val="92D050"/>
        </w:rPr>
      </w:pPr>
    </w:p>
    <w:p w14:paraId="4C3F6BB7" w14:textId="5F688E32" w:rsidR="003070E7" w:rsidRPr="00681554" w:rsidRDefault="003070E7" w:rsidP="003339C0">
      <w:pPr>
        <w:rPr>
          <w:b/>
          <w:bCs/>
          <w:color w:val="92D050"/>
        </w:rPr>
      </w:pPr>
    </w:p>
    <w:p w14:paraId="61DAB9FF" w14:textId="6AB8FB56" w:rsidR="00343E75" w:rsidRPr="00681554" w:rsidRDefault="00343E75" w:rsidP="003339C0">
      <w:pPr>
        <w:rPr>
          <w:b/>
          <w:bCs/>
          <w:color w:val="92D050"/>
        </w:rPr>
      </w:pPr>
    </w:p>
    <w:p w14:paraId="67F1A444" w14:textId="7D15F93D" w:rsidR="00343E75" w:rsidRPr="00681554" w:rsidRDefault="00343E75" w:rsidP="003339C0">
      <w:pPr>
        <w:rPr>
          <w:b/>
          <w:bCs/>
          <w:color w:val="92D050"/>
        </w:rPr>
      </w:pPr>
    </w:p>
    <w:p w14:paraId="3F1A3187" w14:textId="3D14993D"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4F197616" w14:textId="3DA6A4FF" w:rsidR="00343E75" w:rsidRPr="00681554" w:rsidRDefault="00343E75" w:rsidP="003339C0">
      <w:pPr>
        <w:rPr>
          <w:b/>
          <w:bCs/>
          <w:color w:val="92D050"/>
        </w:rPr>
      </w:pPr>
    </w:p>
    <w:p w14:paraId="450BA66A" w14:textId="31599682" w:rsidR="00343E75" w:rsidRPr="00681554" w:rsidRDefault="00343E75" w:rsidP="003339C0">
      <w:pPr>
        <w:rPr>
          <w:b/>
          <w:bCs/>
          <w:color w:val="92D050"/>
        </w:rPr>
      </w:pPr>
    </w:p>
    <w:p w14:paraId="638A39F7" w14:textId="45E7D93E" w:rsidR="00343E75" w:rsidRPr="00681554" w:rsidRDefault="00343E75" w:rsidP="003339C0">
      <w:pPr>
        <w:rPr>
          <w:b/>
          <w:bCs/>
          <w:color w:val="92D050"/>
        </w:rPr>
      </w:pPr>
    </w:p>
    <w:p w14:paraId="2180D07C" w14:textId="77777777" w:rsidR="00343E75" w:rsidRPr="00681554" w:rsidRDefault="00343E75" w:rsidP="003339C0">
      <w:pPr>
        <w:rPr>
          <w:b/>
          <w:bCs/>
          <w:color w:val="92D050"/>
        </w:rPr>
      </w:pPr>
    </w:p>
    <w:p w14:paraId="33514DCD" w14:textId="75FFDC4B" w:rsidR="00343E75" w:rsidRDefault="00343E75" w:rsidP="003339C0">
      <w:pPr>
        <w:rPr>
          <w:b/>
          <w:bCs/>
          <w:color w:val="92D050"/>
        </w:rPr>
      </w:pPr>
    </w:p>
    <w:p w14:paraId="30159074" w14:textId="77777777" w:rsidR="00C83A67" w:rsidRDefault="00C83A67" w:rsidP="003339C0">
      <w:pPr>
        <w:rPr>
          <w:b/>
          <w:bCs/>
          <w:color w:val="92D050"/>
        </w:rPr>
      </w:pPr>
    </w:p>
    <w:p w14:paraId="0E396D57" w14:textId="77777777" w:rsidR="00C83A67" w:rsidRPr="00681554" w:rsidRDefault="00C83A67" w:rsidP="003339C0">
      <w:pPr>
        <w:rPr>
          <w:b/>
          <w:bCs/>
          <w:color w:val="92D050"/>
        </w:rPr>
      </w:pPr>
    </w:p>
    <w:p w14:paraId="30E6402C" w14:textId="77777777" w:rsidR="00343E75" w:rsidRPr="00681554" w:rsidRDefault="00343E75" w:rsidP="003339C0">
      <w:pPr>
        <w:rPr>
          <w:b/>
          <w:bCs/>
          <w:color w:val="92D050"/>
        </w:rPr>
      </w:pPr>
    </w:p>
    <w:p w14:paraId="755E4515" w14:textId="3B74B7A9" w:rsidR="00343E75" w:rsidRPr="00681554" w:rsidRDefault="00343E75" w:rsidP="003339C0">
      <w:pPr>
        <w:rPr>
          <w:b/>
          <w:bCs/>
          <w:color w:val="92D050"/>
        </w:rPr>
      </w:pPr>
    </w:p>
    <w:p w14:paraId="127EE824" w14:textId="77777777" w:rsidR="00C83A67" w:rsidRDefault="00C83A67" w:rsidP="003339C0">
      <w:pPr>
        <w:rPr>
          <w:b/>
          <w:bCs/>
          <w:color w:val="92D050"/>
        </w:rPr>
      </w:pPr>
    </w:p>
    <w:p w14:paraId="6819D09B" w14:textId="17682C79" w:rsidR="003070E7"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43BBD1B0">
                <wp:simplePos x="0" y="0"/>
                <wp:positionH relativeFrom="column">
                  <wp:posOffset>5306407</wp:posOffset>
                </wp:positionH>
                <wp:positionV relativeFrom="page">
                  <wp:posOffset>6124755</wp:posOffset>
                </wp:positionV>
                <wp:extent cx="736600" cy="736600"/>
                <wp:effectExtent l="0" t="0" r="6350" b="6350"/>
                <wp:wrapNone/>
                <wp:docPr id="29566610"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B2814AF" id="Oval 19" o:spid="_x0000_s1026" style="position:absolute;margin-left:417.85pt;margin-top:482.25pt;width:58pt;height:58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" fillcolor="#9fe4ce" stroked="f" strokeweight="1pt">
                <v:fill opacity="19789f"/>
                <v:stroke joinstyle="miter"/>
                <w10:wrap anchory="page"/>
              </v:oval>
            </w:pict>
          </mc:Fallback>
        </mc:AlternateContent>
      </w:r>
      <w:r>
        <w:rPr>
          <w:noProof/>
          <w:color w:val="92D050"/>
          <w:sz w:val="40"/>
        </w:rPr>
        <mc:AlternateContent>
          <mc:Choice Requires="wps">
            <w:drawing>
              <wp:anchor distT="0" distB="0" distL="114300" distR="114300" simplePos="0" relativeHeight="251766784" behindDoc="0" locked="0" layoutInCell="1" allowOverlap="1" wp14:anchorId="1891797A" wp14:editId="473EF117">
                <wp:simplePos x="0" y="0"/>
                <wp:positionH relativeFrom="column">
                  <wp:posOffset>967321</wp:posOffset>
                </wp:positionH>
                <wp:positionV relativeFrom="page">
                  <wp:posOffset>6745857</wp:posOffset>
                </wp:positionV>
                <wp:extent cx="736600" cy="736600"/>
                <wp:effectExtent l="0" t="0" r="6350" b="6350"/>
                <wp:wrapNone/>
                <wp:docPr id="200320035"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E4F0AC4" id="Oval 19" o:spid="_x0000_s1026" style="position:absolute;margin-left:76.15pt;margin-top:531.15pt;width:58pt;height:58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" fillcolor="#9fe4ce" stroked="f" strokeweight="1pt">
                <v:fill opacity="19789f"/>
                <v:stroke joinstyle="miter"/>
                <w10:wrap anchory="page"/>
              </v:oval>
            </w:pict>
          </mc:Fallback>
        </mc:AlternateContent>
      </w:r>
    </w:p>
    <w:p w14:paraId="7F9B8A19" w14:textId="0DB15BC2" w:rsidR="003339C0" w:rsidRDefault="003339C0" w:rsidP="009548F1">
      <w:pPr>
        <w:pStyle w:val="MH2"/>
      </w:pPr>
      <w:bookmarkStart w:id="164" w:name="_Toc177482793"/>
      <w:r>
        <w:t>10.8 – Requisitos – Manutenção e monitorização</w:t>
      </w:r>
      <w:bookmarkEnd w:id="164"/>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521"/>
        <w:gridCol w:w="3565"/>
        <w:gridCol w:w="1495"/>
        <w:gridCol w:w="3367"/>
        <w:gridCol w:w="2519"/>
        <w:gridCol w:w="2312"/>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9548F1">
            <w:pPr>
              <w:pStyle w:val="MH3"/>
            </w:pPr>
            <w:bookmarkStart w:id="165" w:name="_Toc177482794"/>
            <w:r>
              <w:t>Requisitos – Ecologia e biodiversidade</w:t>
            </w:r>
            <w:bookmarkEnd w:id="165"/>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Instruções ao cliente</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Modelo dos requisitos e critérios de adjudicação para projetos fotovoltaicos</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Altere os campos amarelos com texto azul</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Versão: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Requisitos facultativos nos campos cor-de-rosa: suprima o ponto de interrogação na coluna C se este requisito não for incluído. Caso contrário, escreva «sim» ou «1». O número do requisito será então suprimido e a numeração dos requisitos seguintes será ajustada automaticamente.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Publicado por: </w:t>
            </w:r>
            <w:proofErr w:type="spellStart"/>
            <w:r>
              <w:rPr>
                <w:rFonts w:ascii="Arial" w:hAnsi="Arial"/>
                <w:color w:val="808080"/>
                <w:sz w:val="16"/>
              </w:rPr>
              <w:t>Buyer</w:t>
            </w:r>
            <w:proofErr w:type="spellEnd"/>
            <w:r>
              <w:rPr>
                <w:rFonts w:ascii="Arial" w:hAnsi="Arial"/>
                <w:color w:val="808080"/>
                <w:sz w:val="16"/>
              </w:rPr>
              <w:t xml:space="preserve"> </w:t>
            </w:r>
            <w:proofErr w:type="spellStart"/>
            <w:r>
              <w:rPr>
                <w:rFonts w:ascii="Arial" w:hAnsi="Arial"/>
                <w:color w:val="808080"/>
                <w:sz w:val="16"/>
              </w:rPr>
              <w:t>Group</w:t>
            </w:r>
            <w:proofErr w:type="spellEnd"/>
            <w:r>
              <w:rPr>
                <w:rFonts w:ascii="Arial" w:hAnsi="Arial"/>
                <w:color w:val="808080"/>
                <w:sz w:val="16"/>
              </w:rPr>
              <w:t xml:space="preserve"> </w:t>
            </w:r>
            <w:proofErr w:type="spellStart"/>
            <w:r>
              <w:rPr>
                <w:rFonts w:ascii="Arial" w:hAnsi="Arial"/>
                <w:color w:val="808080"/>
                <w:sz w:val="16"/>
              </w:rPr>
              <w:t>voor</w:t>
            </w:r>
            <w:proofErr w:type="spellEnd"/>
            <w:r>
              <w:rPr>
                <w:rFonts w:ascii="Arial" w:hAnsi="Arial"/>
                <w:color w:val="808080"/>
                <w:sz w:val="16"/>
              </w:rPr>
              <w:t xml:space="preserve"> </w:t>
            </w:r>
            <w:proofErr w:type="spellStart"/>
            <w:r>
              <w:rPr>
                <w:rFonts w:ascii="Arial" w:hAnsi="Arial"/>
                <w:color w:val="808080"/>
                <w:sz w:val="16"/>
              </w:rPr>
              <w:t>Duurzame</w:t>
            </w:r>
            <w:proofErr w:type="spellEnd"/>
            <w:r>
              <w:rPr>
                <w:rFonts w:ascii="Arial" w:hAnsi="Arial"/>
                <w:color w:val="808080"/>
                <w:sz w:val="16"/>
              </w:rPr>
              <w:t xml:space="preserv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Introduza quaisquer requisitos adicionais nos campos vazios. Se forem inseridas linhas adicionais, ajuste as fórmulas de numeração automática nas colunas A e H.</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i/>
                <w:iCs/>
                <w:color w:val="808080"/>
                <w:sz w:val="16"/>
              </w:rPr>
              <w:t>Feedback</w:t>
            </w:r>
            <w:r>
              <w:rPr>
                <w:rFonts w:ascii="Arial" w:hAnsi="Arial"/>
                <w:color w:val="808080"/>
                <w:sz w:val="16"/>
              </w:rPr>
              <w:t>/erros/aditamentos: envie uma mensagem de correio eletrónico para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Depois de terminar, oculte as colunas D e </w:t>
            </w:r>
            <w:proofErr w:type="spellStart"/>
            <w:r>
              <w:rPr>
                <w:rFonts w:ascii="Arial" w:hAnsi="Arial"/>
                <w:color w:val="808080"/>
                <w:sz w:val="16"/>
              </w:rPr>
              <w:t>E</w:t>
            </w:r>
            <w:proofErr w:type="spellEnd"/>
            <w:r>
              <w:rPr>
                <w:rFonts w:ascii="Arial" w:hAnsi="Arial"/>
                <w:color w:val="808080"/>
                <w:sz w:val="16"/>
              </w:rPr>
              <w:t xml:space="preserve">.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ID</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Descrição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Incluir requisito?</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Explicação</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Verificação e validação</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Consequências do desempenho insuficiente</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SISTEMAS DE CAMPO/SISTEMAS SOLARES TERRESTRES</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Luz solar suficiente no solo; rácio de cobertura do solo (GCR). </w:t>
            </w:r>
            <w:r>
              <w:rPr>
                <w:rFonts w:ascii="Arial" w:hAnsi="Arial"/>
                <w:color w:val="000000"/>
                <w:sz w:val="18"/>
              </w:rPr>
              <w:t>A fim de permitir uma vida do solo suficiente, o GCR deve ser inferior a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O rácio de cobertura do solo é a área projetada no solo pelos painéis solares em relação à área coberta pelas filas de painéis solares.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Irrigação suficiente do subsolo; orientação paisagística dos painéis e distância entre painéis &gt;2 cm.</w:t>
            </w:r>
            <w:r>
              <w:rPr>
                <w:rFonts w:ascii="Arial" w:hAnsi="Arial"/>
                <w:color w:val="000000"/>
                <w:sz w:val="18"/>
              </w:rPr>
              <w:t xml:space="preserve"> Entre painéis adjacentes do lado curto ou longo, deve deixar-se um espaço de pelo menos 2 cm para que as águas pluviais possam penetrar sem grandes entraves até solo.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A instalação fotovoltaica deve cumprir o teste de solo da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Recomenda-se a inclusão deste ensaio para instalações fotovoltaicas com mais de 2 </w:t>
            </w:r>
            <w:proofErr w:type="spellStart"/>
            <w:r>
              <w:rPr>
                <w:rFonts w:ascii="Arial" w:hAnsi="Arial"/>
                <w:sz w:val="18"/>
              </w:rPr>
              <w:t>MWp</w:t>
            </w:r>
            <w:proofErr w:type="spellEnd"/>
            <w:r>
              <w:rPr>
                <w:rFonts w:ascii="Arial" w:hAnsi="Arial"/>
                <w:sz w:val="18"/>
              </w:rPr>
              <w:t xml:space="preserve">.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SISTEMAS FOTOVOLTAICOS FLUTUANTES</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Nota: no que diz respeito aos Sistemas Solares Flutuantes, existem vários requisitos específicos dos projetos e dos locais que devem, em primeiro lugar, ser determinados em conjunto com a Autoridade para os Recursos Hídricos.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Não devem ser utilizados materiais lixiviáveis.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No âmbito da Diretiva-Quadro da Água, as águas devem estar em bom estado no que diz respeito à composição química e à ecologia. A lixiviação de determinadas substâncias pode causar problemas em termos de composição química.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Taxa de cobertura da água não superior a:</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Nota: regra geral, a Autoridade para os Recursos Hídricos determina a taxa máxima de cobertura em colaboração com um ecologista.</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681554" w:rsidRDefault="00A92923" w:rsidP="00DB3C55">
      <w:pPr>
        <w:ind w:left="-900"/>
        <w:rPr>
          <w:b/>
          <w:bCs/>
          <w:color w:val="92D050"/>
        </w:rPr>
      </w:pPr>
    </w:p>
    <w:p w14:paraId="4914BD13" w14:textId="77777777" w:rsidR="00A92923" w:rsidRPr="00681554"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681554" w:rsidRDefault="00A92923" w:rsidP="00DB3C55">
      <w:pPr>
        <w:ind w:left="-900"/>
        <w:rPr>
          <w:b/>
          <w:bCs/>
          <w:color w:val="92D050"/>
        </w:rPr>
      </w:pPr>
    </w:p>
    <w:p w14:paraId="765F0B59" w14:textId="25232507"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p>
    <w:p w14:paraId="29B182EC" w14:textId="1F3A92EC" w:rsidR="00A92923" w:rsidRPr="00681554" w:rsidRDefault="00A92923" w:rsidP="00DB3C55">
      <w:pPr>
        <w:ind w:left="-900"/>
        <w:rPr>
          <w:b/>
          <w:bCs/>
          <w:color w:val="92D050"/>
        </w:rPr>
      </w:pPr>
    </w:p>
    <w:p w14:paraId="68EDDFCF" w14:textId="5C96501B" w:rsidR="00A92923" w:rsidRPr="00681554" w:rsidRDefault="00A92923" w:rsidP="00DB3C55">
      <w:pPr>
        <w:ind w:left="-900"/>
        <w:rPr>
          <w:b/>
          <w:bCs/>
          <w:color w:val="92D050"/>
        </w:rPr>
      </w:pPr>
    </w:p>
    <w:p w14:paraId="6098F31E" w14:textId="3C7AE79D" w:rsidR="00A92923" w:rsidRPr="00681554" w:rsidRDefault="00A92923" w:rsidP="00DB3C55">
      <w:pPr>
        <w:ind w:left="-900"/>
        <w:rPr>
          <w:b/>
          <w:bCs/>
          <w:color w:val="92D050"/>
        </w:rPr>
      </w:pPr>
    </w:p>
    <w:p w14:paraId="19310BB7" w14:textId="57CCDCFA"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21AE6FC5" w14:textId="5339F6FC" w:rsidR="00A92923" w:rsidRPr="00681554" w:rsidRDefault="00A92923" w:rsidP="00DB3C55">
      <w:pPr>
        <w:ind w:left="-900"/>
        <w:rPr>
          <w:b/>
          <w:bCs/>
          <w:color w:val="92D050"/>
        </w:rPr>
      </w:pPr>
    </w:p>
    <w:p w14:paraId="4A921ED9" w14:textId="3C383FFE" w:rsidR="00A92923" w:rsidRPr="00681554" w:rsidRDefault="00A92923" w:rsidP="00DB3C55">
      <w:pPr>
        <w:ind w:left="-900"/>
        <w:rPr>
          <w:b/>
          <w:bCs/>
          <w:color w:val="92D050"/>
        </w:rPr>
      </w:pPr>
    </w:p>
    <w:p w14:paraId="03B20077" w14:textId="77777777" w:rsidR="00A92923" w:rsidRPr="00681554" w:rsidRDefault="00A92923" w:rsidP="00DB3C55">
      <w:pPr>
        <w:ind w:left="-900"/>
        <w:rPr>
          <w:b/>
          <w:bCs/>
          <w:color w:val="92D050"/>
        </w:rPr>
      </w:pPr>
    </w:p>
    <w:p w14:paraId="4D59C320" w14:textId="42D95209" w:rsidR="00A92923" w:rsidRPr="00681554" w:rsidRDefault="00A92923" w:rsidP="00DB3C55">
      <w:pPr>
        <w:ind w:left="-900"/>
        <w:rPr>
          <w:b/>
          <w:bCs/>
          <w:color w:val="92D050"/>
        </w:rPr>
      </w:pPr>
    </w:p>
    <w:p w14:paraId="0CB8CFEE" w14:textId="77F1B3CF" w:rsidR="00A92923" w:rsidRPr="00681554" w:rsidRDefault="00A92923" w:rsidP="00DB3C55">
      <w:pPr>
        <w:ind w:left="-900"/>
        <w:rPr>
          <w:b/>
          <w:bCs/>
          <w:color w:val="92D050"/>
        </w:rPr>
      </w:pPr>
    </w:p>
    <w:p w14:paraId="6E2E44E5" w14:textId="77777777" w:rsidR="00C83A67" w:rsidRDefault="00C83A67" w:rsidP="00DB3C55">
      <w:pPr>
        <w:ind w:left="-900"/>
        <w:rPr>
          <w:b/>
          <w:bCs/>
          <w:color w:val="92D050"/>
        </w:rPr>
      </w:pPr>
    </w:p>
    <w:p w14:paraId="0B77D697" w14:textId="299C59D0"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057F01DE">
                <wp:simplePos x="0" y="0"/>
                <wp:positionH relativeFrom="column">
                  <wp:posOffset>-635</wp:posOffset>
                </wp:positionH>
                <wp:positionV relativeFrom="page">
                  <wp:posOffset>1295400</wp:posOffset>
                </wp:positionV>
                <wp:extent cx="4749165" cy="4749165"/>
                <wp:effectExtent l="0" t="0" r="0" b="0"/>
                <wp:wrapNone/>
                <wp:docPr id="1658310846" name="Oval 19"/>
                <wp:cNvGraphicFramePr/>
                <a:graphic xmlns:a="http://schemas.openxmlformats.org/drawingml/2006/main">
                  <a:graphicData uri="http://schemas.microsoft.com/office/word/2010/wordprocessingShape">
                    <wps:wsp>
                      <wps:cNvSpPr/>
                      <wps:spPr>
                        <a:xfrm>
                          <a:off x="0" y="0"/>
                          <a:ext cx="4749165" cy="47491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4997574" id="Oval 19" o:spid="_x0000_s1026" style="position:absolute;margin-left:-.05pt;margin-top:102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" fillcolor="#9fe4ce" stroked="f" strokeweight="1pt">
                <v:fill opacity="27499f"/>
                <v:stroke joinstyle="miter"/>
                <w10:wrap anchory="page"/>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078AA046" w14:textId="1A48CA1E" w:rsidR="00086957" w:rsidRPr="00FF29AA" w:rsidRDefault="00DB3C55" w:rsidP="009548F1">
      <w:pPr>
        <w:pStyle w:val="MH2"/>
      </w:pPr>
      <w:bookmarkStart w:id="166" w:name="_Toc177482795"/>
      <w:r>
        <w:t>10.9 – Requisitos – Ecologia e biodiversidade</w:t>
      </w:r>
      <w:bookmarkEnd w:id="166"/>
    </w:p>
    <w:p w14:paraId="0906D6B2" w14:textId="77777777" w:rsidR="00086957" w:rsidRPr="00681554" w:rsidRDefault="00086957" w:rsidP="003339C0">
      <w:pPr>
        <w:rPr>
          <w:b/>
          <w:bCs/>
          <w:color w:val="92D050"/>
          <w:sz w:val="10"/>
          <w:szCs w:val="10"/>
        </w:rPr>
      </w:pPr>
    </w:p>
    <w:p w14:paraId="1500325A" w14:textId="5ABC6634" w:rsidR="001B0E84" w:rsidRPr="00FF29AA" w:rsidRDefault="00DB60F4" w:rsidP="009548F1">
      <w:pPr>
        <w:pStyle w:val="MH3"/>
      </w:pPr>
      <w:bookmarkStart w:id="167" w:name="_Toc177482796"/>
      <w:r>
        <w:t>Documentos que têm de ser apresentados para que uma proposta seja válida</w:t>
      </w:r>
      <w:bookmarkEnd w:id="167"/>
    </w:p>
    <w:tbl>
      <w:tblPr>
        <w:tblW w:w="15580" w:type="dxa"/>
        <w:tblInd w:w="-810" w:type="dxa"/>
        <w:tblLook w:val="04A0" w:firstRow="1" w:lastRow="0" w:firstColumn="1" w:lastColumn="0" w:noHBand="0" w:noVBand="1"/>
      </w:tblPr>
      <w:tblGrid>
        <w:gridCol w:w="536"/>
        <w:gridCol w:w="4954"/>
        <w:gridCol w:w="1009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681554" w:rsidRDefault="00776A72" w:rsidP="001B0E84">
            <w:pPr>
              <w:spacing w:line="240" w:lineRule="auto"/>
              <w:rPr>
                <w:rFonts w:ascii="Calibri" w:hAnsi="Calibri" w:cs="Calibri"/>
                <w:b/>
                <w:bCs/>
                <w:color w:val="3DC3C6"/>
                <w:sz w:val="28"/>
                <w:szCs w:val="28"/>
                <w:lang w:eastAsia="en-GB"/>
              </w:rPr>
            </w:pPr>
          </w:p>
          <w:p w14:paraId="2A9770E9" w14:textId="77777777" w:rsidR="00776A72" w:rsidRPr="00681554"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N.º</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Assunto</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Descrição</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Projeto</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Ficha relativa aos critérios de adjudicação</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Ficha preenchida com os detalhes da sua proposta</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Relatório(s) de simulação por local, </w:t>
            </w:r>
            <w:proofErr w:type="spellStart"/>
            <w:r>
              <w:rPr>
                <w:rFonts w:ascii="Arial" w:hAnsi="Arial"/>
                <w:color w:val="000000"/>
              </w:rPr>
              <w:t>PVsyst</w:t>
            </w:r>
            <w:proofErr w:type="spellEnd"/>
            <w:r>
              <w:rPr>
                <w:rFonts w:ascii="Arial" w:hAnsi="Arial"/>
                <w:color w:val="000000"/>
              </w:rPr>
              <w:t xml:space="preserve">,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Incorporar o seu projeto/proposta através de </w:t>
            </w:r>
            <w:r>
              <w:rPr>
                <w:rFonts w:ascii="Arial" w:hAnsi="Arial"/>
                <w:i/>
                <w:iCs/>
                <w:color w:val="000000"/>
              </w:rPr>
              <w:t>software</w:t>
            </w:r>
            <w:r>
              <w:rPr>
                <w:rFonts w:ascii="Arial" w:hAnsi="Arial"/>
                <w:color w:val="000000"/>
              </w:rPr>
              <w:t xml:space="preserve"> de simulação reconhecido, como </w:t>
            </w:r>
            <w:proofErr w:type="spellStart"/>
            <w:r>
              <w:rPr>
                <w:rFonts w:ascii="Arial" w:hAnsi="Arial"/>
                <w:color w:val="000000"/>
              </w:rPr>
              <w:t>PVsyst</w:t>
            </w:r>
            <w:proofErr w:type="spellEnd"/>
            <w:r>
              <w:rPr>
                <w:rFonts w:ascii="Arial" w:hAnsi="Arial"/>
                <w:color w:val="000000"/>
              </w:rPr>
              <w:t xml:space="preserve">, PV*SOL, etc.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Painéis solares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Ficha técnica do painel solar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Garantia de produto do painel solar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Garantia do produto ou garantia de execução</w:t>
            </w:r>
          </w:p>
        </w:tc>
      </w:tr>
      <w:tr w:rsidR="00776A72" w:rsidRPr="00776A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Certificado de pegada de carbono do painel solar</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De acordo com </w:t>
            </w:r>
            <w:proofErr w:type="spellStart"/>
            <w:r>
              <w:rPr>
                <w:rFonts w:ascii="Arial" w:hAnsi="Arial"/>
                <w:i/>
                <w:color w:val="000000"/>
              </w:rPr>
              <w:t>Evaluation</w:t>
            </w:r>
            <w:proofErr w:type="spellEnd"/>
            <w:r>
              <w:rPr>
                <w:rFonts w:ascii="Arial" w:hAnsi="Arial"/>
                <w:i/>
                <w:color w:val="000000"/>
              </w:rPr>
              <w:t xml:space="preserve"> carbone </w:t>
            </w:r>
            <w:proofErr w:type="spellStart"/>
            <w:r>
              <w:rPr>
                <w:rFonts w:ascii="Arial" w:hAnsi="Arial"/>
                <w:i/>
                <w:color w:val="000000"/>
              </w:rPr>
              <w:t>simplifiée</w:t>
            </w:r>
            <w:proofErr w:type="spellEnd"/>
            <w:r>
              <w:rPr>
                <w:rFonts w:ascii="Arial" w:hAnsi="Arial"/>
                <w:color w:val="000000"/>
              </w:rPr>
              <w:t xml:space="preserve"> da </w:t>
            </w:r>
            <w:proofErr w:type="spellStart"/>
            <w:r>
              <w:rPr>
                <w:rFonts w:ascii="Arial" w:hAnsi="Arial"/>
                <w:color w:val="000000"/>
              </w:rPr>
              <w:t>Adème</w:t>
            </w:r>
            <w:proofErr w:type="spellEnd"/>
            <w:r>
              <w:rPr>
                <w:rFonts w:ascii="Arial" w:hAnsi="Arial"/>
                <w:color w:val="000000"/>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Se não houver painéis de vidro duplo nem exclusão explícita de PFAS na ficha técnica: Atestado de ausência de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Documento do fabricante do painel que confirme que foi utilizada uma camada traseira sem PFAS.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Inversor</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Ficha técnica do inversor</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A sua organização</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Três referências a projetos fotovoltaicos anteriores</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Relatório SCIOS Scope 12 ou referência do cliente; em relação a 3 projetos com uma potência em watt-pico de, pelo menos, 30 % da dimensão deste projeto, dos últimos 4 anos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Documento Europeu Único de Contratação Pública</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Documento formal utilizado para cada concurso público europeu, no qual os proponentes indicam, nomeadamente, se os motivos de exclusão se aplicam à sua empresa, quais as partes a registar, qual a estrutura escolhida caso se trate de uma proposta multilateral (subcontratação ou grupo) e que pessoa ou pessoas atuarão como representantes autorizados da(s) parte(s) proponente(s).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Facultativo: eventuais certificados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Exemplos: </w:t>
            </w:r>
            <w:proofErr w:type="spellStart"/>
            <w:r>
              <w:rPr>
                <w:rFonts w:ascii="Arial" w:hAnsi="Arial"/>
                <w:color w:val="000000"/>
              </w:rPr>
              <w:t>InstallQ</w:t>
            </w:r>
            <w:proofErr w:type="spellEnd"/>
            <w:r>
              <w:rPr>
                <w:rFonts w:ascii="Arial" w:hAnsi="Arial"/>
                <w:color w:val="000000"/>
              </w:rPr>
              <w:t>,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Mapa das quantidades devidamente preenchido</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Os proponentes devem indicar um preço para os produtos/serviços a declarar, autenticado com uma assinatura. </w:t>
            </w:r>
          </w:p>
        </w:tc>
      </w:tr>
    </w:tbl>
    <w:p w14:paraId="34C9C1B9" w14:textId="324707D6" w:rsidR="00026952" w:rsidRPr="00A11B94" w:rsidRDefault="00DB60F4" w:rsidP="009548F1">
      <w:pPr>
        <w:pStyle w:val="MH3"/>
      </w:pPr>
      <w:bookmarkStart w:id="168" w:name="_Toc177482797"/>
      <w:r>
        <w:t>Registo de alterações</w:t>
      </w:r>
      <w:bookmarkEnd w:id="168"/>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30"/>
        <w:gridCol w:w="1724"/>
        <w:gridCol w:w="1646"/>
        <w:gridCol w:w="1929"/>
        <w:gridCol w:w="1622"/>
        <w:gridCol w:w="1677"/>
        <w:gridCol w:w="1643"/>
        <w:gridCol w:w="1415"/>
        <w:gridCol w:w="2533"/>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Descrição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Valor</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Incluir requisito?</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Explicação para o cliente</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Explicação para o proponente</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Verificação e validação</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Consequências do desempenho insuficiente</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Garantia do produto removida, objeções de várias partes</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Garantia do produto/garantia de execução</w:t>
            </w:r>
            <w:r>
              <w:rPr>
                <w:rFonts w:ascii="Arial" w:hAnsi="Arial"/>
                <w:color w:val="000000"/>
                <w:sz w:val="18"/>
              </w:rPr>
              <w:t>:</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anos</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Recomendação: 30 anos para a sustentabilidade e baixos custos normalizados totais de produção de energia. Para projetos de menor duração, poderá ser de 25 anos. Para projetos de curta duração (5-10 anos), pondere utilizar painéis em segunda mão.</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Este período de garantia é um indicador da vida útil técnica esperada. Diz respeito à garantia do produto. Nota: Muitos painéis solares convencionais têm uma garantia de produto de apenas 10-12 anos.</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Garantia de produto através de relatório de conclusão e inspeção SCIOS Scope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Substituição por painéis solares que cumpram o requisito</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3A07C674"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COMUNIDADE DE ADQUIRENTES PÚBLICOS</w:t>
    </w:r>
    <w:r>
      <w:rPr>
        <w:rFonts w:ascii="Arial" w:hAnsi="Arial"/>
        <w:color w:val="104D55"/>
      </w:rPr>
      <w:tab/>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FASES PRELIMINARES DE UM PROJETO FOTOVOLTAICO</w:t>
    </w:r>
  </w:p>
  <w:p w14:paraId="587459A2" w14:textId="77777777" w:rsidR="00030397" w:rsidRPr="00DE36D8" w:rsidRDefault="00030397" w:rsidP="00DE36D8">
    <w:pPr>
      <w:pStyle w:val="Header"/>
      <w:rPr>
        <w:b/>
        <w:bCs/>
        <w:sz w:val="20"/>
        <w:szCs w:val="20"/>
      </w:rPr>
    </w:pPr>
    <w:r>
      <w:rPr>
        <w:rFonts w:ascii="Arial" w:hAnsi="Arial"/>
        <w:b/>
        <w:color w:val="104D55"/>
        <w:sz w:val="20"/>
      </w:rPr>
      <w:t xml:space="preserve">public-buyers-community.ec.europa.eu </w:t>
    </w:r>
  </w:p>
  <w:p w14:paraId="029F867B" w14:textId="77777777" w:rsidR="00030397" w:rsidRDefault="00030397">
    <w:pPr>
      <w:pStyle w:val="Header"/>
    </w:pPr>
  </w:p>
  <w:p w14:paraId="3CF6BC01" w14:textId="77777777" w:rsidR="00030397" w:rsidRDefault="000303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activeWritingStyle w:appName="MSWord" w:lang="pt-PT" w:vendorID="64" w:dllVersion="0" w:nlCheck="1" w:checkStyle="0"/>
  <w:activeWritingStyle w:appName="MSWord" w:lang="fr-BE" w:vendorID="64" w:dllVersion="0" w:nlCheck="1" w:checkStyle="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42FAC"/>
    <w:rsid w:val="0005655B"/>
    <w:rsid w:val="0007288B"/>
    <w:rsid w:val="0007474D"/>
    <w:rsid w:val="000759BF"/>
    <w:rsid w:val="00077532"/>
    <w:rsid w:val="00081255"/>
    <w:rsid w:val="00082A07"/>
    <w:rsid w:val="00086957"/>
    <w:rsid w:val="00090E82"/>
    <w:rsid w:val="00096404"/>
    <w:rsid w:val="000A54DB"/>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1032"/>
    <w:rsid w:val="001514E8"/>
    <w:rsid w:val="00153BC5"/>
    <w:rsid w:val="00153DD8"/>
    <w:rsid w:val="00154E4F"/>
    <w:rsid w:val="001614A7"/>
    <w:rsid w:val="00162562"/>
    <w:rsid w:val="00163606"/>
    <w:rsid w:val="00164D62"/>
    <w:rsid w:val="0017126B"/>
    <w:rsid w:val="00173273"/>
    <w:rsid w:val="00187179"/>
    <w:rsid w:val="00187D03"/>
    <w:rsid w:val="001900C0"/>
    <w:rsid w:val="00195502"/>
    <w:rsid w:val="001A0646"/>
    <w:rsid w:val="001A2ACF"/>
    <w:rsid w:val="001B06A0"/>
    <w:rsid w:val="001B0E84"/>
    <w:rsid w:val="001B4AF3"/>
    <w:rsid w:val="001B72D8"/>
    <w:rsid w:val="001C3E94"/>
    <w:rsid w:val="001D2C89"/>
    <w:rsid w:val="001D30B6"/>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17D9E"/>
    <w:rsid w:val="00321C0F"/>
    <w:rsid w:val="0032494C"/>
    <w:rsid w:val="003339C0"/>
    <w:rsid w:val="003430AD"/>
    <w:rsid w:val="0034335E"/>
    <w:rsid w:val="003438C0"/>
    <w:rsid w:val="00343E75"/>
    <w:rsid w:val="003509F6"/>
    <w:rsid w:val="003721FE"/>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D6E95"/>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675FC"/>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6171C0"/>
    <w:rsid w:val="00624300"/>
    <w:rsid w:val="0062438F"/>
    <w:rsid w:val="00635E05"/>
    <w:rsid w:val="00643D1E"/>
    <w:rsid w:val="00647B2F"/>
    <w:rsid w:val="006612B9"/>
    <w:rsid w:val="00666E79"/>
    <w:rsid w:val="006678CB"/>
    <w:rsid w:val="006776DF"/>
    <w:rsid w:val="00681240"/>
    <w:rsid w:val="00681554"/>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A7469"/>
    <w:rsid w:val="007B0F63"/>
    <w:rsid w:val="007B735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22C4"/>
    <w:rsid w:val="00853D94"/>
    <w:rsid w:val="00854620"/>
    <w:rsid w:val="00861113"/>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548F1"/>
    <w:rsid w:val="009601C2"/>
    <w:rsid w:val="00961D01"/>
    <w:rsid w:val="00961DD0"/>
    <w:rsid w:val="00963501"/>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4096C"/>
    <w:rsid w:val="00C42EE6"/>
    <w:rsid w:val="00C44822"/>
    <w:rsid w:val="00C508AC"/>
    <w:rsid w:val="00C54B06"/>
    <w:rsid w:val="00C5774B"/>
    <w:rsid w:val="00C677D9"/>
    <w:rsid w:val="00C71333"/>
    <w:rsid w:val="00C71DF9"/>
    <w:rsid w:val="00C72201"/>
    <w:rsid w:val="00C76559"/>
    <w:rsid w:val="00C81F79"/>
    <w:rsid w:val="00C83A67"/>
    <w:rsid w:val="00C87B67"/>
    <w:rsid w:val="00C903B7"/>
    <w:rsid w:val="00C915C7"/>
    <w:rsid w:val="00CA16B7"/>
    <w:rsid w:val="00CA7080"/>
    <w:rsid w:val="00CC023A"/>
    <w:rsid w:val="00CC46CB"/>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6F9D"/>
    <w:rsid w:val="00D2737A"/>
    <w:rsid w:val="00D347ED"/>
    <w:rsid w:val="00D423F8"/>
    <w:rsid w:val="00D424A6"/>
    <w:rsid w:val="00D528D9"/>
    <w:rsid w:val="00D71B23"/>
    <w:rsid w:val="00D75821"/>
    <w:rsid w:val="00D825AD"/>
    <w:rsid w:val="00D948C1"/>
    <w:rsid w:val="00D96E22"/>
    <w:rsid w:val="00D972B0"/>
    <w:rsid w:val="00DA6DB7"/>
    <w:rsid w:val="00DA7093"/>
    <w:rsid w:val="00DB3C55"/>
    <w:rsid w:val="00DB60F4"/>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t-P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customStyle="1" w:styleId="MH1">
    <w:name w:val="MH1"/>
    <w:basedOn w:val="Style2"/>
    <w:link w:val="MH1Char"/>
    <w:qFormat/>
    <w:rsid w:val="009548F1"/>
  </w:style>
  <w:style w:type="character" w:customStyle="1" w:styleId="Style2Char">
    <w:name w:val="Style2 Char"/>
    <w:basedOn w:val="Heading1Char"/>
    <w:link w:val="Style2"/>
    <w:rsid w:val="009548F1"/>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9548F1"/>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9548F1"/>
    <w:pPr>
      <w:ind w:left="-851"/>
    </w:pPr>
  </w:style>
  <w:style w:type="character" w:customStyle="1" w:styleId="SUB1Char">
    <w:name w:val="SUB1 Char"/>
    <w:basedOn w:val="DefaultParagraphFont"/>
    <w:link w:val="SUB1"/>
    <w:rsid w:val="009548F1"/>
    <w:rPr>
      <w:rFonts w:ascii="Arial" w:eastAsia="Times New Roman" w:hAnsi="Arial" w:cs="Arial"/>
      <w:b/>
      <w:color w:val="104D54"/>
      <w:sz w:val="36"/>
      <w:szCs w:val="36"/>
      <w:lang w:eastAsia="nl-NL"/>
    </w:rPr>
  </w:style>
  <w:style w:type="character" w:customStyle="1" w:styleId="MH2Char">
    <w:name w:val="MH2 Char"/>
    <w:basedOn w:val="SUB1Char"/>
    <w:link w:val="MH2"/>
    <w:rsid w:val="009548F1"/>
    <w:rPr>
      <w:rFonts w:ascii="Arial" w:eastAsia="Times New Roman" w:hAnsi="Arial" w:cs="Arial"/>
      <w:b/>
      <w:color w:val="104D54"/>
      <w:sz w:val="36"/>
      <w:szCs w:val="36"/>
      <w:lang w:eastAsia="nl-NL"/>
    </w:rPr>
  </w:style>
  <w:style w:type="paragraph" w:customStyle="1" w:styleId="MH3">
    <w:name w:val="MH3"/>
    <w:basedOn w:val="SUB2"/>
    <w:link w:val="MH3Char"/>
    <w:qFormat/>
    <w:rsid w:val="009548F1"/>
  </w:style>
  <w:style w:type="character" w:customStyle="1" w:styleId="SUB2Char">
    <w:name w:val="SUB2 Char"/>
    <w:basedOn w:val="DefaultParagraphFont"/>
    <w:link w:val="SUB2"/>
    <w:rsid w:val="009548F1"/>
    <w:rPr>
      <w:rFonts w:ascii="Arial" w:eastAsia="Times New Roman" w:hAnsi="Arial" w:cs="Arial"/>
      <w:b/>
      <w:color w:val="104D54"/>
      <w:sz w:val="28"/>
      <w:szCs w:val="28"/>
      <w:lang w:eastAsia="nl-NL"/>
    </w:rPr>
  </w:style>
  <w:style w:type="character" w:customStyle="1" w:styleId="MH3Char">
    <w:name w:val="MH3 Char"/>
    <w:basedOn w:val="SUB2Char"/>
    <w:link w:val="MH3"/>
    <w:rsid w:val="009548F1"/>
    <w:rPr>
      <w:rFonts w:ascii="Arial" w:eastAsia="Times New Roman" w:hAnsi="Arial" w:cs="Arial"/>
      <w:b/>
      <w:color w:val="104D54"/>
      <w:sz w:val="28"/>
      <w:szCs w:val="28"/>
      <w:lang w:eastAsia="nl-NL"/>
    </w:rPr>
  </w:style>
  <w:style w:type="paragraph" w:styleId="TOC3">
    <w:name w:val="toc 3"/>
    <w:basedOn w:val="Normal"/>
    <w:next w:val="Normal"/>
    <w:autoRedefine/>
    <w:uiPriority w:val="39"/>
    <w:unhideWhenUsed/>
    <w:rsid w:val="009548F1"/>
    <w:pPr>
      <w:spacing w:after="100"/>
      <w:ind w:left="4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3CDBB9-F756-48F8-89FE-0B01F53C40C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43</Pages>
  <Words>9447</Words>
  <Characters>52811</Characters>
  <Application>Microsoft Office Word</Application>
  <DocSecurity>0</DocSecurity>
  <Lines>3106</Lines>
  <Paragraphs>1020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61238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2024-09-17T13:25:00Z</dcterms:created>
  <dcterms:modified xsi:type="dcterms:W3CDTF">2024-10-23T10:01:00Z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