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48570F">
      <w:pPr>
        <w:pStyle w:val="MH1"/>
      </w:pPr>
      <w:bookmarkStart w:id="0" w:name="_Toc176847848"/>
      <w:bookmarkStart w:id="1" w:name="_Toc177483284"/>
      <w:r>
        <w:t>Príloha 10 – Požiadavky</w:t>
      </w:r>
      <w:bookmarkEnd w:id="0"/>
      <w:bookmarkEnd w:id="1"/>
    </w:p>
    <w:p w14:paraId="245D9095" w14:textId="77777777" w:rsidR="007061E0" w:rsidRDefault="007061E0" w:rsidP="007061E0">
      <w:pPr>
        <w:rPr>
          <w:lang w:val="el-GR"/>
        </w:rPr>
      </w:pPr>
    </w:p>
    <w:p w14:paraId="7F7E8800" w14:textId="7D985EFF" w:rsidR="007061E0" w:rsidRPr="007061E0" w:rsidRDefault="007061E0" w:rsidP="0048570F">
      <w:pPr>
        <w:pStyle w:val="MH2"/>
      </w:pPr>
      <w:bookmarkStart w:id="2" w:name="_Toc177483285"/>
      <w:r>
        <w:t>10.1. – Všeobecné požiadavky</w:t>
      </w:r>
      <w:bookmarkEnd w:id="2"/>
    </w:p>
    <w:tbl>
      <w:tblPr>
        <w:tblW w:w="17058" w:type="dxa"/>
        <w:tblInd w:w="-993" w:type="dxa"/>
        <w:tblLayout w:type="fixed"/>
        <w:tblLook w:val="04A0" w:firstRow="1" w:lastRow="0" w:firstColumn="1" w:lastColumn="0" w:noHBand="0" w:noVBand="1"/>
      </w:tblPr>
      <w:tblGrid>
        <w:gridCol w:w="1593"/>
        <w:gridCol w:w="2944"/>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48570F">
            <w:pPr>
              <w:pStyle w:val="MH3"/>
            </w:pPr>
            <w:bookmarkStart w:id="3" w:name="_Toc177483286"/>
            <w:r>
              <w:t>Požiadavky – všeobecné</w:t>
            </w:r>
            <w:bookmarkEnd w:id="3"/>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xml:space="preserve">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xml:space="preserve">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Pokyny klienta</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xml:space="preserve">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xml:space="preserve">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xml:space="preserve">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Vzor požiadaviek a kritérií na vyhodnotenie ponúk na fotovoltické projekty</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xml:space="preserve">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xml:space="preserve">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Zmeňte žlté polia s modrým textom.</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xml:space="preserve">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xml:space="preserve">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xml:space="preserve">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Verzia: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Spätná väzba/chyby/doplnenia: pošlite e-mail na adresu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xml:space="preserve">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xml:space="preserve">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Nepovinné požiadavky v ružových poliach: ak sa táto požiadavka nezahŕňa,</w:t>
            </w:r>
            <w:r>
              <w:t xml:space="preserve"> </w:t>
            </w:r>
            <w:r>
              <w:br/>
            </w:r>
            <w:r>
              <w:rPr>
                <w:rFonts w:ascii="Arial" w:hAnsi="Arial"/>
                <w:color w:val="808080"/>
                <w:sz w:val="16"/>
              </w:rPr>
              <w:t xml:space="preserve">odstráňte otáznik v stĺpci C. V opačnom prípade uveďte „áno“ alebo „1“. </w:t>
            </w:r>
            <w:r>
              <w:t xml:space="preserve"> </w:t>
            </w:r>
            <w:r>
              <w:br/>
            </w:r>
            <w:r>
              <w:rPr>
                <w:rFonts w:ascii="Arial" w:hAnsi="Arial"/>
                <w:color w:val="808080"/>
                <w:sz w:val="16"/>
              </w:rPr>
              <w:t xml:space="preserve">Následne sa odstráni číslo požiadavky </w:t>
            </w:r>
            <w:r>
              <w:t xml:space="preserve"> </w:t>
            </w:r>
            <w:r>
              <w:br/>
            </w:r>
            <w:r>
              <w:rPr>
                <w:rFonts w:ascii="Arial" w:hAnsi="Arial"/>
                <w:color w:val="808080"/>
                <w:sz w:val="16"/>
              </w:rPr>
              <w:t xml:space="preserve"> a nasledujúce požiadavky sa automaticky prečíslujú.</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Dodatočné požiadavky zadajte do prázdnych polí. V prípade vloženia dodatočných riadkov </w:t>
            </w:r>
            <w:r>
              <w:t xml:space="preserve"> </w:t>
            </w:r>
            <w:r>
              <w:br/>
            </w:r>
            <w:r>
              <w:rPr>
                <w:rFonts w:ascii="Arial" w:hAnsi="Arial"/>
                <w:color w:val="808080"/>
                <w:sz w:val="16"/>
              </w:rPr>
              <w:t>upravte vzorec pre automatické číslovanie v stĺpcoch A a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xml:space="preserve">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xml:space="preserve">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xml:space="preserve">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Po dokončení úprav skryte stĺpce D a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xml:space="preserve"> </w:t>
            </w:r>
          </w:p>
        </w:tc>
      </w:tr>
      <w:tr w:rsidR="008D4DCE" w:rsidRPr="00E175BF" w14:paraId="737F9CB6" w14:textId="77777777" w:rsidTr="004F169E">
        <w:trPr>
          <w:gridAfter w:val="1"/>
          <w:wAfter w:w="1061" w:type="dxa"/>
          <w:trHeight w:val="1203"/>
        </w:trPr>
        <w:tc>
          <w:tcPr>
            <w:tcW w:w="1593"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4" w:name="RANGE!A6:H40"/>
            <w:r>
              <w:rPr>
                <w:rFonts w:ascii="Arial" w:hAnsi="Arial"/>
                <w:b/>
                <w:color w:val="FFFFFF"/>
                <w:sz w:val="21"/>
              </w:rPr>
              <w:t>Identifikačné číslo</w:t>
            </w:r>
            <w:bookmarkEnd w:id="4"/>
          </w:p>
        </w:tc>
        <w:tc>
          <w:tcPr>
            <w:tcW w:w="294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Opis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Hodnota</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Zahrnúť požiadavku?</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Vysvetlenie </w:t>
            </w:r>
            <w:r>
              <w:t xml:space="preserve"> </w:t>
            </w:r>
            <w:r>
              <w:br/>
            </w:r>
            <w:r>
              <w:rPr>
                <w:rFonts w:ascii="Arial" w:hAnsi="Arial"/>
                <w:b/>
                <w:color w:val="FFFFFF"/>
                <w:sz w:val="21"/>
              </w:rPr>
              <w:t>pre klienta</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Vysvetlenie pre uchádzačov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Overovanie/</w:t>
            </w:r>
            <w:r>
              <w:t xml:space="preserve"> </w:t>
            </w:r>
            <w:r>
              <w:br/>
            </w:r>
            <w:r>
              <w:rPr>
                <w:rFonts w:ascii="Arial" w:hAnsi="Arial"/>
                <w:b/>
                <w:color w:val="FFFFFF"/>
                <w:sz w:val="21"/>
              </w:rPr>
              <w:t>validácia</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Následky nedostatočnej výkonnosti</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Lokalita a trvanie projektu</w:t>
            </w:r>
          </w:p>
        </w:tc>
      </w:tr>
      <w:tr w:rsidR="008D4DCE" w:rsidRPr="00E175BF" w14:paraId="7271C93A" w14:textId="77777777" w:rsidTr="004F169E">
        <w:trPr>
          <w:gridAfter w:val="1"/>
          <w:wAfter w:w="1061" w:type="dxa"/>
          <w:trHeight w:val="720"/>
        </w:trPr>
        <w:tc>
          <w:tcPr>
            <w:tcW w:w="15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294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Opis lokality/lokalít projektu</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Pozri prílohu…</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Vytvorte prílohu, v ktorej pri každej lokalite uvediete: adresu, strešný/pozemný projekt, fotografie lokality, odhadovaný výkon jednosmerného prúdu, sieťové pripojenie, zaťaženie strechy atď.</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Hlavné ciele: zariadenie využívajúce slnečnú energiu</w:t>
            </w:r>
            <w:r>
              <w:rPr>
                <w:rFonts w:ascii="Arial" w:hAnsi="Arial"/>
                <w:b/>
                <w:color w:val="FFFFFF"/>
              </w:rPr>
              <w:t xml:space="preserve"> </w:t>
            </w:r>
          </w:p>
        </w:tc>
      </w:tr>
      <w:tr w:rsidR="008D4DCE" w:rsidRPr="00E175BF" w14:paraId="34949130" w14:textId="77777777" w:rsidTr="004F169E">
        <w:trPr>
          <w:gridAfter w:val="1"/>
          <w:wAfter w:w="1061" w:type="dxa"/>
          <w:trHeight w:val="51"/>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Výkon jednosmerného prúdu navrhovaných solárnych panelov musí byť väčší než: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r>
              <w:rPr>
                <w:rFonts w:ascii="Arial" w:hAnsi="Arial"/>
                <w:b/>
                <w:color w:val="0070C0"/>
                <w:sz w:val="18"/>
                <w:vertAlign w:val="subscript"/>
              </w:rPr>
              <w:t>p</w:t>
            </w:r>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Pozri štúdiu uskutočniteľnosti.</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Celkový kombinovaný špičkový výkon všetkých solárnych panelov, ktoré sa budú inštalovať, na základe výkonu v normalizovaných skúšobných podmienkach na karte údajov solárneho panela pre prednú stranu (jednostranný panel).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t>1. karta údajov solárneho panela; 2. správa zo simulácie fotovoltického zariadenia vypracovaná s použitím schváleného softvéru (napr. PVsyst, PV*SOL atď.).</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Neplatná ponuka</w:t>
            </w:r>
          </w:p>
        </w:tc>
      </w:tr>
      <w:tr w:rsidR="008D4DCE" w:rsidRPr="00E175BF" w14:paraId="11E5384C" w14:textId="77777777" w:rsidTr="004F169E">
        <w:trPr>
          <w:gridAfter w:val="1"/>
          <w:wAfter w:w="1061" w:type="dxa"/>
          <w:trHeight w:val="3184"/>
        </w:trPr>
        <w:tc>
          <w:tcPr>
            <w:tcW w:w="15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294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Elektrina vyrobená fotovoltickým zariadením v kWh v roku 1 musí byť väčšia než:</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Pozri štúdiu uskutočniteľnosti, v ktorej sa používa „hodnota P50“ (priemerný výnos počas dlhšieho obdobia), pre obdobie simulácie 2010 – 2020, podľa databázy…</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Týka sa hodnoty P50 za obdobie simulácie 2010 – 2020, podľa databázy… Správa zo simulácie pre navrhované fotovoltické zariadenie v roku 1, na základe menovitej intenzity žiarenia = priemerný dlhodobý predpoklad, „P50“ s použitím uznaného softvéru (PVsyst, PV*SOL alebo podobný balík).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Správa zo simulácie navrhovaného fotovoltického zariadenia</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Neplatná ponuka</w:t>
            </w:r>
          </w:p>
        </w:tc>
      </w:tr>
      <w:tr w:rsidR="008D4DCE" w:rsidRPr="00E175BF" w14:paraId="235764A2" w14:textId="77777777" w:rsidTr="004F169E">
        <w:trPr>
          <w:gridAfter w:val="1"/>
          <w:wAfter w:w="1061" w:type="dxa"/>
          <w:trHeight w:val="810"/>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2944"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Výkon striedavého prúdu fotovoltického zariadenia by mal byť menej než:</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Nepovinná požiadavka, napríklad v prípade, ak sa musí zohľadniť kapacita existujúceho sieťového pripojenia. Upozornenie: V prípade projektov v rámci programu SDE++ sa do siete môže pripojiť najviac 50 % celkového výkonu jednosmerného prúdu panela.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Môže sa dosiahnuť obmedzením invertorov na určitý výkon.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i/>
                <w:sz w:val="18"/>
              </w:rPr>
              <w:t>Ex post</w:t>
            </w:r>
            <w:r>
              <w:rPr>
                <w:rFonts w:ascii="Arial" w:hAnsi="Arial"/>
                <w:sz w:val="18"/>
              </w:rPr>
              <w:t xml:space="preserve"> prostredníctvom kontroly zariadenia okruhu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Neplatná ponuka</w:t>
            </w:r>
          </w:p>
        </w:tc>
      </w:tr>
      <w:tr w:rsidR="008D4DCE" w:rsidRPr="00E175BF" w14:paraId="344F8467" w14:textId="77777777" w:rsidTr="004F169E">
        <w:trPr>
          <w:gridAfter w:val="1"/>
          <w:wAfter w:w="1061" w:type="dxa"/>
          <w:trHeight w:val="2012"/>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2944"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Údržba a monitorovanie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Počas prvých dvoch až štyroch rokov</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Nepovinná požiadavka (často uplatňovaná, odporúčaná), aby údržbu a monitorovanie prvé dva až štyri roky vykonávala montážna firma</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Neplatná ponuka</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Bezpečnosť</w:t>
            </w:r>
          </w:p>
        </w:tc>
      </w:tr>
      <w:tr w:rsidR="008D4DCE" w:rsidRPr="00E175BF" w14:paraId="78318867" w14:textId="77777777" w:rsidTr="004F169E">
        <w:trPr>
          <w:gridAfter w:val="1"/>
          <w:wAfter w:w="1061" w:type="dxa"/>
          <w:trHeight w:val="1314"/>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Elektrické zariadenie musí byť navrhnuté a skonštruované v súlade s normou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i/>
                <w:sz w:val="18"/>
              </w:rPr>
              <w:t>Ex post</w:t>
            </w:r>
            <w:r>
              <w:rPr>
                <w:rFonts w:ascii="Arial" w:hAnsi="Arial"/>
                <w:sz w:val="18"/>
              </w:rPr>
              <w:t xml:space="preserve"> prostredníctvom kontroly zariadenia okruhu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Zhotoviteľ musí zabezpečiť, že zariadenie sa uvedie do súladu s normou NEN 1010 v primeranej lehote, v opačnom prípade tak urobí klient na náklady zhotoviteľa.</w:t>
            </w:r>
          </w:p>
        </w:tc>
      </w:tr>
      <w:tr w:rsidR="008D4DCE" w:rsidRPr="00E175BF" w14:paraId="5D155D9B" w14:textId="77777777" w:rsidTr="004F169E">
        <w:trPr>
          <w:gridAfter w:val="1"/>
          <w:wAfter w:w="1061" w:type="dxa"/>
          <w:trHeight w:val="483"/>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Certifikát SCC zhotoviteľa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xml:space="preserve">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Spoločnosti musia mať certifikát SCC (bezpečnostný certifikát zhotoviteľov) v prípade, že vykonávajú tieto činnosti: inštalácia upevňovacích systémov, inštalácia solárnych panelov, elektrotechnické práce.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Na žiadosť klienta sa počas výstavby musí predložiť certifikát SCC správcu lokality.</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Zastavte práce a kontaktujte správcu lokality, ktorý má certifikát SCC, prípadné dodatočné náklady znáša zhotoviteľ.</w:t>
            </w:r>
          </w:p>
        </w:tc>
      </w:tr>
      <w:tr w:rsidR="008D4DCE" w:rsidRPr="00E175BF" w14:paraId="01C82A6C" w14:textId="77777777" w:rsidTr="004F169E">
        <w:trPr>
          <w:gridAfter w:val="1"/>
          <w:wAfter w:w="1061" w:type="dxa"/>
          <w:trHeight w:val="51"/>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Bezpečnosť – bezpečná práca vo výškach (&gt; 250 cm). </w:t>
            </w:r>
            <w:r>
              <w:rPr>
                <w:rFonts w:ascii="Arial" w:hAnsi="Arial"/>
                <w:color w:val="000000"/>
                <w:sz w:val="18"/>
              </w:rPr>
              <w:t xml:space="preserve">V záujme bezpečného pohybu pracovníkov sa panely nesmú umiestňovať v pásme širokom </w:t>
            </w:r>
            <w:r>
              <w:rPr>
                <w:rFonts w:ascii="Arial" w:hAnsi="Arial"/>
                <w:color w:val="000000"/>
                <w:sz w:val="18"/>
              </w:rPr>
              <w:lastRenderedPageBreak/>
              <w:t>dva metre od okraja strechy a pri práci vo výškach sa musia zaviesť primerané opatrenia na zaručenie bezpečnosti.</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lastRenderedPageBreak/>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Certifikát SCC SOS (</w:t>
            </w:r>
            <w:r>
              <w:rPr>
                <w:rFonts w:ascii="Arial" w:hAnsi="Arial"/>
                <w:i/>
                <w:color w:val="000000"/>
                <w:sz w:val="18"/>
              </w:rPr>
              <w:t>Safety for Operational Supervisors</w:t>
            </w:r>
            <w:r>
              <w:rPr>
                <w:rFonts w:ascii="Arial" w:hAnsi="Arial"/>
                <w:color w:val="000000"/>
                <w:sz w:val="18"/>
              </w:rPr>
              <w:t xml:space="preserve"> – bezpečnosť pre vedúcich prevádzky) SCC. Podľa </w:t>
            </w:r>
            <w:r>
              <w:rPr>
                <w:rFonts w:ascii="Arial" w:hAnsi="Arial"/>
                <w:color w:val="000000"/>
                <w:sz w:val="18"/>
              </w:rPr>
              <w:lastRenderedPageBreak/>
              <w:t xml:space="preserve">článku 3.16 zákona o pracovných podmienkach za bezpečnú prácu vo výškach zodpovedajú spoločne zamestnanci aj zamestnávatelia.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Plán fotovoltického zariadenia (výkresy rozmiestnenia).</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8D4DCE" w:rsidRPr="00E175BF" w14:paraId="4CDD71F8" w14:textId="77777777" w:rsidTr="004F169E">
        <w:trPr>
          <w:gridAfter w:val="1"/>
          <w:wAfter w:w="1061" w:type="dxa"/>
          <w:trHeight w:val="1173"/>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Bezpečnosť – povinnosť dodržiavať platné právne predpisy a smernice v oblasti bezpečnosti a ochrany zdravia pri práci</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Patria sem:</w:t>
            </w:r>
            <w:r>
              <w:rPr>
                <w:rFonts w:ascii="Arial" w:hAnsi="Arial"/>
                <w:color w:val="000000"/>
                <w:sz w:val="18"/>
              </w:rPr>
              <w:t xml:space="preserve"> 1. zákon o pracovných podmienkach, vyhláška o pracovných podmienkach, nariadenia o pracovných podmienkach; 2. európske smernice: o bezpečnosti a ochrane zdravia pri práci (89/391/EHS); o bezpečnosti na dočasných alebo lokalitne sa meniacich staveniskách (92/57/EHS); o ťažkých bremenách (90/269/EHS); o osobných ochranných prostriedkoch (89/656/EHS); o pracovných prostriedkoch (2009/104/ES); o ochrane proti vibráciám (2002/44/ES); o strojových zariadeniach (2006/42/ES).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8D4DCE" w:rsidRPr="00E175BF" w14:paraId="418D26A5" w14:textId="77777777" w:rsidTr="004F169E">
        <w:trPr>
          <w:gridAfter w:val="1"/>
          <w:wAfter w:w="1061" w:type="dxa"/>
          <w:trHeight w:val="960"/>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1.10</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Elektrická bezpečnosť – bezpečná práca s elektrickými zariadeniami: v súlade s normou NEN 3140</w:t>
            </w:r>
            <w:r>
              <w:rPr>
                <w:rFonts w:ascii="Arial" w:hAnsi="Arial"/>
                <w:color w:val="000000"/>
                <w:sz w:val="18"/>
              </w:rPr>
              <w:t xml:space="preserve"> (&lt; 1,5 kV DC a &lt; 1 kV AC) </w:t>
            </w:r>
            <w:r>
              <w:rPr>
                <w:rFonts w:ascii="Arial" w:hAnsi="Arial"/>
                <w:b/>
                <w:color w:val="000000"/>
                <w:sz w:val="18"/>
              </w:rPr>
              <w:t>alebo normou NEN 3840</w:t>
            </w:r>
            <w:r>
              <w:rPr>
                <w:rFonts w:ascii="Arial" w:hAnsi="Arial"/>
                <w:color w:val="000000"/>
                <w:sz w:val="18"/>
              </w:rPr>
              <w:t xml:space="preserve"> (&gt; 1,5 kV alebo &gt; 1 kV AC)</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„príslušné požiadavky na prevádzku nízkonapäťových zariadení“. </w:t>
            </w:r>
            <w:r>
              <w:rPr>
                <w:rFonts w:ascii="Arial" w:hAnsi="Arial"/>
                <w:color w:val="000000"/>
                <w:sz w:val="18"/>
              </w:rPr>
              <w:t>NEN 3840:</w:t>
            </w:r>
            <w:r>
              <w:rPr>
                <w:rFonts w:ascii="Arial" w:hAnsi="Arial"/>
                <w:i/>
                <w:color w:val="000000"/>
                <w:sz w:val="18"/>
              </w:rPr>
              <w:t xml:space="preserve"> „príslušné požiadavky na prevádzku vysokonapäťových zariadení“.</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8D4DCE" w:rsidRPr="00E175BF" w14:paraId="2B0D4F60" w14:textId="77777777" w:rsidTr="004F169E">
        <w:trPr>
          <w:gridAfter w:val="1"/>
          <w:wAfter w:w="1061" w:type="dxa"/>
          <w:trHeight w:val="1456"/>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Elektrická bezpečnosť. </w:t>
            </w:r>
            <w:r>
              <w:rPr>
                <w:rFonts w:ascii="Arial" w:hAnsi="Arial"/>
                <w:color w:val="000000"/>
                <w:sz w:val="18"/>
              </w:rPr>
              <w:t xml:space="preserve">Osoby, ktoré pracujú s elektrickými prípojkami, musia byť certifikovaní elektrikári.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xml:space="preserv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Správcovia lokality musia byť odborne spôsobilí a musia mať potrebné certifikáty. Zhotovitelia musia mať správcu zariadenia, ktorý má potrebné certifikáty a ktorého treba nahlásiť klientovi vrátane kontaktných údajov. Klient musí zhotoviteľovi poskytnúť postupy na pripojenie a odpojenie a ďalšie pracovné postupy.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Prax a vedomosti zhotoviteľa</w:t>
            </w:r>
          </w:p>
        </w:tc>
      </w:tr>
      <w:tr w:rsidR="008D4DCE" w:rsidRPr="00E175BF" w14:paraId="64B675BE" w14:textId="77777777" w:rsidTr="004F169E">
        <w:trPr>
          <w:gridAfter w:val="1"/>
          <w:wAfter w:w="1061" w:type="dxa"/>
          <w:trHeight w:val="758"/>
        </w:trPr>
        <w:tc>
          <w:tcPr>
            <w:tcW w:w="15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294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Prax v oblasti fotovoltických projektov</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3 uspokojivo odovzdané porovnateľné projekty</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xml:space="preserv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3 projekty za posledné štyri roky, ktorých veľkosť predstavuje aspoň 30 % počtu panelov v aktuálnom projekte</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Uveďte takéto skúsenosti a spokojnosť klienta preukážte referenciami na predchádzajúcich klientov alebo správou o skončení prác podľa SCIOS Scope 12 vypracovanou </w:t>
            </w:r>
            <w:r>
              <w:rPr>
                <w:rFonts w:ascii="Arial" w:hAnsi="Arial"/>
                <w:sz w:val="18"/>
              </w:rPr>
              <w:lastRenderedPageBreak/>
              <w:t>nezávislou stranou</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xml:space="preserve">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Poistenie zhotoviteľa</w:t>
            </w:r>
          </w:p>
        </w:tc>
      </w:tr>
      <w:tr w:rsidR="008D4DCE" w:rsidRPr="00E175BF" w14:paraId="4DCE4BCD" w14:textId="77777777" w:rsidTr="004F169E">
        <w:trPr>
          <w:gridAfter w:val="1"/>
          <w:wAfter w:w="1061" w:type="dxa"/>
          <w:trHeight w:val="1688"/>
        </w:trPr>
        <w:tc>
          <w:tcPr>
            <w:tcW w:w="15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294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Poistenie všetkých rizík súvisiacich so staveniskom (CAR)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milión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Poistenie všetkých rizík súvisiacich so staveniskom sa vzťahuje na riziká počas práce zhotoviteľa. Poistená suma vo výške najmenej 1 milión EUR a aspoň rovnaká suma ako odhadovaná hodnota zákazky. V niektorých prípadoch sa poistené sumy uvádzajú vo všeobecných zmluvných podmienkach nákupu a v takom prípade sa uvedená suma môže použiť aj tu. Upozornenie: Nie je povinné, klient môže uzavrieť aj vlastné poistenie všetkých rizík súvisiacich so staveniskom. Pozri aj všeobecné zmluvné podmienky nákupu.</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Pred začiatkom výstavby na požiadanie ukážte klientovi uzatvorenú zmluvu o poistení všetkých rizík súvisiacich so staveniskom.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Okamžite zastavte práce, kým nebude uzavretá poistná zmluva.</w:t>
            </w:r>
          </w:p>
        </w:tc>
      </w:tr>
      <w:tr w:rsidR="008D4DCE" w:rsidRPr="00E175BF" w14:paraId="0207C4F5" w14:textId="77777777" w:rsidTr="004F169E">
        <w:trPr>
          <w:gridAfter w:val="1"/>
          <w:wAfter w:w="1061" w:type="dxa"/>
          <w:trHeight w:val="1832"/>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Poistenie zodpovednosti podnikov za škodu (</w:t>
            </w:r>
            <w:r>
              <w:rPr>
                <w:rFonts w:ascii="Arial" w:hAnsi="Arial"/>
                <w:b/>
                <w:i/>
                <w:sz w:val="18"/>
              </w:rPr>
              <w:t>Aansprakelijkheidsverzekering voor Bedrijven</w:t>
            </w:r>
            <w:r>
              <w:rPr>
                <w:rFonts w:ascii="Arial" w:hAnsi="Arial"/>
                <w:b/>
                <w:sz w:val="18"/>
              </w:rPr>
              <w:t>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miliónov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Poistenie škôd spôsobených zamestnancami alebo výrobkami zhotoviteľa. Môže ísť o menšie, ako aj o veľké škody (vrátane zranení).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Pred začiatkom výstavby na požiadanie ukážte klientovi uzatvorenú zmluvu o poistení zodpovednosti podnikov za škodu</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Okamžite zastavte práce, kým nebude uzavretá poistná zmluva.</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Kvalita </w:t>
            </w:r>
          </w:p>
        </w:tc>
      </w:tr>
      <w:tr w:rsidR="008D4DCE" w:rsidRPr="00E175BF" w14:paraId="0D0D21DB" w14:textId="77777777" w:rsidTr="004F169E">
        <w:trPr>
          <w:gridAfter w:val="1"/>
          <w:wAfter w:w="1061" w:type="dxa"/>
          <w:trHeight w:val="61"/>
        </w:trPr>
        <w:tc>
          <w:tcPr>
            <w:tcW w:w="15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2944"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 xml:space="preserve">Systém sa musí navrhnúť a realizovať v súlade s najnovšou verziou príručky </w:t>
            </w:r>
            <w:r>
              <w:rPr>
                <w:rFonts w:ascii="Arial" w:hAnsi="Arial"/>
                <w:b/>
                <w:color w:val="808080"/>
                <w:sz w:val="18"/>
              </w:rPr>
              <w:lastRenderedPageBreak/>
              <w:t>pre slnečnú energiu organizácie ISSO (Handboek Zonne-energie, Hbze, napr.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lastRenderedPageBreak/>
              <w:t xml:space="preserve">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Táto požiadavka sa môže začleniť ako nepovinná pri projektoch s výkonom menej </w:t>
            </w:r>
            <w:r>
              <w:rPr>
                <w:rFonts w:ascii="Arial" w:hAnsi="Arial"/>
                <w:color w:val="000000"/>
                <w:sz w:val="18"/>
              </w:rPr>
              <w:lastRenderedPageBreak/>
              <w:t>ako 1 MWp. Nie je potrebná pri špeciálnych alebo veľkých projektoch realizovaných veľkými/medzinárodnými zhotoviteľmi, ktorí sú poskytovateľmi garantovaných energetických služieb.</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Poplatok za zneškodňovanie a koniec životnosti</w:t>
            </w:r>
          </w:p>
        </w:tc>
      </w:tr>
      <w:tr w:rsidR="008D4DCE" w:rsidRPr="00E175BF" w14:paraId="480CD583" w14:textId="77777777" w:rsidTr="004F169E">
        <w:trPr>
          <w:gridAfter w:val="1"/>
          <w:wAfter w:w="1061" w:type="dxa"/>
          <w:trHeight w:val="6081"/>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t>1.16</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Poplatok za zneškodňovanie za likvidáciu solárnych panelov po konci životnosti sa musí platiť (prostredníctvom dodávateľa) nadácii OPEN (Stichting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Od 1. júla 2023 sa tento poplatok uvádza na faktúrach veľkoobchodníkov a iných dovozcov.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V prípade solárnych panelov dovezených zhotoviteľom, ktorý sa tak stáva zákonným „výrobcom“, ich klient zaregistruje v nadácii OPEN. Po registrácii sa zabezpečí splnenie administratívnych povinností, konkrétne vyhlásenie výrobcu a platba poplatku za nakladanie s odpadom. Pri nákupe solárnych panelov od holandského subjektu, ako je veľkoobchodník, si zhotoviteľ musí overiť, či je tento subjekt členom nadácie OPEN. Prehľad všetkých registrovaných výrobkov sa nachádza na webovom sídle nadácie OPEN.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i/>
                <w:sz w:val="18"/>
              </w:rPr>
              <w:t>Ex post</w:t>
            </w:r>
            <w:r>
              <w:rPr>
                <w:rFonts w:ascii="Arial" w:hAnsi="Arial"/>
                <w:sz w:val="18"/>
              </w:rPr>
              <w:t>, nepovinné: skontrolujte faktúru k dodaným solárnym panelom.</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lastRenderedPageBreak/>
              <w:t>Pracovné podmienky, súlad s predpismi</w:t>
            </w:r>
          </w:p>
        </w:tc>
      </w:tr>
      <w:tr w:rsidR="008D4DCE" w:rsidRPr="00E175BF" w14:paraId="42B89348" w14:textId="77777777" w:rsidTr="004F169E">
        <w:trPr>
          <w:gridAfter w:val="1"/>
          <w:wAfter w:w="1061" w:type="dxa"/>
          <w:trHeight w:val="720"/>
        </w:trPr>
        <w:tc>
          <w:tcPr>
            <w:tcW w:w="15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294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Musí sa dodržať </w:t>
            </w:r>
            <w:r>
              <w:rPr>
                <w:rFonts w:ascii="Arial" w:hAnsi="Arial"/>
                <w:b/>
                <w:color w:val="000000"/>
                <w:sz w:val="18"/>
              </w:rPr>
              <w:t>návod na montáž</w:t>
            </w:r>
            <w:r>
              <w:rPr>
                <w:rFonts w:ascii="Arial" w:hAnsi="Arial"/>
                <w:color w:val="000000"/>
                <w:sz w:val="18"/>
              </w:rPr>
              <w:t xml:space="preserve"> poskytnutý dodávateľom/výrobcom solárnych panelov, invertorov a upevňovacích prvkov.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Kontrola podľa SCIOS Scope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8D4DCE" w:rsidRPr="00E175BF" w14:paraId="5F8BFC64" w14:textId="77777777" w:rsidTr="004F169E">
        <w:trPr>
          <w:gridAfter w:val="1"/>
          <w:wAfter w:w="1061" w:type="dxa"/>
          <w:trHeight w:val="3811"/>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t>1.18</w:t>
            </w:r>
          </w:p>
        </w:tc>
        <w:tc>
          <w:tcPr>
            <w:tcW w:w="294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Pracovné podmienky v Holandsku </w:t>
            </w:r>
            <w:r>
              <w:rPr>
                <w:rFonts w:ascii="Arial" w:hAnsi="Arial"/>
                <w:color w:val="000000"/>
                <w:sz w:val="18"/>
              </w:rPr>
              <w:t xml:space="preserve">Musí sa dodržať holandské pracovné právo, a to aj v prípade migrujúcich pracovníkov.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xml:space="preserve">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Ak sa zapájajú migrujúci pracovníci, klient musí zabezpečiť primerané ubytovanie a odmenu a nesmie sa prekročiť pracovný čas stanovený zákonom. </w:t>
            </w:r>
            <w:r>
              <w:rPr>
                <w:rFonts w:ascii="Arial" w:hAnsi="Arial"/>
                <w:color w:val="000000"/>
                <w:sz w:val="16"/>
              </w:rPr>
              <w:t>Ubytovanie: ak sa zapájajú migrujúci pracovníci, medzi týmito pracovníkmi a klientom nesmie byť žiadna finančná závislosť, priama ani nepriama, v súvislosti s ubytovaním. Aj keď sa pracovníci zamestnávajú cez agentúru dočasného zamestnávania, nesmie existovať žiadna finančná závislosť medzi agentúrou a ubytovaním pracovníkov.</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Rôzne nepovinné všeobecné požiadavky</w:t>
            </w:r>
          </w:p>
        </w:tc>
      </w:tr>
      <w:tr w:rsidR="008D4DCE" w:rsidRPr="00E175BF" w14:paraId="433FE349" w14:textId="77777777" w:rsidTr="004F169E">
        <w:trPr>
          <w:gridAfter w:val="1"/>
          <w:wAfter w:w="1061" w:type="dxa"/>
          <w:trHeight w:val="61"/>
        </w:trPr>
        <w:tc>
          <w:tcPr>
            <w:tcW w:w="15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2944"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Ručenie materskej spoločnosti Ak má zhotoviteľ akcionára s kontrolným podielom, tento akcionár musí vystupovať ako finančný ručiteľ zhotoviteľa.</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Nepovinné. Táto požiadavka niekedy už býva zahrnutá do štandardných zmluvných podmienok nákupu. Alternatívou voči ručeniu materskej spoločnosti je pracovať s nízkorizikovými platobnými podmienkami.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8D4DCE" w:rsidRPr="00E175BF" w14:paraId="1F1E266D" w14:textId="77777777" w:rsidTr="004F169E">
        <w:trPr>
          <w:gridAfter w:val="1"/>
          <w:wAfter w:w="1061" w:type="dxa"/>
          <w:trHeight w:val="1906"/>
        </w:trPr>
        <w:tc>
          <w:tcPr>
            <w:tcW w:w="15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2944"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Súbor .PAN tretej strany</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Nepovinné pri veľkých projektoch s výkonom viac ako 20 MW. Digitálne verzie údajov používaných programami, ako je PVsyst a PV*SOL na predpovedanie výstupného výkonu solárneho parku. Nezávislá kontrola súborov .PAN na overenie výkonového pomeru a výnosnosti projektu.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r w:rsidR="008D4DCE" w:rsidRPr="00E175BF" w14:paraId="0477F626" w14:textId="77777777" w:rsidTr="004F169E">
        <w:trPr>
          <w:gridAfter w:val="1"/>
          <w:wAfter w:w="1061" w:type="dxa"/>
          <w:trHeight w:val="61"/>
        </w:trPr>
        <w:tc>
          <w:tcPr>
            <w:tcW w:w="15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2944"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Kultúra bezpečnosti. Norma ISO 45001 alebo </w:t>
            </w:r>
            <w:r>
              <w:rPr>
                <w:rFonts w:ascii="Arial" w:hAnsi="Arial"/>
                <w:i/>
                <w:sz w:val="18"/>
              </w:rPr>
              <w:t>Safety Culture Ladder</w:t>
            </w:r>
            <w:r>
              <w:rPr>
                <w:rFonts w:ascii="Arial" w:hAnsi="Arial"/>
                <w:sz w:val="18"/>
              </w:rPr>
              <w:t xml:space="preserve"> (tzv. Rebrík kultúry bezpečnosti), aspoň stupeň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Nepovinné pri veľkých projektoch s výkonom &gt; 20 MWp zahŕňajúcich veľké realizačné organizácie.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48570F" w:rsidRDefault="00B32DA3" w:rsidP="00E175BF">
      <w:pPr>
        <w:ind w:left="-810"/>
      </w:pPr>
    </w:p>
    <w:p w14:paraId="070C99C5" w14:textId="2A6B018F" w:rsidR="00CE1B5F" w:rsidRPr="0048570F" w:rsidRDefault="00CE1B5F" w:rsidP="00E175BF">
      <w:pPr>
        <w:ind w:left="-810"/>
      </w:pPr>
    </w:p>
    <w:p w14:paraId="61116120" w14:textId="646CBE17" w:rsidR="00CE1B5F" w:rsidRPr="0048570F"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48570F">
      <w:pPr>
        <w:pStyle w:val="MH2"/>
      </w:pPr>
      <w:bookmarkStart w:id="5" w:name="_Toc177483287"/>
      <w:r>
        <w:t>10.2. – Všeobecné požiadavky</w:t>
      </w:r>
      <w:bookmarkEnd w:id="5"/>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1368"/>
        <w:gridCol w:w="299"/>
        <w:gridCol w:w="1261"/>
        <w:gridCol w:w="989"/>
        <w:gridCol w:w="571"/>
        <w:gridCol w:w="1922"/>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48570F">
            <w:pPr>
              <w:pStyle w:val="MH3"/>
            </w:pPr>
            <w:bookmarkStart w:id="6" w:name="_Toc177483288"/>
            <w:r>
              <w:t>Požiadavky – Stavebné práce</w:t>
            </w:r>
            <w:bookmarkEnd w:id="6"/>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xml:space="preserve">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xml:space="preserve">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Pokyny klienta</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xml:space="preserve">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xml:space="preserve">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xml:space="preserve">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Vzor požiadaviek a kritérií na vyhodnotenie ponúk </w:t>
            </w:r>
            <w:r>
              <w:t xml:space="preserve"> </w:t>
            </w:r>
            <w:r>
              <w:br/>
            </w:r>
            <w:r>
              <w:rPr>
                <w:rFonts w:ascii="Arial" w:hAnsi="Arial"/>
                <w:i/>
                <w:color w:val="104D54"/>
                <w:sz w:val="21"/>
              </w:rPr>
              <w:t>na fotovoltické projekty</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xml:space="preserve">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xml:space="preserve">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Zmeňte žlté polia s modrým textom.</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xml:space="preserve">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xml:space="preserve">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Verzia: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xml:space="preserve">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xml:space="preserve">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Nepovinné požiadavky v ružových poliach: ak sa táto požiadavka nezahŕňa, odstráňte otáznik v stĺpci C. V opačnom prípade uveďte „áno“ alebo „1“. Následne sa odstráni číslo požiadavky a nasledujúce požiadavky sa automaticky prečíslujú.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Zdroj: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xml:space="preserve">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xml:space="preserve">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Dodatočné požiadavky zadajte do prázdnych polí. V prípade vloženia dodatočných riadkov upravte vzorec pre automatické číslovanie v stĺpcoch A a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Spätná väzba/chyby/doplnenia: pošlite e-mail na adresu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xml:space="preserve">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xml:space="preserve">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Po dokončení úprav skryte stĺpce D a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xml:space="preserve">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xml:space="preserve"> </w:t>
            </w:r>
          </w:p>
        </w:tc>
      </w:tr>
      <w:tr w:rsidR="003D6184" w:rsidRPr="000D5D07" w14:paraId="460D6E6B" w14:textId="77777777" w:rsidTr="004F169E">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Identifikačné číslo</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Opis požiadavky</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Kedy?</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Zahrnúť požiadavku?</w:t>
            </w:r>
          </w:p>
        </w:tc>
        <w:tc>
          <w:tcPr>
            <w:tcW w:w="1475"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Vysvetlenie pre klienta</w:t>
            </w:r>
          </w:p>
        </w:tc>
        <w:tc>
          <w:tcPr>
            <w:tcW w:w="1560"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Vysvetlenie pre uchádzača</w:t>
            </w:r>
          </w:p>
        </w:tc>
        <w:tc>
          <w:tcPr>
            <w:tcW w:w="1560"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Overovanie/validácia</w:t>
            </w:r>
          </w:p>
        </w:tc>
        <w:tc>
          <w:tcPr>
            <w:tcW w:w="5186"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Následky nedostatočnej výkonnosti</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Dátumy, plánovanie, konzultácia </w:t>
            </w:r>
          </w:p>
        </w:tc>
      </w:tr>
      <w:tr w:rsidR="00C44822" w:rsidRPr="000D5D07" w14:paraId="428DCA0B" w14:textId="77777777" w:rsidTr="004F169E">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Práce sa musia začať:</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V lokalite … do … mesiacov od zadania zákazky/do dňa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47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Prípadne uveďte zoznam dátumov pre jednotlivé lokality</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xml:space="preserve"> </w:t>
            </w:r>
          </w:p>
        </w:tc>
        <w:tc>
          <w:tcPr>
            <w:tcW w:w="5186"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34BD5AD3" w14:textId="77777777" w:rsidTr="004F169E">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Projekt musí byť predbežne dokončený do:</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V lokalite … do … mesiacov od zadania zákazky/do dňa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Predbežné dokončenie prác („výstavba dokončená“): všetky plánované práce boli dokončené a zariadenie je v zásade pripravené dodávať elektrinu do siete. Následne sa uskutoční kontrola podľa SCIOS Scope 12. Prípadne uveďte zoznam dátumov pre jednotlivé lokality.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5186"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Ak sa dokončenie prác omešká o viac ako 30 dní z dôvodov, ktoré nie sú úplne mimo kontroly zhotoviteľa, uloží sa denné penále vo výške 0,1 % ceny ponuky v čase od 1. októbra do 31. marca a vo výške 0,15 % ceny ponuky v čase od 1. apríla do 30. septembra. </w:t>
            </w:r>
          </w:p>
        </w:tc>
      </w:tr>
      <w:tr w:rsidR="00C44822" w:rsidRPr="000D5D07" w14:paraId="05BA864E" w14:textId="77777777" w:rsidTr="004F169E">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Plánovanie – Vypracovanie, odsúhlasenie (s klientom/koncovým používateľom) a vyhotovenie pracovného plánu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Po zadaní zákazky, ale pred začiatkom realizácie</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47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5186"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59B4DC7D" w14:textId="77777777" w:rsidTr="004F169E">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Plnenie prác v súlade s dohodnutým plánom</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47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Plán sa môže upraviť po konzultáciách a na základe spoločného súhlasu.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5186"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3D6184" w:rsidRPr="000D5D07" w14:paraId="192EDEB7" w14:textId="77777777" w:rsidTr="004F169E">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Účasť na stretnutiach na mieste alebo pracovných stretnutiach, ak sa klient domnieva, že si to práca vyžaduje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5186"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Dokumentácia, výkresy, výpočty</w:t>
            </w:r>
          </w:p>
        </w:tc>
      </w:tr>
      <w:tr w:rsidR="007D13D8" w:rsidRPr="000D5D07" w14:paraId="6EB87F06" w14:textId="77777777" w:rsidTr="004F169E">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lastRenderedPageBreak/>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xml:space="preserve">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Predkladanie rozličných dokumentov, výkresov a výpočtov: </w:t>
            </w:r>
          </w:p>
          <w:p w14:paraId="1005A9B8" w14:textId="77777777" w:rsidR="00E05E85" w:rsidRPr="0048570F"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jednopólové schémy (AC, DC a prepojenia s existujúcim zariadením);</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plán rozmiestnenia fotovoltických panelov;</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v prípade strešných projektov: výpočty týkajúce sa konštrukcie/vetra;</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výpočet stratového výkonu kábla (káble na striedavý aj jednosmerný prúd);</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Po zadaní zákazky, ale pred začiatkom realizácie</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xml:space="preserve">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xml:space="preserve"> </w:t>
            </w:r>
          </w:p>
        </w:tc>
        <w:tc>
          <w:tcPr>
            <w:tcW w:w="1475"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tc>
        <w:tc>
          <w:tcPr>
            <w:tcW w:w="1560"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tc>
        <w:tc>
          <w:tcPr>
            <w:tcW w:w="1560"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xml:space="preserve"> </w:t>
            </w:r>
          </w:p>
        </w:tc>
        <w:tc>
          <w:tcPr>
            <w:tcW w:w="5186"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xml:space="preserve">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xml:space="preserve">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xml:space="preserve">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xml:space="preserve">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xml:space="preserve">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xml:space="preserve">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xml:space="preserve"> </w:t>
            </w:r>
          </w:p>
        </w:tc>
      </w:tr>
      <w:tr w:rsidR="007D13D8" w:rsidRPr="000D5D07" w14:paraId="5ABD62A1" w14:textId="77777777" w:rsidTr="004F169E">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e) karty údajov pre solárne panely, invertory, nosnú konštrukciu, kabeláž, meracie panely;</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475"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560"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560"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186"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4F169E">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v prípade strešných projektov: plán realizácie vrátane plánu na rozmiestnenie fotovoltických panelov počas inštalácie na strechu a plán zdvíhania.</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475"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560"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560"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186"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Identifikácia a vyhodnotenie rizika (RI&amp;E)</w:t>
            </w:r>
          </w:p>
        </w:tc>
      </w:tr>
      <w:tr w:rsidR="003D6184" w:rsidRPr="000D5D07" w14:paraId="67C898B7" w14:textId="77777777" w:rsidTr="004F169E">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Vypracovanie identifikácie a vyhodnotenia rizík stavebných prác a riadiace opatrenia, ktoré treba prijať</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Po zadaní zákazky, ale pred začiatkom realizácie</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Článok 5 zákona o pracovných podmienkach – zhotoviteľ musí vypracúvať identifikácia a vyhodnotenie rizík podľa daného staveniska. V mnohých prípadoch sa môže z prevažnej časti znovu použiť predchádzajúci dokument identifikácie a vyhodnotenia rizík, pričom sa 10 % prispôsobí podľa projektu.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Správa o identifikácii a vyhodnotení rizík</w:t>
            </w:r>
          </w:p>
        </w:tc>
        <w:tc>
          <w:tcPr>
            <w:tcW w:w="5186"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Realizačné práce zhotoviteľa</w:t>
            </w:r>
          </w:p>
        </w:tc>
      </w:tr>
      <w:tr w:rsidR="00C44822" w:rsidRPr="000D5D07" w14:paraId="7FA24B26" w14:textId="77777777" w:rsidTr="004F169E">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Dodanie, inštalácia a montáž fotovoltických panelov a upevňovacieho systému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 </w:t>
            </w:r>
          </w:p>
        </w:tc>
        <w:tc>
          <w:tcPr>
            <w:tcW w:w="147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Kontrola podľa SCIOS Scope 12</w:t>
            </w:r>
          </w:p>
        </w:tc>
        <w:tc>
          <w:tcPr>
            <w:tcW w:w="5186"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E14CBD" w:rsidRPr="000D5D07" w14:paraId="16D80A52" w14:textId="77777777" w:rsidTr="004F169E">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Dodanie, inštalácia a fungovanie elektrického pripojenia vhodného elektrického systému vrátane kabeláže, invertorov a súvisiacich komponentov pripojených k solárnym panelom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47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Kontrola podľa SCIOS Scope 12</w:t>
            </w:r>
          </w:p>
        </w:tc>
        <w:tc>
          <w:tcPr>
            <w:tcW w:w="5186"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E14CBD" w:rsidRPr="000D5D07" w14:paraId="42C613D4" w14:textId="77777777" w:rsidTr="004F169E">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Pripojenie k existujúcej elektrickej sieti ALEBO pripojenie k novej elektrickej sieti</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Kontrola podľa SCIOS Scope 12</w:t>
            </w:r>
          </w:p>
        </w:tc>
        <w:tc>
          <w:tcPr>
            <w:tcW w:w="5186"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3D6184" w:rsidRPr="000D5D07" w14:paraId="0279A5F1" w14:textId="77777777" w:rsidTr="004F169E">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Registrácia fotovoltického zariadenia u prevádzkovateľa sústavy a na adrese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Kópia registrácie</w:t>
            </w:r>
          </w:p>
        </w:tc>
        <w:tc>
          <w:tcPr>
            <w:tcW w:w="5186"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6385C63B" w14:textId="77777777" w:rsidTr="004F169E">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Pripojenie kalibrovaného merača hrubého výstupného výkonu</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Kontrola podľa SCIOS Scope 12</w:t>
            </w:r>
          </w:p>
        </w:tc>
        <w:tc>
          <w:tcPr>
            <w:tcW w:w="5186"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6E88EE07" w14:textId="77777777" w:rsidTr="004F169E">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Vykonávanie akýchkoľvek iných prác vyplývajúcich z predchádzajúcich oddielov, aby bolo možné dodať projekt „na kľúč“</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47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Kontrola podľa SCIOS Scope 12</w:t>
            </w:r>
          </w:p>
        </w:tc>
        <w:tc>
          <w:tcPr>
            <w:tcW w:w="5186"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28ACF57B" w14:textId="77777777" w:rsidTr="004F169E">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Poskytnutie úplnej správy o skončení prác obsahujúcej informácie opísané v požiadavke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Správa o skončení prác</w:t>
            </w:r>
          </w:p>
        </w:tc>
        <w:tc>
          <w:tcPr>
            <w:tcW w:w="5186"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3A0091E1" w14:textId="77777777" w:rsidTr="004F169E">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V prípade potreby zlepšovanie zariadenia dovtedy, kým nebudú splnené požiadavky tohto dokumentu (napríklad ak sa počas kontroly podľa SCIOS Scope 12 zistili odchýlky od požiadaviek)</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47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Kontrola podľa SCIOS Scope 12</w:t>
            </w:r>
          </w:p>
        </w:tc>
        <w:tc>
          <w:tcPr>
            <w:tcW w:w="5186"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3D6184" w:rsidRPr="000D5D07" w14:paraId="32C1DB60" w14:textId="77777777" w:rsidTr="004F169E">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POZN.: Klient zorganizuje nezávislú kontrolu celého zariadenia využívajúceho slnečnú energiu podľa SCIOS Scope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5186"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r w:rsidR="00C44822" w:rsidRPr="000D5D07" w14:paraId="1C4E74AB" w14:textId="77777777" w:rsidTr="004F169E">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Údržba a monitorovanie diela počas prvých dvoch (alebo štyroch) rokov, ako sa uvádza v tabuľke 7: Požiadavky – Údržba a monitorovanie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47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Správy o údržbe a monitorovaní</w:t>
            </w:r>
          </w:p>
        </w:tc>
        <w:tc>
          <w:tcPr>
            <w:tcW w:w="5186"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Default="00D109C4" w:rsidP="0048570F">
      <w:pPr>
        <w:pStyle w:val="MH2"/>
        <w:rPr>
          <w:lang w:val="en-US"/>
        </w:rPr>
      </w:pPr>
    </w:p>
    <w:bookmarkStart w:id="7" w:name="_Toc177483289"/>
    <w:p w14:paraId="51B385A8" w14:textId="6E6F6389" w:rsidR="00D109C4" w:rsidRDefault="00A11B94" w:rsidP="0048570F">
      <w:pPr>
        <w:pStyle w:val="MH2"/>
      </w:pPr>
      <w:r>
        <w:rPr>
          <w:noProof/>
        </w:rPr>
        <w:lastRenderedPageBreak/>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7"/>
    </w:p>
    <w:p w14:paraId="2AF26C50" w14:textId="6F1B54CC" w:rsidR="00E14CBD" w:rsidRDefault="007061E0" w:rsidP="0048570F">
      <w:pPr>
        <w:pStyle w:val="MH2"/>
      </w:pPr>
      <w:bookmarkStart w:id="8" w:name="_Toc177483290"/>
      <w:r>
        <w:t>10.3. – Požiadavky – Stavebné práce</w:t>
      </w:r>
      <w:bookmarkEnd w:id="8"/>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48570F">
            <w:pPr>
              <w:pStyle w:val="MH3"/>
            </w:pPr>
            <w:bookmarkStart w:id="9" w:name="_Toc177483291"/>
            <w:r>
              <w:t>Požiadavky na solárne panely</w:t>
            </w:r>
            <w:bookmarkEnd w:id="9"/>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Vzor požiadaviek a kritérií na vyhodnotenie ponúk na fotovoltické projekty</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Verzia: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Spätná väzba/chyby/doplnenia: pošlite e-mail na adresu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Pokyny klienta</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Zmeňte žlté polia s modrým textom.</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Nepovinné požiadavky v ružových poliach: ak sa táto požiadavka nezahŕňa, odstráňte otáznik v stĺpci C. V opačnom prípade uveďte „áno“ alebo „1“. Následne sa odstráni číslo požiadavky a nasledujúce požiadavky sa automaticky prečíslujú.</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Dodatočné požiadavky zadajte do prázdnych polí. V prípade vloženia dodatočných riadkov upravte vzorec pre automatické číslovanie v stĺpcoch A a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Po dokončení úprav skryte stĺpce D a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xml:space="preserve">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Identifikačné číslo</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Opis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Zahrnúť požiadavku?</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Vysvetlenie pre klienta</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Vysvetlenie pre uchádzača</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Overovanie a validácia</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Následky nedostatočnej výkonnosti</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Kvalita a bezpečnosť</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Panely musia spĺňať normy: IEC 61215, IEC 61730-1 a IEC 61730-2. Minimálna trieda bezpečnosti II podľa normy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xml:space="preserve">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Norma IEC 61215 predstavuje minimálnu požiadavku na kvalitu na preukázanie, že panel vydrží najmenej päť rokov. Norma IEC 61730 súvisí s elektrickou bezpečnosťou a triedou reakcie na oheň solárneho panela.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Štandardné požiadavky: všetky štandardné solárne panely ponúkané veľkoobchodníkmi spĺňajú tieto normy. Táto skutočnosť sa uvádza na karte údajov.</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Kontrola správy o skončení prác, ktorá musí obsahovať kartu údajov solárneho panela, alebo kontrola podľa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Výmena za solárne panely, ktoré spĺňajú túto požiadavku</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Záruka elektrického výkonu najmenej 85 % v 25. roku používania</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xml:space="preserve">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Takmer všetky štandardné solárne panely spĺňajú túto požiadavku.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Panel musí v 25. roku používania stále zabezpečovať aspoň 85 % výstupného výkonu, ktorý mal, keď bol nový.</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Záruka elektrického výkonu overená/validovaná prostredníctvom správy o skončení prác a kontroly podľa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Výmena za solárne panely, ktoré spĺňajú túto požiadavku</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Konektory na jednosmerný prúd musia byť typu MC4 alebo MC4-EVO a musia spĺňať normu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xml:space="preserve">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Typ MC4/MC4-EVO je najviac používané spojenie osvedčenej kvality.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Norma, pozri kartu údajov solárneho panela. Dbajte však na to, že úplne rovnaké konektory (rovnaký výrobca a typ) sa používajú na všetkých kábloch jednosmerného prúdu a že ich je možné kúpiť osobitne.</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Karta údajov solárneho panela prostredníctvom správy o skončení prác a kontroly podľa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Výmena za solárne panely, ktoré spĺňajú túto požiadavku</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V prípade použitia solárnych článkov z kryštalického kremíka typu P musia solárne panely spĺňať normu IEC 62804 (odolnosť proti degradácii vyvolanej elektrickým potenciálom).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Ak sa v solárnom paneli použijú články z kryštalického kremíka typu P (napr. články PERC), jeho výstupný výkon sa môže výrazne zhoršiť v dôsledku degradácie vyvolanej elektrickým potenciálom (PID). Tejto degradácii možno zabrániť použitím určitých materiálov a preskúšať použitím tejto normy.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Ak sa navrhuje použitie solárnych panelov s kremíkovými článkami typu P (napr. PERC), musia spĺňať normu IEC 62804 (uvedenú v karte údajov). Upozornenie: Tento efekt nevzniká v mnohých ďalších typoch solárnych článkov (HJT, Topcon, IBC, CdTe, CIGS, a-Si, n-PERT) a uvedená skúška nie je potrebná.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Karta údajov prostredníctvom správy o skončení prác a kontroly podľa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Výmena za solárne panely, ktoré spĺňajú túto požiadavku</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Udržateľnosť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Maximálna uhlíková stopa 550 kg ekvivalentu CO</w:t>
            </w:r>
            <w:r>
              <w:rPr>
                <w:rFonts w:ascii="Arial" w:hAnsi="Arial"/>
                <w:b/>
                <w:color w:val="000000"/>
                <w:sz w:val="18"/>
                <w:vertAlign w:val="subscript"/>
              </w:rPr>
              <w:t>2</w:t>
            </w:r>
            <w:r>
              <w:rPr>
                <w:rFonts w:ascii="Arial" w:hAnsi="Arial"/>
                <w:b/>
                <w:color w:val="000000"/>
                <w:sz w:val="18"/>
              </w:rPr>
              <w:t xml:space="preserve"> na kW</w:t>
            </w:r>
            <w:r>
              <w:rPr>
                <w:rFonts w:ascii="Arial" w:hAnsi="Arial"/>
                <w:b/>
                <w:color w:val="000000"/>
                <w:sz w:val="18"/>
                <w:vertAlign w:val="subscript"/>
              </w:rPr>
              <w:t>p</w:t>
            </w:r>
            <w:r>
              <w:rPr>
                <w:rFonts w:ascii="Arial" w:hAnsi="Arial"/>
                <w:color w:val="000000"/>
                <w:sz w:val="18"/>
              </w:rPr>
              <w:t xml:space="preserve"> podľa francúzskej metódy zjednodušeného posudzovania uhlíka (</w:t>
            </w:r>
            <w:r>
              <w:rPr>
                <w:rFonts w:ascii="Arial" w:hAnsi="Arial"/>
                <w:i/>
                <w:color w:val="000000"/>
                <w:sz w:val="18"/>
              </w:rPr>
              <w:t>Evaluation carbone simplifiée</w:t>
            </w:r>
            <w:r>
              <w:rPr>
                <w:rFonts w:ascii="Arial" w:hAnsi="Arial"/>
                <w:color w:val="000000"/>
                <w:sz w:val="18"/>
              </w:rPr>
              <w:t xml:space="preserve">, ECS), ktorú spravuje francúzska </w:t>
            </w:r>
            <w:r>
              <w:rPr>
                <w:rFonts w:ascii="Arial" w:hAnsi="Arial"/>
                <w:color w:val="000000"/>
                <w:sz w:val="18"/>
              </w:rPr>
              <w:lastRenderedPageBreak/>
              <w:t>environmentálna agentúra Adème.</w:t>
            </w:r>
            <w:r>
              <w:rPr>
                <w:rFonts w:ascii="Arial" w:hAnsi="Arial"/>
                <w:b/>
                <w:color w:val="000000"/>
                <w:sz w:val="18"/>
              </w:rPr>
              <w:t xml:space="preserve"> </w:t>
            </w:r>
            <w:r>
              <w:rPr>
                <w:rFonts w:ascii="Arial" w:hAnsi="Arial"/>
                <w:color w:val="000000"/>
                <w:sz w:val="18"/>
              </w:rPr>
              <w:t xml:space="preserve">Certifikát musí byť platný na začiatku výstavby a musí sa vypracovať v súlade s usmerneniami agentúry Adème v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lastRenderedPageBreak/>
              <w:t xml:space="preserve">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Táto limitná hodnota je rovnaká ako vo Francúzsku a znižuje uhlíkovú stopu konvenčných panelov o polovicu, pričom stále poskytuje možnosť širokého výberu vrátane čínskych výrobcov úrovne Tier 1 s nízkou dodatočnou cenou.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 xml:space="preserve">V dokumente </w:t>
            </w:r>
            <w:r>
              <w:rPr>
                <w:rFonts w:ascii="Arial" w:hAnsi="Arial"/>
                <w:i/>
                <w:color w:val="000000"/>
                <w:sz w:val="18"/>
              </w:rPr>
              <w:t>Duurzaamheidsaspecten en marktscan Duurzamere Zonnepanelen</w:t>
            </w:r>
            <w:r>
              <w:rPr>
                <w:rFonts w:ascii="Arial" w:hAnsi="Arial"/>
                <w:color w:val="000000"/>
                <w:sz w:val="18"/>
              </w:rPr>
              <w:t xml:space="preserve"> (Aspekty udržateľnosti a prieskum trhu týkajúce sa udržateľnejších solárnych panelov) sa určujú výrobcovia, ktorí spĺňajú túto požiadavku. Rovnako môžu postupovať aj rôzni ďalší </w:t>
            </w:r>
            <w:r>
              <w:rPr>
                <w:rFonts w:ascii="Arial" w:hAnsi="Arial"/>
                <w:color w:val="000000"/>
                <w:sz w:val="18"/>
              </w:rPr>
              <w:lastRenderedPageBreak/>
              <w:t xml:space="preserve">výrobcovia. O certifikát ECS možno požiadať prostredníctvom výrobcu alebo veľkoobchodníka.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Kontrola správy o skončení prác, ktorá musí obsahovať certifikát ECS zodpovedajúci inštalovaným solárnym panelom, alebo počas kontroly podľa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Výmena za solárne panely, ktoré spĺňajú túto požiadavku</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 xml:space="preserve">Zadná strana panela bez perfluóralkylovaných a polyfluóralkylovaných látok </w:t>
            </w:r>
            <w:r>
              <w:rPr>
                <w:rFonts w:ascii="Arial" w:hAnsi="Arial"/>
                <w:color w:val="000000"/>
                <w:sz w:val="18"/>
              </w:rPr>
              <w:t xml:space="preserve">Napríklad sklená doska (solárne panely s dvojitým sklom) alebo plastová fólia na zadnej strane bez fluórovaných polymérov.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xml:space="preserve">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Väčšina solárnych panelov obsahuje polyvinylidénfluorid (PVDF) (Tedlar), polyvinylfluorid (PVF) (Kynar) alebo iné polyméry a povlaky.  Tieto perfluóralkylované a polyfluóralkylované látky môžu počas výroby alebo používania skončiť v životnom prostredí (vo forme prášku alebo v dôsledku odlupovania), čo môže viesť k ujme na zdraví. Alternatívy bez perfluóralkylovaných a polyfluóralkylovaných látok nepredstavujú žiadne alebo len veľmi malé dodatočné náklady.</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V dokumente </w:t>
            </w:r>
            <w:r>
              <w:rPr>
                <w:rFonts w:ascii="Arial" w:hAnsi="Arial"/>
                <w:i/>
                <w:color w:val="000000"/>
                <w:sz w:val="18"/>
              </w:rPr>
              <w:t>Duurzaamheidsaspecten en marktscan Duurzamere Zonnepanelen</w:t>
            </w:r>
            <w:r>
              <w:rPr>
                <w:rFonts w:ascii="Arial" w:hAnsi="Arial"/>
                <w:color w:val="000000"/>
                <w:sz w:val="18"/>
              </w:rPr>
              <w:t xml:space="preserve"> sa uvádzajú príklady solárnych panelov, ktoré spĺňajú túto požiadavku. Informujte sa u veľkoobchodníka/výrobcu. V prípade použitia solárnych panelov s plastovou fóliou na zadnej strane a v prípade, ak sa v karte údaje výslovne neuvádzajú materiály použité na zadnej strane, výrobca panela musí poskytnúť samostatné potvrdenie, že solárne panely obsahujú fóliu na zadnej strane bez obsahu perfluóralkylovaných a polyfluóralkylovaných látok.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Kontrola správy o skončení prác, ktorá musí obsahovať kartu údajov solárneho panela alebo certifikát, alebo kontrola podľa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Výmena za solárne panely, ktoré spĺňajú túto požiadavku</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Nepovinné požiadavky na solárne panely</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Panely musia spĺňať normu: IEC 62716 (odolnosť proti amoniaku)</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Zvyčajne sa nevyžaduje, je však povinná pri použití s budovami pre hospodárske zvieratá. Odolnosť proti amoniaku je potrebná iba v prípade vysokej koncentrácie amoniaku – napr. v miestach, kde sa chovajú hospodárske zvieratá </w:t>
            </w:r>
            <w:r>
              <w:rPr>
                <w:rFonts w:ascii="Arial" w:hAnsi="Arial"/>
                <w:color w:val="000000"/>
                <w:sz w:val="18"/>
              </w:rPr>
              <w:lastRenderedPageBreak/>
              <w:t xml:space="preserve">(hydina/ošípané/hovädzí dobytok).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Uvádza sa na mnohých kartách údajov.</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Karta údajov prostredníctvom správy o skončení prác a kontroly podľa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Panely musia spĺňať normu: IEC 61701 (odolnosť proti soľnej hmle)</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Zvyčajne sa nevyžaduje, je však povinná pri použití v pobrežných oblastiach. Odolnosť proti soľnej hmle je potrebná iba vtedy, ak sa fotovoltické zariadenie nachádza v blízkosti mora (menej než 1 km od pobrežia)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Uvádza sa na mnohých kartách údajov.</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Karta údajov prostredníctvom správy o skončení prác a kontroly podľa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Farba zadnej strany panela – viditeľná medzi článkami</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Nevyžaduje sa v mnohých projektoch. Celočierne panely sa používajú predovšetkým na viditeľných, šikmých strechách. Sú o trochu drahšie a majú o niečo nižšiu výkonnosť v porovnaní s panelmi s bielou zadnou stranou. Farbené solárne panely sú podstatne drahšie a majú nižšiu efektívnosť.</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xml:space="preserve">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Farba rámu solárneho panela</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Čierne alebo farebné rámy často nie sú potrebné, bývajú však drahšie.</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xml:space="preserve">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48570F"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w:lastRenderedPageBreak/>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48570F">
      <w:pPr>
        <w:pStyle w:val="MH2"/>
      </w:pPr>
      <w:bookmarkStart w:id="10" w:name="_Toc177483292"/>
      <w:r>
        <w:t>10.4. Požiadavky na solárne panely</w:t>
      </w:r>
      <w:bookmarkEnd w:id="10"/>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300"/>
        <w:gridCol w:w="124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48570F">
            <w:pPr>
              <w:pStyle w:val="MH3"/>
            </w:pPr>
            <w:bookmarkStart w:id="11" w:name="_Toc177483293"/>
            <w:r>
              <w:t xml:space="preserve">Požiadavky na elektrické zariadenia, invertory,  </w:t>
            </w:r>
            <w:r>
              <w:br/>
              <w:t>kabeláž a ďalšie elektrické komponenty</w:t>
            </w:r>
            <w:bookmarkEnd w:id="11"/>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Pokyny klienta</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xml:space="preserve">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xml:space="preserve"> </w:t>
            </w:r>
          </w:p>
        </w:tc>
      </w:tr>
      <w:tr w:rsidR="00BF060B" w:rsidRPr="00BF060B" w14:paraId="55D04042" w14:textId="77777777" w:rsidTr="004F169E">
        <w:trPr>
          <w:gridAfter w:val="1"/>
          <w:wAfter w:w="53" w:type="dxa"/>
          <w:trHeight w:val="240"/>
        </w:trPr>
        <w:tc>
          <w:tcPr>
            <w:tcW w:w="618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Vzor požiadaviek a kritérií na vyhodnotenie ponúk na fotovoltické projekty</w:t>
            </w:r>
          </w:p>
        </w:tc>
        <w:tc>
          <w:tcPr>
            <w:tcW w:w="124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Zmeňte žlté polia s modrým textom.</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xml:space="preserve">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xml:space="preserve"> </w:t>
            </w:r>
          </w:p>
        </w:tc>
      </w:tr>
      <w:tr w:rsidR="00BF060B" w:rsidRPr="00BF060B" w14:paraId="7641202F" w14:textId="77777777" w:rsidTr="004F169E">
        <w:trPr>
          <w:trHeight w:val="240"/>
        </w:trPr>
        <w:tc>
          <w:tcPr>
            <w:tcW w:w="618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Verzia: 0.99</w:t>
            </w:r>
          </w:p>
        </w:tc>
        <w:tc>
          <w:tcPr>
            <w:tcW w:w="124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Nepovinné požiadavky v ružových poliach: ak sa táto požiadavka nezahŕňa, odstráňte otáznik v stĺpci C. V opačnom prípade uveďte „áno“ alebo „1“. Následne sa odstráni číslo požiadavky a nasledujúce požiadavky sa automaticky prečíslujú. </w:t>
            </w:r>
          </w:p>
        </w:tc>
      </w:tr>
      <w:tr w:rsidR="00BF060B" w:rsidRPr="00BF060B" w14:paraId="7489E2FA" w14:textId="77777777" w:rsidTr="004F169E">
        <w:trPr>
          <w:trHeight w:val="242"/>
        </w:trPr>
        <w:tc>
          <w:tcPr>
            <w:tcW w:w="618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Zdroj: Buyer Group voor Duurzame PV</w:t>
            </w:r>
          </w:p>
        </w:tc>
        <w:tc>
          <w:tcPr>
            <w:tcW w:w="124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Dodatočné požiadavky zadajte do prázdnych polí. V prípade vloženia dodatočných riadkov upravte vzorec pre automatické číslovanie v stĺpcoch A a H.</w:t>
            </w:r>
          </w:p>
        </w:tc>
      </w:tr>
      <w:tr w:rsidR="00BF060B" w:rsidRPr="00BF060B" w14:paraId="2E57E4A3" w14:textId="77777777" w:rsidTr="004F169E">
        <w:trPr>
          <w:gridAfter w:val="1"/>
          <w:wAfter w:w="53" w:type="dxa"/>
          <w:trHeight w:val="240"/>
        </w:trPr>
        <w:tc>
          <w:tcPr>
            <w:tcW w:w="618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Spätná väzba/chyby/doplnenia: pošlite e-mail na adresu BGDPV@pianoo.nl</w:t>
            </w:r>
          </w:p>
        </w:tc>
        <w:tc>
          <w:tcPr>
            <w:tcW w:w="124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Po dokončení úprav skryte stĺpce D a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xml:space="preserve">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xml:space="preserve">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xml:space="preserve"> </w:t>
            </w:r>
          </w:p>
        </w:tc>
      </w:tr>
      <w:tr w:rsidR="00BF060B" w:rsidRPr="00BF060B" w14:paraId="2D8523FB" w14:textId="77777777" w:rsidTr="004F169E">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lastRenderedPageBreak/>
              <w:t>Identifikačné číslo</w:t>
            </w:r>
          </w:p>
        </w:tc>
        <w:tc>
          <w:tcPr>
            <w:tcW w:w="330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Opis </w:t>
            </w:r>
          </w:p>
        </w:tc>
        <w:tc>
          <w:tcPr>
            <w:tcW w:w="124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Hodnota</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Zahrnúť požiadavku?</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Vysvetlenie pre klienta</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Vysvetlenie pre uchádzača</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Overovanie a validácia</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Následky nedostatočnej výkonnosti</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Elektrické zariadenia</w:t>
            </w:r>
          </w:p>
        </w:tc>
      </w:tr>
      <w:tr w:rsidR="00BF060B" w:rsidRPr="00BF060B" w14:paraId="4A7A0F15" w14:textId="77777777" w:rsidTr="004F169E">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Zariadenie musí byť bezpečné a musí spĺňať normy NEN 1010 a NEN 7250.</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Kontrola podľa SCIOS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098ECD5B"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Systém musí byť vybavený izolátorom pre jednosmerný prúd na účely údržby. </w:t>
            </w:r>
            <w:r>
              <w:rPr>
                <w:rFonts w:ascii="Arial" w:hAnsi="Arial"/>
                <w:color w:val="000000"/>
                <w:sz w:val="18"/>
              </w:rPr>
              <w:t xml:space="preserve">Izolátor sa musí umiestniť vedľa invertorov alebo v nich.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Kontrola podľa SCIOS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551160D1"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Indukčné slučky medzi kladnými a zápornými káblami s jednosmerným prúdom (červená/čierna) udržujte malé. </w:t>
            </w:r>
            <w:r>
              <w:rPr>
                <w:rFonts w:ascii="Arial" w:hAnsi="Arial"/>
                <w:color w:val="000000"/>
                <w:sz w:val="18"/>
              </w:rPr>
              <w:t>Kábel modulu a neutrálny kábel každého reťazca sa vedú po tej istej trase a nachádzajú sa vo vzdialenosti do jedného metra od seba.</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Kontrola podľa SCIOS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32D1BFBE"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Kabeláž pre jednosmerný prúd musí byť označená kódom podľa polarity (čierna/červená alebo +/–) a číslom reťazca.</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09FBB835"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Musí sa namontovať prepäťový ochranný prvok (NEN 62305-4:2011).</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Prepäťový ochranný prvok chráni invertor pred požiarom z dôvodu priameho alebo nepriameho zásahu bleskom.</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Kontrola podľa SCIOS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Prepájanie solárnych panelov</w:t>
            </w:r>
          </w:p>
        </w:tc>
      </w:tr>
      <w:tr w:rsidR="00BF060B" w:rsidRPr="00BF060B" w14:paraId="48DAC9EF"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4.6</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Panely pripojené k invertoru sériovým zapojením (k jednému reťazcu) musia mať rovnaký uhol sklonu a orientáciu.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Invertory</w:t>
            </w:r>
          </w:p>
        </w:tc>
      </w:tr>
      <w:tr w:rsidR="00BF060B" w:rsidRPr="00BF060B" w14:paraId="581795A9" w14:textId="77777777" w:rsidTr="004F169E">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Invertory musia spĺňať normy: EN 50524, IEC 61683, IEC 62109, NEN-EN 50438, IEC 60068.</w:t>
            </w:r>
            <w:r>
              <w:rPr>
                <w:rFonts w:ascii="Arial" w:hAnsi="Arial"/>
                <w:color w:val="000000"/>
                <w:sz w:val="18"/>
              </w:rPr>
              <w:t xml:space="preserve"> IEC 61683: Meranie účinnosti výkonových meničov v slnečných fotovoltických systémoch. EN 50524: Informácie na karte údajov pre fotovoltické invertory. IEC 62109: Bezpečnosť výkonových meničov používaných vo fotovoltických energetických systémoch. NEN-EN 50438: Mikrogenerátory prepojené s nízkonapäťovou verejnou distribučnou sieťou. EN 60068: Skúšanie vplyvu prostredia, schopnosť fungovať v očakávaných podmienkach prepravy, skladovania a používania. </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Štandardné požiadavky</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Väčšina invertorov spĺňa tieto požiadavky – uvedené na karte údajov.</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0AEFA56B"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Invertory musia mať záruku výrobcu najmenej:</w:t>
            </w:r>
          </w:p>
        </w:tc>
        <w:tc>
          <w:tcPr>
            <w:tcW w:w="124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rokov</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2003C2F7"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30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Požiadavky týkajúce sa elektromagnetickej kompatibility. </w:t>
            </w:r>
            <w:r>
              <w:rPr>
                <w:rFonts w:ascii="Arial" w:hAnsi="Arial"/>
                <w:color w:val="000000"/>
                <w:sz w:val="18"/>
              </w:rPr>
              <w:t>Invertory, solárne panely a akékoľvek ďalšie vybavenie musia spĺňať požiadavky na elektromagnetickú kompatibilitu (EMC) v súlade s normami NEN-EN-IEC 61000-6-2 (odolnosť) a NEN-EN-IEC 61000-6-4 (emisie)</w:t>
            </w:r>
          </w:p>
        </w:tc>
        <w:tc>
          <w:tcPr>
            <w:tcW w:w="124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4.10</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V prípade inštalácie na streche sa musí nainštalovať invertor so stupňom ochrany pred vniknutím IP65 vrátane ochrany proti slnečnému svetlu a v súlade s ďalšími požiadavkami od výrobcu.</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23E9933A" w14:textId="77777777" w:rsidTr="004F169E">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Invertory musia mať európsku efektívnosť ≥ 98 %. </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2B738DC"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Buď sa musia prístrojmi detegujúcimi poruchu s oblúkom vybaviť samotné invertory, alebo sa musí nainštalovať externý prístroj detegujúci poruchu s oblúkom pre všetky reťazce solárneho panela pripojené k invertorom.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57692FB6"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Výrobca invertorov musí byť spoločnosť s dobrou povesťou a musí byť držiteľom certifikátov podľa noriem ISO 9001 a ISO 14001. </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0FCDA6B1"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Náhradné dielce sa musia dodávať spravidla do 72 hodín (napr. prostredníctvom akcionára v EÚ).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440BB9F"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Invertory musia spĺňať usmernenia prevádzkovateľov sústav, byť vhodné na zapojenie do holandskej elektrickej siete a niesť označenie CE (zhoda s právnymi predpismi EÚ).</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5913AC04"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Na inventore musí byť na strane striedavého prúdu namontovaný prepínač, aby sa invertor mohol izolovať napríklad na účely údržby.</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787671C"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Invertory musia mať integrované zariadenie na odpojenie od siete, </w:t>
            </w:r>
            <w:r>
              <w:rPr>
                <w:rFonts w:ascii="Arial" w:hAnsi="Arial"/>
                <w:sz w:val="18"/>
              </w:rPr>
              <w:lastRenderedPageBreak/>
              <w:t>ktoré spĺňa požiadavky normy VDE0126-1.</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A60B6CD" w14:textId="77777777" w:rsidTr="004F169E">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V prípade provincií Drenthe, Groningen, Friesland, Overijssel a Gelderland: ak sa zariadenie slnečnej energie nachádza v ochrannom pásme podľa organizácie Astron (https://www.astron.nl/beschermingszones/), invertory musia spĺňať požiadavky organizácie Astron. Na uvedenom webovom sídle pozri „biely zoznam“ schválených invertorov.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260BB32F"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Medzi invertormi sa musia vytvoriť dostatočné rozostupy v súlade s požiadavkami výrobcu.</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2BC8E08C"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Umiestnenie invertorov musí navrhnúť zhotoviteľ a určí sa na základe dohody s klientom.</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2725B258"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Invertory musia byť ľahko dostupné na účely servisu a údržby.</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4905976D"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Invertory sa musia izolovať akusticky od steny alebo rámu, aby sa zabránilo hluku spôsobeného kontaktom so stenami, konštrukciami a podlahami.</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Ak by hluk mohol predstavovať problém</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716B8C03"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Invertor musí byť odolný proti soľnej hmle v súlade s normou IEC 60069-2-52.</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Ak sa nachádza v blízkosti mora</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3219367" w14:textId="77777777" w:rsidTr="004F169E">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 prípade inštalácie na streche sa musí nainštalovať invertor so stupňom ochrany pred vniknutím IP65 vrátane ochrany proti slnečnému svetlu a v súlade s ďalšími požiadavkami od výrobcu.</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Stupeň ochrany pred vniknutím IP6x s cieľom zabrániť poškodeniu búrkami atď. Stupeň ochrany pred vniknutím IPx5 s cieľom zabrániť horlivému čističovi, aby </w:t>
            </w:r>
            <w:r>
              <w:rPr>
                <w:rFonts w:ascii="Arial" w:hAnsi="Arial"/>
                <w:sz w:val="18"/>
              </w:rPr>
              <w:lastRenderedPageBreak/>
              <w:t>invertor poškodil záhradnou hadicou.</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3E836625"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Invertory musia byť riadne zapečatené a nesmú byť prístupné neoprávneným osobám. </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Invertory musia byť zapečatené, aby sa predišlo ich nevhodnému použitiu, krádeži alebo vandalizmu.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Káble, konektory, káblovody</w:t>
            </w:r>
          </w:p>
        </w:tc>
      </w:tr>
      <w:tr w:rsidR="00BF060B" w:rsidRPr="00BF060B" w14:paraId="26D1C8CA"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30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Konektory na jednosmerný prúd musia byť typu MC4 a musia spĺňať normu IEC 62852.</w:t>
            </w:r>
          </w:p>
        </w:tc>
        <w:tc>
          <w:tcPr>
            <w:tcW w:w="124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0B36FBB2"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30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Konektory na jednosmerný prúd, ktoré sa spájajú navzájom (zástrčka-zásuvka) musia byť rovnakého typu a od toho istého výrobcu.</w:t>
            </w:r>
          </w:p>
        </w:tc>
        <w:tc>
          <w:tcPr>
            <w:tcW w:w="124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7FE449D4"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Konektory na jednosmerný prúd musia mať stupeň ochrany pred vniknutím IP65.</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246473AD"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30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Všetky káble musia spĺňať normu IEC 60364-7-712 kapitolu 712.522 (požiadavky na systémy fotovoltického zdroja), normu IEC 60364-5-52 (elektrické káble v budovách), normu IEC 60332-1-2 (ohňovzdornosť) a normu EN 50396 (neelektrické skúšobné metódy).</w:t>
            </w:r>
          </w:p>
        </w:tc>
        <w:tc>
          <w:tcPr>
            <w:tcW w:w="124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2B50542E"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Všetky káble na jednosmerný prúd musia byť vhodné na použitie v oblasti slnečnej energie a musia byť odolné voči ultrafialovému žiareniu a ozónu.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949884A"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4.31</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Všetky komponenty na strane jednosmerného prúdu (vrátane káblov a konektorov) musia byť konštruované tak, aby vydržali ≥ 1,15-násobok napätia naprázdno v káblovej trase.</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77D75BCD"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Jednotlivé typy káblov</w:t>
            </w:r>
            <w:r>
              <w:rPr>
                <w:rFonts w:ascii="Arial" w:hAnsi="Arial"/>
                <w:color w:val="000000"/>
                <w:sz w:val="18"/>
              </w:rPr>
              <w:t xml:space="preserve"> (napr. na jednosmerný prúd, na striedavý prúd a dátové káble) sa musia používať oddelene.</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Kontrola podľa SCIOS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07D3DD41"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30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Rozmery káblov musia spĺňať normu NEN 1010</w:t>
            </w:r>
          </w:p>
        </w:tc>
        <w:tc>
          <w:tcPr>
            <w:tcW w:w="124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A236050" w14:textId="77777777" w:rsidTr="004F169E">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Straty v kábloch: pri maximálnom zaťažení môže dochádzať k strate najviac 2 % na strane jednosmerného prúdu a 1 % na strane striedavého prúdu.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Možnosť upraviť pre osobitné situácie, v prípade veľmi dlhých káblov možno v súvislosti s pomerom nákladov/prínosov uznať vyššie percento straty</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C94FDDC"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Ak zariadenie obsahuje viacero reťazcov, tieto reťazce musia spĺňať normu IEC 60364-7-712, pričom sú chránené voči nadprúdu poistkami na kladnom a zápornom póle alebo prostredníctvom primeraného dimenzovania</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31134C59"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Káble musia spĺňať triedu Cca nariadenia o stavebných výrobkoch v súlade s normou NTA 8012.</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4075DD6"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30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Káble musia byť správne mechanicky upevnené. </w:t>
            </w:r>
          </w:p>
        </w:tc>
        <w:tc>
          <w:tcPr>
            <w:tcW w:w="124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38A91C9D" w14:textId="77777777" w:rsidTr="004F169E">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Káble musia byť vedené káblovodmi alebo rúrkami. Káblová trasa systémov slnečnej energie môže byť zaplnená do 80 % pri </w:t>
            </w:r>
            <w:r>
              <w:rPr>
                <w:rFonts w:ascii="Arial" w:hAnsi="Arial"/>
                <w:b/>
                <w:sz w:val="18"/>
              </w:rPr>
              <w:lastRenderedPageBreak/>
              <w:t>nových trasách a až do 100 % pri existujúcich trasách.</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6EFEC07C"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Káblovody sa nesmú umiestňovať priamo na streche, musia sa však pripevniť k streche alebo k základni gumovými krytmi alebo podstavcami a musí sa zabrániť ich prievisu.</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51059ADB"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Káblovody musia za každých okolností visieť alebo ležať nad maximálnou hladinou vody na streche.</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2A6DCF14"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Káble sa môžu ukladať v záhyboch do 90 stupňov.</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18E7C816" w14:textId="77777777" w:rsidTr="004F169E">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Káble sa musia namontovať tak, aby sa minimalizovala pravdepodobnosť preniknutia vlhkosti alebo kvapalín do káblov alebo konektorov.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Konštrukcia káblových a strešných portov musí byť vodotesná. Uloženie káblov sa musí vykonávať v súlade s najnovšou verziou „obchodných usmernení k uzavretému strešnému systému“ (vakrichtlijn gesloten daksysteem), </w:t>
            </w:r>
            <w:r>
              <w:rPr>
                <w:rFonts w:ascii="Arial" w:hAnsi="Arial"/>
                <w:sz w:val="18"/>
              </w:rPr>
              <w:lastRenderedPageBreak/>
              <w:t>kým nástenné porty musia byť skonštruované podľa stavebnej vyhlášky z roku 2012.</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59400EC3"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30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Káble sa musia ukladať tak, aby boli chránené pred prerezaním. </w:t>
            </w:r>
          </w:p>
        </w:tc>
        <w:tc>
          <w:tcPr>
            <w:tcW w:w="124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53E6A380" w14:textId="77777777" w:rsidTr="004F169E">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Všetky strešné porty musia byť riadne pripevnené tak, aby strecha zostala vodotesná aj počas prívalových dažďov.</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Elektromerová skriňa a sieťové pripojenie</w:t>
            </w:r>
          </w:p>
        </w:tc>
      </w:tr>
      <w:tr w:rsidR="00BF060B" w:rsidRPr="00BF060B" w14:paraId="6DDB9370"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3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Miesto pripojenia musí mať jeden obvod na invertor, dodatočný spotrebný obvod pre monitorovacie systémy a merač hrubej výroby pre celý systém.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Merač hrubej výroby musí spĺňať požiadavky stanovené v dotačnom programe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08CD1901" w14:textId="77777777" w:rsidTr="004F169E">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30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Pri úprave rozvodnej skrine musia byť príslušné (automatické) poistky označené tak, aby bolo zrejmé, že ide o zariadenie využívajúce slnečnú energiu, a to na nálepke a/alebo na plastovom štítku s týmto textom: „UPOZORNENIE: zariadenie využívajúce slnečnú energiu“ (alebo ekvivalentným textom). Tieto nálepky sa musia umiestniť aj na použité elektroinštalačné rúrky zariadenia a akékoľvek rozvodné skrine.</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Nepovinné požiadavky na invertory</w:t>
            </w:r>
          </w:p>
        </w:tc>
      </w:tr>
      <w:tr w:rsidR="00BF060B" w:rsidRPr="00BF060B" w14:paraId="1D02C8BF"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4.47</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Opraviteľné. Výrobca musí mať v Európe servisné centrum schopné opravovať invertory alebo v Európe musia existovať externé spoločnosti, ktoré sú autorizované vykonávať opravy invertorov.</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7A2007A4" w14:textId="77777777" w:rsidTr="004F169E">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Každý invertor musí poskytovať tieto funkcie:</w:t>
            </w:r>
            <w:r>
              <w:t xml:space="preserve"> </w:t>
            </w:r>
            <w:r>
              <w:br/>
            </w:r>
            <w:r>
              <w:rPr>
                <w:rFonts w:ascii="Arial" w:hAnsi="Arial"/>
                <w:b/>
                <w:sz w:val="18"/>
              </w:rPr>
              <w:t>– nastavenie parametrov,</w:t>
            </w:r>
            <w:r>
              <w:t xml:space="preserve"> </w:t>
            </w:r>
            <w:r>
              <w:br/>
            </w:r>
            <w:r>
              <w:rPr>
                <w:rFonts w:ascii="Arial" w:hAnsi="Arial"/>
                <w:b/>
                <w:sz w:val="18"/>
              </w:rPr>
              <w:t>– okamžité oznámenie poklesu napätia (striedavého alebo jednosmerného prúdu),</w:t>
            </w:r>
            <w:r>
              <w:t xml:space="preserve"> </w:t>
            </w:r>
            <w:r>
              <w:br/>
            </w:r>
            <w:r>
              <w:rPr>
                <w:rFonts w:ascii="Arial" w:hAnsi="Arial"/>
                <w:b/>
                <w:sz w:val="18"/>
              </w:rPr>
              <w:t>– zobrazovanie sieťových parametrov (frekvencia, napätie atď.),</w:t>
            </w:r>
            <w:r>
              <w:t xml:space="preserve"> </w:t>
            </w:r>
            <w:r>
              <w:br/>
            </w:r>
            <w:r>
              <w:rPr>
                <w:rFonts w:ascii="Arial" w:hAnsi="Arial"/>
                <w:b/>
                <w:sz w:val="18"/>
              </w:rPr>
              <w:t>– prerušenie prúdu v okamihu, keď sieť prekročí hodnoty v povolenom rozsahu.</w:t>
            </w:r>
          </w:p>
        </w:tc>
        <w:tc>
          <w:tcPr>
            <w:tcW w:w="124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r w:rsidR="00BF060B" w:rsidRPr="00BF060B" w14:paraId="0B9A6696" w14:textId="77777777" w:rsidTr="004F169E">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30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Invertory musia umožňovať prispôsobenie vyrábanej energie podľa odberu elektriny danej lokality s cieľom vyhnúť sa dodávaniu elektriny do siete. </w:t>
            </w:r>
          </w:p>
        </w:tc>
        <w:tc>
          <w:tcPr>
            <w:tcW w:w="124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Napríklad v prípade preťaženia sústavy v oblasti, ktoré dočasne bráni dodávaniu do siete.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48570F"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48570F"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48570F"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48570F"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6563354A"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667D20FC" w14:textId="77777777" w:rsidR="006678CB" w:rsidRPr="0048570F" w:rsidRDefault="006678CB" w:rsidP="00026952">
      <w:pPr>
        <w:spacing w:after="160" w:line="278" w:lineRule="auto"/>
        <w:rPr>
          <w:rFonts w:eastAsia="Aptos"/>
          <w:kern w:val="2"/>
          <w:sz w:val="16"/>
          <w:szCs w:val="16"/>
          <w:lang w:eastAsia="en-US"/>
          <w14:ligatures w14:val="standardContextual"/>
        </w:rPr>
      </w:pPr>
    </w:p>
    <w:p w14:paraId="448AF3B4" w14:textId="77777777" w:rsidR="00E732CC" w:rsidRDefault="00E732CC"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48570F">
      <w:pPr>
        <w:pStyle w:val="MH2"/>
      </w:pPr>
      <w:bookmarkStart w:id="12" w:name="_Toc177483294"/>
      <w:r>
        <w:t>10.5. – Požiadavky na elektrické zariadenia, invertory, kabeláž a ďalšie elektrické komponenty</w:t>
      </w:r>
      <w:bookmarkEnd w:id="12"/>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48570F">
            <w:pPr>
              <w:pStyle w:val="MH3"/>
            </w:pPr>
            <w:bookmarkStart w:id="13" w:name="_Toc177483295"/>
            <w:r>
              <w:t xml:space="preserve">Požiadavky –  </w:t>
            </w:r>
            <w:r>
              <w:br/>
              <w:t>Upevňovacia konštrukcia</w:t>
            </w:r>
            <w:bookmarkEnd w:id="13"/>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Pokyny klienta</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xml:space="preserve">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xml:space="preserve">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Vzor požiadaviek a kritérií na vyhodnotenie ponúk na fotovoltické projekty</w:t>
            </w:r>
          </w:p>
          <w:p w14:paraId="5F0E241B" w14:textId="77777777" w:rsidR="006678CB" w:rsidRPr="0048570F"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Zmeňte žlté polia s modrým textom.</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xml:space="preserve">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xml:space="preserve">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Verzia: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Nepovinné požiadavky v ružových poliach: ak sa táto požiadavka nezahŕňa, odstráňte otáznik v stĺpci C. V opačnom prípade uveďte „áno“ alebo „1“. Následne sa odstráni číslo požiadavky a nasledujúce požiadavky sa automaticky prečíslujú.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Zdroj: Buyer Group voor Duurzame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Dodatočné požiadavky zadajte do prázdnych polí. V prípade vloženia dodatočných riadkov upravte vzorec pre automatické číslovanie v stĺpcoch A a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xml:space="preserve">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xml:space="preserve">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lastRenderedPageBreak/>
              <w:t xml:space="preserve">Spätná väzba/chyby/doplnenia: pošlite e-mail na adresu </w:t>
            </w:r>
            <w:hyperlink r:id="rId11" w:history="1">
              <w:r>
                <w:rPr>
                  <w:rStyle w:val="Hyperlink"/>
                  <w:rFonts w:ascii="Arial" w:hAnsi="Arial"/>
                  <w:sz w:val="16"/>
                </w:rPr>
                <w:t>BGDPV@pianoo.nl</w:t>
              </w:r>
            </w:hyperlink>
          </w:p>
          <w:p w14:paraId="4744A7E1" w14:textId="77777777" w:rsidR="006678CB" w:rsidRPr="006678CB" w:rsidRDefault="006678CB" w:rsidP="00E467BD">
            <w:pPr>
              <w:spacing w:line="240" w:lineRule="auto"/>
              <w:rPr>
                <w:rFonts w:ascii="Arial" w:hAnsi="Arial" w:cs="Arial"/>
                <w:color w:val="808080"/>
                <w:sz w:val="16"/>
                <w:szCs w:val="16"/>
                <w:lang w:val="en-US"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Po dokončení úprav skryte stĺpce D a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xml:space="preserve">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xml:space="preserve">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xml:space="preserve">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Identifikačné číslo</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Opis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Hodnota</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Zahrnúť požiadavku?</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Vysvetlenie pre klienta</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Vysvetlenie pre uchádzača</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Overovanie a validácia</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Následky nedostatočnej výkonnosti</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4" w:name="_Toc176847849"/>
            <w:bookmarkStart w:id="15" w:name="_Toc176871555"/>
            <w:r>
              <w:rPr>
                <w:rFonts w:ascii="Arial" w:hAnsi="Arial"/>
                <w:b/>
                <w:color w:val="000000"/>
              </w:rPr>
              <w:t xml:space="preserve">Konštrukčné požiadavky </w:t>
            </w:r>
            <w:r>
              <w:rPr>
                <w:rFonts w:ascii="Arial" w:hAnsi="Arial"/>
                <w:b/>
                <w:color w:val="FF0000"/>
              </w:rPr>
              <w:t>v prípade fotovoltiky na STRECHE</w:t>
            </w:r>
            <w:bookmarkEnd w:id="14"/>
            <w:bookmarkEnd w:id="15"/>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16" w:name="_Toc176847850"/>
            <w:bookmarkStart w:id="17" w:name="_Toc176871556"/>
            <w:r>
              <w:rPr>
                <w:rFonts w:ascii="Arial" w:hAnsi="Arial"/>
                <w:sz w:val="18"/>
              </w:rPr>
              <w:t>5.1</w:t>
            </w:r>
            <w:bookmarkEnd w:id="16"/>
            <w:bookmarkEnd w:id="1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18" w:name="_Toc176847851"/>
            <w:bookmarkStart w:id="19" w:name="_Toc176871557"/>
            <w:r>
              <w:rPr>
                <w:rFonts w:ascii="Arial" w:hAnsi="Arial"/>
                <w:b/>
                <w:color w:val="000000"/>
                <w:sz w:val="18"/>
              </w:rPr>
              <w:t xml:space="preserve">Konštrukcia musí byť schopná odolávať očakávanému zaťaženiu. </w:t>
            </w:r>
            <w:r>
              <w:rPr>
                <w:rFonts w:ascii="Arial" w:hAnsi="Arial"/>
                <w:color w:val="000000"/>
                <w:sz w:val="18"/>
              </w:rPr>
              <w:t>Návrh konštrukcie a stavebný materiál musia spĺňať normy NEN 7250 a Eurokód 1 (EN 1991-1-4). Skontrolujte návrh konštrukcie po zadaní zákazky, ale pred začiatkom inštalácie.</w:t>
            </w:r>
            <w:bookmarkEnd w:id="18"/>
            <w:bookmarkEnd w:id="19"/>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bookmarkStart w:id="20" w:name="_Toc176847852"/>
            <w:bookmarkStart w:id="21" w:name="_Toc176871558"/>
            <w:r>
              <w:rPr>
                <w:rFonts w:ascii="Arial" w:hAnsi="Arial"/>
                <w:color w:val="000000"/>
                <w:sz w:val="18"/>
              </w:rPr>
              <w:t xml:space="preserve">Normy súvisiace so stavebnými aspektmi a zaťažením vetrom. NEN 7250: </w:t>
            </w:r>
            <w:r>
              <w:rPr>
                <w:rFonts w:ascii="Arial" w:hAnsi="Arial"/>
                <w:i/>
                <w:color w:val="000000"/>
                <w:sz w:val="18"/>
              </w:rPr>
              <w:t xml:space="preserve">Systémy slnečnej energie – integrácia do striech a fasád – stavebné aspekty. </w:t>
            </w:r>
            <w:r>
              <w:rPr>
                <w:rFonts w:ascii="Arial" w:hAnsi="Arial"/>
                <w:color w:val="000000"/>
                <w:sz w:val="18"/>
              </w:rPr>
              <w:t xml:space="preserve">Eurokód 1 – EN 1991-1-4:  </w:t>
            </w:r>
            <w:r>
              <w:rPr>
                <w:rFonts w:ascii="Arial" w:hAnsi="Arial"/>
                <w:i/>
                <w:color w:val="000000"/>
                <w:sz w:val="18"/>
              </w:rPr>
              <w:t>Zaťaženia konštrukcií. Časť 1-4: Všeobecné zaťaženia. Zaťaženie vetrom</w:t>
            </w:r>
            <w:bookmarkEnd w:id="20"/>
            <w:bookmarkEnd w:id="21"/>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22" w:name="_Toc176847853"/>
            <w:bookmarkStart w:id="23" w:name="_Toc176871559"/>
            <w:r>
              <w:rPr>
                <w:rFonts w:ascii="Arial" w:hAnsi="Arial"/>
                <w:sz w:val="18"/>
              </w:rPr>
              <w:t>Dodávatelia strešných upevňovacích konštrukcií zvyčajne disponujú softvérom alebo webovou aplikáciou, ktoré slúžia na výpočet záťaže potrebnej na splnenie týchto noriem.</w:t>
            </w:r>
            <w:bookmarkEnd w:id="22"/>
            <w:bookmarkEnd w:id="23"/>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24" w:name="_Toc176847854"/>
            <w:bookmarkStart w:id="25" w:name="_Toc176871560"/>
            <w:r>
              <w:rPr>
                <w:rFonts w:ascii="Arial" w:hAnsi="Arial"/>
                <w:sz w:val="18"/>
              </w:rPr>
              <w:t>Správa o navrhovanej konštrukcii zo softvéru alebo webovej aplikácie dodávateľa upevňovacej konštrukcie, ktorá sa má predložiť zhotoviteľovi pred inštaláciou tejto konštrukcie.</w:t>
            </w:r>
            <w:bookmarkEnd w:id="24"/>
            <w:bookmarkEnd w:id="25"/>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26" w:name="_Toc176847855"/>
            <w:bookmarkStart w:id="27" w:name="_Toc176871561"/>
            <w:r>
              <w:rPr>
                <w:rFonts w:ascii="Arial" w:hAnsi="Arial"/>
                <w:color w:val="000000"/>
                <w:sz w:val="18"/>
              </w:rPr>
              <w:t>Konzultujte a podľa potreby upravte.</w:t>
            </w:r>
            <w:bookmarkEnd w:id="26"/>
            <w:bookmarkEnd w:id="27"/>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28" w:name="_Toc176847856"/>
            <w:bookmarkStart w:id="29" w:name="_Toc176871562"/>
            <w:r>
              <w:rPr>
                <w:rFonts w:ascii="Arial" w:hAnsi="Arial"/>
                <w:sz w:val="18"/>
              </w:rPr>
              <w:t>5.2</w:t>
            </w:r>
            <w:bookmarkEnd w:id="28"/>
            <w:bookmarkEnd w:id="2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30" w:name="_Toc176847857"/>
            <w:bookmarkStart w:id="31" w:name="_Toc176871563"/>
            <w:r>
              <w:rPr>
                <w:rFonts w:ascii="Arial" w:hAnsi="Arial"/>
                <w:b/>
                <w:color w:val="000000"/>
                <w:sz w:val="18"/>
              </w:rPr>
              <w:t xml:space="preserve">Konštrukcia musí byť kompatibilná so strechou. </w:t>
            </w:r>
            <w:r>
              <w:rPr>
                <w:rFonts w:ascii="Arial" w:hAnsi="Arial"/>
                <w:color w:val="000000"/>
                <w:sz w:val="18"/>
              </w:rPr>
              <w:t>Strecha a strešná konštrukcia musia byť schopné odolávať zaťaženiu, ktoré na ne môže vyvíjať slnečný fotovoltický systém v kombinácii s poveternostnými podmienkami (sneh, vietor). Skontrolujte návrh konštrukcie po zadaní zákazky, ale pred začiatkom inštalácie.</w:t>
            </w:r>
            <w:bookmarkEnd w:id="30"/>
            <w:bookmarkEnd w:id="31"/>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32" w:name="_Toc176847858"/>
            <w:bookmarkStart w:id="33" w:name="_Toc176871564"/>
            <w:r>
              <w:rPr>
                <w:rFonts w:ascii="Arial" w:hAnsi="Arial"/>
                <w:sz w:val="18"/>
              </w:rPr>
              <w:t>V prípade „slabých“ striech, ktoré sú nevhodné na štandardné ťažké zaťažujúce konštrukcie, možno zvážiť tieto možnosti: posilnenie strechy alebo strešnej konštrukcie, použitie špeciálnych upevňovacích konštrukcií alebo špeciálnych solárnych panelov, napríklad takých, ktoré sa na strechu lepia.</w:t>
            </w:r>
            <w:bookmarkEnd w:id="32"/>
            <w:bookmarkEnd w:id="33"/>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34" w:name="_Toc176847859"/>
            <w:bookmarkStart w:id="35" w:name="_Toc176871565"/>
            <w:r>
              <w:rPr>
                <w:rFonts w:ascii="Arial" w:hAnsi="Arial"/>
                <w:color w:val="000000"/>
                <w:sz w:val="18"/>
              </w:rPr>
              <w:t>Návrh fotovoltického zariadenia vrátane výkresov konštrukcie s bodmi umiestnenia a hmotnosťami záťaže sa musí predložiť zhotoviteľovi na schválenie aspoň štyri týždne pred inštaláciou.</w:t>
            </w:r>
            <w:bookmarkEnd w:id="34"/>
            <w:bookmarkEnd w:id="35"/>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36" w:name="_Toc176847860"/>
            <w:bookmarkStart w:id="37" w:name="_Toc176871566"/>
            <w:r>
              <w:rPr>
                <w:rFonts w:ascii="Arial" w:hAnsi="Arial"/>
                <w:color w:val="000000"/>
                <w:sz w:val="18"/>
              </w:rPr>
              <w:t>Konzultujte a podľa potreby upravte.</w:t>
            </w:r>
            <w:bookmarkEnd w:id="36"/>
            <w:bookmarkEnd w:id="37"/>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38" w:name="_Toc176847861"/>
            <w:bookmarkStart w:id="39" w:name="_Toc176871567"/>
            <w:r>
              <w:rPr>
                <w:rFonts w:ascii="Arial" w:hAnsi="Arial"/>
                <w:sz w:val="18"/>
              </w:rPr>
              <w:lastRenderedPageBreak/>
              <w:t>5.3</w:t>
            </w:r>
            <w:bookmarkEnd w:id="38"/>
            <w:bookmarkEnd w:id="3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40" w:name="_Toc176847862"/>
            <w:bookmarkStart w:id="41" w:name="_Toc176871568"/>
            <w:r>
              <w:rPr>
                <w:rFonts w:ascii="Arial" w:hAnsi="Arial"/>
                <w:b/>
                <w:color w:val="000000"/>
                <w:sz w:val="18"/>
              </w:rPr>
              <w:t xml:space="preserve">Uzemnenie. </w:t>
            </w:r>
            <w:r>
              <w:rPr>
                <w:rFonts w:ascii="Arial" w:hAnsi="Arial"/>
                <w:color w:val="000000"/>
                <w:sz w:val="18"/>
              </w:rPr>
              <w:t>Celá základňa panela musí byť uzemnená.</w:t>
            </w:r>
            <w:bookmarkEnd w:id="40"/>
            <w:bookmarkEnd w:id="41"/>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42" w:name="_Toc176847863"/>
            <w:bookmarkStart w:id="43" w:name="_Toc176871569"/>
            <w:r>
              <w:rPr>
                <w:rFonts w:ascii="Arial" w:hAnsi="Arial"/>
                <w:sz w:val="18"/>
              </w:rPr>
              <w:t>Kontrola podľa SCIOS Scope 12</w:t>
            </w:r>
            <w:bookmarkEnd w:id="42"/>
            <w:bookmarkEnd w:id="43"/>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44" w:name="_Toc176847864"/>
            <w:bookmarkStart w:id="45" w:name="_Toc176871570"/>
            <w:r>
              <w:rPr>
                <w:rFonts w:ascii="Arial" w:hAnsi="Arial"/>
                <w:sz w:val="18"/>
              </w:rPr>
              <w:t>5.4</w:t>
            </w:r>
            <w:bookmarkEnd w:id="44"/>
            <w:bookmarkEnd w:id="45"/>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46" w:name="_Toc176847865"/>
            <w:bookmarkStart w:id="47" w:name="_Toc176871571"/>
            <w:r>
              <w:rPr>
                <w:rFonts w:ascii="Arial" w:hAnsi="Arial"/>
                <w:b/>
                <w:color w:val="000000"/>
                <w:sz w:val="18"/>
              </w:rPr>
              <w:t>Inštalovať sa musí primeraný systém ochrany pred bleskom</w:t>
            </w:r>
            <w:bookmarkEnd w:id="46"/>
            <w:bookmarkEnd w:id="4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48" w:name="_Toc176847866"/>
            <w:bookmarkStart w:id="49" w:name="_Toc176871572"/>
            <w:r>
              <w:rPr>
                <w:rFonts w:ascii="Arial" w:hAnsi="Arial"/>
                <w:b/>
                <w:sz w:val="18"/>
              </w:rPr>
              <w:t>?</w:t>
            </w:r>
            <w:bookmarkEnd w:id="48"/>
            <w:bookmarkEnd w:id="49"/>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50" w:name="_Toc176847867"/>
            <w:bookmarkStart w:id="51" w:name="_Toc176871573"/>
            <w:r>
              <w:rPr>
                <w:rFonts w:ascii="Arial" w:hAnsi="Arial"/>
                <w:sz w:val="18"/>
              </w:rPr>
              <w:t>Tento systém už obvykle existuje. Ak to tak nie je, inštaluje sa nezávisle od slnečného fotovoltického systému. Určí sa na základe konzultácií s poradcami.</w:t>
            </w:r>
            <w:bookmarkEnd w:id="50"/>
            <w:bookmarkEnd w:id="51"/>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52" w:name="_Toc176847868"/>
            <w:bookmarkStart w:id="53" w:name="_Toc176871574"/>
            <w:r>
              <w:rPr>
                <w:rFonts w:ascii="Arial" w:hAnsi="Arial"/>
                <w:sz w:val="18"/>
              </w:rPr>
              <w:t>Upozornenie: Systém ochrany pred bleskom sa nesmie používať na uzemnenie konštrukcie fotovoltického zariadenia.</w:t>
            </w:r>
            <w:bookmarkEnd w:id="52"/>
            <w:bookmarkEnd w:id="53"/>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54" w:name="_Toc176847869"/>
            <w:bookmarkStart w:id="55" w:name="_Toc176871575"/>
            <w:r>
              <w:rPr>
                <w:rFonts w:ascii="Arial" w:hAnsi="Arial"/>
                <w:sz w:val="18"/>
              </w:rPr>
              <w:t>Kontrola podľa SCIOS Scope 12</w:t>
            </w:r>
            <w:bookmarkEnd w:id="54"/>
            <w:bookmarkEnd w:id="55"/>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56" w:name="_Toc176847870"/>
            <w:bookmarkStart w:id="57" w:name="_Toc176871576"/>
            <w:r>
              <w:rPr>
                <w:rFonts w:ascii="Arial" w:hAnsi="Arial"/>
                <w:sz w:val="18"/>
              </w:rPr>
              <w:t>5.5</w:t>
            </w:r>
            <w:bookmarkEnd w:id="56"/>
            <w:bookmarkEnd w:id="5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58" w:name="_Toc176847871"/>
            <w:bookmarkStart w:id="59" w:name="_Toc176871577"/>
            <w:r>
              <w:rPr>
                <w:rFonts w:ascii="Arial" w:hAnsi="Arial"/>
                <w:b/>
                <w:color w:val="000000"/>
                <w:sz w:val="18"/>
              </w:rPr>
              <w:t xml:space="preserve">Rozdiely v dôsledku rozťažnosti. </w:t>
            </w:r>
            <w:r>
              <w:rPr>
                <w:rFonts w:ascii="Arial" w:hAnsi="Arial"/>
                <w:color w:val="000000"/>
                <w:sz w:val="18"/>
              </w:rPr>
              <w:t>Kontaktné plochy medzi strechou a montážnou konštrukciou fotovoltického zariadenia musia byť navrhnuté tak, aby nedošlo k poškodeniu strechy v dôsledku rozdielnej tepelnej rozťažnosti montážnej konštrukcie a strechy.</w:t>
            </w:r>
            <w:bookmarkEnd w:id="58"/>
            <w:bookmarkEnd w:id="5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60" w:name="_Toc176847872"/>
            <w:bookmarkStart w:id="61" w:name="_Toc176871578"/>
            <w:r>
              <w:rPr>
                <w:rFonts w:ascii="Arial" w:hAnsi="Arial"/>
                <w:sz w:val="18"/>
              </w:rPr>
              <w:t>Napríklad s použitím vrstvy kaučuku pod kovovými podstavcami.</w:t>
            </w:r>
            <w:bookmarkEnd w:id="60"/>
            <w:bookmarkEnd w:id="61"/>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62" w:name="_Toc176847873"/>
            <w:bookmarkStart w:id="63" w:name="_Toc176871579"/>
            <w:r>
              <w:rPr>
                <w:rFonts w:ascii="Arial" w:hAnsi="Arial"/>
                <w:sz w:val="18"/>
              </w:rPr>
              <w:t>Skontrolujte konštrukciu.</w:t>
            </w:r>
            <w:bookmarkEnd w:id="62"/>
            <w:bookmarkEnd w:id="63"/>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64" w:name="_Toc176847874"/>
            <w:bookmarkStart w:id="65" w:name="_Toc176871580"/>
            <w:r>
              <w:rPr>
                <w:rFonts w:ascii="Arial" w:hAnsi="Arial"/>
                <w:sz w:val="18"/>
              </w:rPr>
              <w:t>5.6</w:t>
            </w:r>
            <w:bookmarkEnd w:id="64"/>
            <w:bookmarkEnd w:id="6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66" w:name="_Toc176847875"/>
            <w:bookmarkStart w:id="67" w:name="_Toc176871581"/>
            <w:r>
              <w:rPr>
                <w:rFonts w:ascii="Arial" w:hAnsi="Arial"/>
                <w:b/>
                <w:color w:val="000000"/>
                <w:sz w:val="18"/>
              </w:rPr>
              <w:t xml:space="preserve">Ochrana proti zatekaniu a poškodeniu strechy. </w:t>
            </w:r>
            <w:r>
              <w:rPr>
                <w:rFonts w:ascii="Arial" w:hAnsi="Arial"/>
                <w:color w:val="000000"/>
                <w:sz w:val="18"/>
              </w:rPr>
              <w:t>V prípade potreby musí zhotoviteľ zabezpečiť strechu pred poškodením a zatekaním počas stavebných prác.</w:t>
            </w:r>
            <w:bookmarkEnd w:id="66"/>
            <w:bookmarkEnd w:id="67"/>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68" w:name="_Toc176847876"/>
            <w:bookmarkStart w:id="69" w:name="_Toc176871582"/>
            <w:r>
              <w:rPr>
                <w:rFonts w:ascii="Arial" w:hAnsi="Arial"/>
                <w:sz w:val="18"/>
              </w:rPr>
              <w:t>Zhotoviteľ môže v prípade potreby zabezpečiť ochranu chodníkov na streche ochrannou vrstvou. Úložné priestory na strechách možno chrániť podobným spôsobom. Nesmie sa prekročiť maximálna prípustná hmotnosť strechy, a to najmä v prípade úložných priestorov.</w:t>
            </w:r>
            <w:bookmarkEnd w:id="68"/>
            <w:bookmarkEnd w:id="69"/>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70" w:name="_Toc176847877"/>
            <w:bookmarkStart w:id="71" w:name="_Toc176871583"/>
            <w:r>
              <w:rPr>
                <w:rFonts w:ascii="Arial" w:hAnsi="Arial"/>
                <w:sz w:val="18"/>
              </w:rPr>
              <w:t>Kontrola podľa SCIOS Scope 12</w:t>
            </w:r>
            <w:bookmarkEnd w:id="70"/>
            <w:bookmarkEnd w:id="71"/>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72" w:name="_Toc176847878"/>
            <w:bookmarkStart w:id="73" w:name="_Toc176871584"/>
            <w:r>
              <w:rPr>
                <w:rFonts w:ascii="Arial" w:hAnsi="Arial"/>
                <w:color w:val="000000"/>
                <w:sz w:val="18"/>
              </w:rPr>
              <w:t>Náklady na opravy v prípade škôd alebo zatečenia spôsobených fotovoltickým zariadením alebo stavebnými prácami bude znášať zhotoviteľ.</w:t>
            </w:r>
            <w:bookmarkEnd w:id="72"/>
            <w:bookmarkEnd w:id="73"/>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74" w:name="_Toc176847879"/>
            <w:bookmarkStart w:id="75" w:name="_Toc176871585"/>
            <w:r>
              <w:rPr>
                <w:rFonts w:ascii="Arial" w:hAnsi="Arial"/>
                <w:sz w:val="18"/>
              </w:rPr>
              <w:t>5.7</w:t>
            </w:r>
            <w:bookmarkEnd w:id="74"/>
            <w:bookmarkEnd w:id="7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76" w:name="_Toc176847880"/>
            <w:bookmarkStart w:id="77" w:name="_Toc176871586"/>
            <w:r>
              <w:rPr>
                <w:rFonts w:ascii="Arial" w:hAnsi="Arial"/>
                <w:b/>
                <w:color w:val="000000"/>
                <w:sz w:val="18"/>
              </w:rPr>
              <w:t xml:space="preserve">Odtok. </w:t>
            </w:r>
            <w:r>
              <w:rPr>
                <w:rFonts w:ascii="Arial" w:hAnsi="Arial"/>
                <w:color w:val="000000"/>
                <w:sz w:val="18"/>
              </w:rPr>
              <w:t xml:space="preserve">Montážny materiál nesmie brániť odtoku vody zo strechy alebo fasády budovy spôsobom, pri ktorom by vznikali </w:t>
            </w:r>
            <w:r>
              <w:rPr>
                <w:rFonts w:ascii="Arial" w:hAnsi="Arial"/>
                <w:color w:val="000000"/>
                <w:sz w:val="18"/>
              </w:rPr>
              <w:lastRenderedPageBreak/>
              <w:t>mláky, ktoré by nevznikli, keby sa na danom mieste nenachádzal montážny materiál.</w:t>
            </w:r>
            <w:bookmarkEnd w:id="76"/>
            <w:bookmarkEnd w:id="7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78" w:name="_Toc176847881"/>
            <w:bookmarkStart w:id="79" w:name="_Toc176871587"/>
            <w:r>
              <w:rPr>
                <w:rFonts w:ascii="Arial" w:hAnsi="Arial"/>
                <w:sz w:val="18"/>
              </w:rPr>
              <w:t>Skontrolujte konštrukciu.</w:t>
            </w:r>
            <w:bookmarkEnd w:id="78"/>
            <w:bookmarkEnd w:id="7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80" w:name="_Toc176847882"/>
            <w:bookmarkStart w:id="81" w:name="_Toc176871588"/>
            <w:r>
              <w:rPr>
                <w:rFonts w:ascii="Arial" w:hAnsi="Arial"/>
                <w:b/>
                <w:color w:val="000000"/>
              </w:rPr>
              <w:t xml:space="preserve">Konštrukčné požiadavky </w:t>
            </w:r>
            <w:r>
              <w:rPr>
                <w:rFonts w:ascii="Arial" w:hAnsi="Arial"/>
                <w:b/>
                <w:color w:val="7030A0"/>
              </w:rPr>
              <w:t>v prípade fotovoltiky na ZEMI</w:t>
            </w:r>
            <w:bookmarkEnd w:id="80"/>
            <w:bookmarkEnd w:id="81"/>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82" w:name="_Toc176847883"/>
            <w:bookmarkStart w:id="83" w:name="_Toc176871589"/>
            <w:r>
              <w:rPr>
                <w:rFonts w:ascii="Arial" w:hAnsi="Arial"/>
                <w:sz w:val="18"/>
              </w:rPr>
              <w:t>5.8</w:t>
            </w:r>
            <w:bookmarkEnd w:id="82"/>
            <w:bookmarkEnd w:id="8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84" w:name="_Toc176847884"/>
            <w:bookmarkStart w:id="85" w:name="_Toc176871590"/>
            <w:r>
              <w:rPr>
                <w:rFonts w:ascii="Arial" w:hAnsi="Arial"/>
                <w:b/>
                <w:color w:val="000000"/>
                <w:sz w:val="18"/>
              </w:rPr>
              <w:t xml:space="preserve">Konštrukcia musí byť schopná odolávať očakávanému zaťaženiu. </w:t>
            </w:r>
            <w:r>
              <w:rPr>
                <w:rFonts w:ascii="Arial" w:hAnsi="Arial"/>
                <w:color w:val="000000"/>
                <w:sz w:val="18"/>
              </w:rPr>
              <w:t>Návrh konštrukcie a stavebný materiál musia spĺňať normy NEN 7250 a Eurokód 1 (EN 1991-1-4). Po zadaní zákazky, ale pred začiatkom inštalácie</w:t>
            </w:r>
            <w:bookmarkEnd w:id="84"/>
            <w:bookmarkEnd w:id="8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86" w:name="_Toc176847885"/>
            <w:bookmarkStart w:id="87" w:name="_Toc176871591"/>
            <w:r>
              <w:rPr>
                <w:rFonts w:ascii="Arial" w:hAnsi="Arial"/>
                <w:sz w:val="18"/>
              </w:rPr>
              <w:t>Dodávatelia strešných upevňovacích konštrukcií zvyčajne disponujú softvérom alebo webovou aplikáciou, ktoré slúžia na výpočet záťaže potrebnej na splnenie týchto noriem.</w:t>
            </w:r>
            <w:bookmarkEnd w:id="86"/>
            <w:bookmarkEnd w:id="87"/>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88" w:name="_Toc176847886"/>
            <w:bookmarkStart w:id="89" w:name="_Toc176871592"/>
            <w:r>
              <w:rPr>
                <w:rFonts w:ascii="Arial" w:hAnsi="Arial"/>
                <w:sz w:val="18"/>
              </w:rPr>
              <w:t>Správa o navrhovanej konštrukcii zo softvéru alebo webovej aplikácie dodávateľa upevňovacej konštrukcie, ktorá sa má predložiť zhotoviteľovi pred inštaláciou tejto konštrukcie.</w:t>
            </w:r>
            <w:bookmarkEnd w:id="88"/>
            <w:bookmarkEnd w:id="89"/>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90" w:name="_Toc176847887"/>
            <w:bookmarkStart w:id="91" w:name="_Toc176871593"/>
            <w:r>
              <w:rPr>
                <w:rFonts w:ascii="Arial" w:hAnsi="Arial"/>
                <w:sz w:val="18"/>
              </w:rPr>
              <w:t>5.9</w:t>
            </w:r>
            <w:bookmarkEnd w:id="90"/>
            <w:bookmarkEnd w:id="9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92" w:name="_Toc176847888"/>
            <w:bookmarkStart w:id="93" w:name="_Toc176871594"/>
            <w:r>
              <w:rPr>
                <w:rFonts w:ascii="Arial" w:hAnsi="Arial"/>
                <w:b/>
                <w:color w:val="000000"/>
                <w:sz w:val="18"/>
              </w:rPr>
              <w:t>Ochrana základov.</w:t>
            </w:r>
            <w:r>
              <w:rPr>
                <w:rFonts w:ascii="Arial" w:hAnsi="Arial"/>
                <w:color w:val="000000"/>
                <w:sz w:val="18"/>
              </w:rPr>
              <w:t xml:space="preserve"> Komponenty (napr. oceľové stĺpy) zahĺbené do pôdy sú chránené proti korózii, ktorú môže spôsobovať pH pôdy, a to tak, aby bolo možné zabezpečiť očakávanú životnosť najmenej 25 rokov.</w:t>
            </w:r>
            <w:bookmarkEnd w:id="92"/>
            <w:bookmarkEnd w:id="93"/>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94" w:name="_Toc176847889"/>
            <w:bookmarkStart w:id="95" w:name="_Toc176871595"/>
            <w:r>
              <w:rPr>
                <w:rFonts w:ascii="Arial" w:hAnsi="Arial"/>
                <w:b/>
                <w:color w:val="0070C0"/>
                <w:sz w:val="18"/>
              </w:rPr>
              <w:t>Hodnota pH pôdy je …</w:t>
            </w:r>
            <w:bookmarkEnd w:id="94"/>
            <w:bookmarkEnd w:id="9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96" w:name="_Toc176847890"/>
            <w:bookmarkStart w:id="97" w:name="_Toc176871596"/>
            <w:r>
              <w:rPr>
                <w:rFonts w:ascii="Arial" w:hAnsi="Arial"/>
                <w:sz w:val="18"/>
              </w:rPr>
              <w:t>Kyslosť pôdy odporúčame určiť v rámci prípravnej štúdie. Tým sa stanoví typ povrchovej úpravy, ktorá sa má použiť (napr. x μm ZnMg).</w:t>
            </w:r>
            <w:bookmarkEnd w:id="96"/>
            <w:bookmarkEnd w:id="97"/>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98" w:name="_Toc176847891"/>
            <w:bookmarkStart w:id="99" w:name="_Toc176871597"/>
            <w:r>
              <w:rPr>
                <w:rFonts w:ascii="Arial" w:hAnsi="Arial"/>
                <w:sz w:val="18"/>
              </w:rPr>
              <w:t>Kontrola podľa SCIOS Scope 12</w:t>
            </w:r>
            <w:bookmarkEnd w:id="98"/>
            <w:bookmarkEnd w:id="9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100" w:name="_Toc176847892"/>
            <w:bookmarkStart w:id="101" w:name="_Toc176871598"/>
            <w:r>
              <w:rPr>
                <w:rFonts w:ascii="Arial" w:hAnsi="Arial"/>
                <w:b/>
                <w:color w:val="000000"/>
              </w:rPr>
              <w:t xml:space="preserve">Konštrukčné požiadavky </w:t>
            </w:r>
            <w:r>
              <w:rPr>
                <w:rFonts w:ascii="Arial" w:hAnsi="Arial"/>
                <w:b/>
                <w:color w:val="00B0F0"/>
              </w:rPr>
              <w:t>v prípade fotovoltiky na VODE</w:t>
            </w:r>
            <w:bookmarkEnd w:id="100"/>
            <w:bookmarkEnd w:id="101"/>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102" w:name="_Toc176847893"/>
            <w:bookmarkStart w:id="103" w:name="_Toc176871599"/>
            <w:r>
              <w:rPr>
                <w:rFonts w:ascii="Arial" w:hAnsi="Arial"/>
                <w:b/>
                <w:color w:val="FF0000"/>
                <w:sz w:val="18"/>
              </w:rPr>
              <w:t xml:space="preserve">Upozornenie: Plávajúce fotovoltické konštrukcie predstavujú pomerne nový vývojový trend, a to aj na vnútrozemských vodných cestách. Normy a skúšobné postupy týkajúce sa zaťaženia vetrom a vlnami sú stále v štádiu prípravy. Kontaktujte konzorcium Zon op Water (slnečná energia na vode) na adrese: </w:t>
            </w:r>
            <w:hyperlink r:id="rId12" w:history="1">
              <w:r>
                <w:rPr>
                  <w:rStyle w:val="Hyperlink"/>
                  <w:rFonts w:ascii="Arial" w:hAnsi="Arial"/>
                  <w:b/>
                  <w:sz w:val="18"/>
                </w:rPr>
                <w:t>www.zonopwater.nl</w:t>
              </w:r>
            </w:hyperlink>
            <w:r>
              <w:t>.</w:t>
            </w:r>
            <w:bookmarkEnd w:id="102"/>
            <w:bookmarkEnd w:id="103"/>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104" w:name="_Toc176847894"/>
            <w:bookmarkStart w:id="105" w:name="_Toc176871600"/>
            <w:r>
              <w:rPr>
                <w:rFonts w:ascii="Arial" w:hAnsi="Arial"/>
                <w:sz w:val="18"/>
              </w:rPr>
              <w:t>5.10</w:t>
            </w:r>
            <w:bookmarkEnd w:id="104"/>
            <w:bookmarkEnd w:id="10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106" w:name="_Toc176847895"/>
            <w:bookmarkStart w:id="107" w:name="_Toc176871601"/>
            <w:r>
              <w:rPr>
                <w:rFonts w:ascii="Arial" w:hAnsi="Arial"/>
                <w:b/>
                <w:color w:val="000000"/>
                <w:sz w:val="18"/>
              </w:rPr>
              <w:t xml:space="preserve">Konštrukčné riešenia. </w:t>
            </w:r>
            <w:r>
              <w:rPr>
                <w:rFonts w:ascii="Arial" w:hAnsi="Arial"/>
                <w:color w:val="000000"/>
                <w:sz w:val="18"/>
              </w:rPr>
              <w:t>Návrh konštrukcie a stavebný materiál musia byť schopné odolávať príslušnému zaťaženiu vetrom.</w:t>
            </w:r>
            <w:bookmarkEnd w:id="106"/>
            <w:bookmarkEnd w:id="107"/>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108" w:name="_Toc176847896"/>
            <w:bookmarkStart w:id="109" w:name="_Toc176871602"/>
            <w:r>
              <w:rPr>
                <w:rFonts w:ascii="Arial" w:hAnsi="Arial"/>
                <w:b/>
                <w:color w:val="0070C0"/>
                <w:sz w:val="18"/>
              </w:rPr>
              <w:t>zatiaľ neurčené</w:t>
            </w:r>
            <w:bookmarkEnd w:id="108"/>
            <w:bookmarkEnd w:id="10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110" w:name="_Toc176847897"/>
            <w:bookmarkStart w:id="111" w:name="_Toc176871603"/>
            <w:r>
              <w:rPr>
                <w:rFonts w:ascii="Arial" w:hAnsi="Arial"/>
                <w:sz w:val="18"/>
              </w:rPr>
              <w:t>Normy sú stále v štádiu prípravy. O konštrukčných riešeniach sa rozhodne na základe konzultácií s technickým poradcom, a to do veľkej miery v závislosti od lokality.</w:t>
            </w:r>
            <w:bookmarkEnd w:id="110"/>
            <w:bookmarkEnd w:id="111"/>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112" w:name="_Toc176847898"/>
            <w:bookmarkStart w:id="113" w:name="_Toc176871604"/>
            <w:r>
              <w:rPr>
                <w:rFonts w:ascii="Arial" w:hAnsi="Arial"/>
                <w:sz w:val="18"/>
              </w:rPr>
              <w:lastRenderedPageBreak/>
              <w:t>5.11</w:t>
            </w:r>
            <w:bookmarkEnd w:id="112"/>
            <w:bookmarkEnd w:id="113"/>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114" w:name="_Toc176847899"/>
            <w:bookmarkStart w:id="115" w:name="_Toc176871605"/>
            <w:r>
              <w:rPr>
                <w:rFonts w:ascii="Arial" w:hAnsi="Arial"/>
                <w:b/>
                <w:color w:val="000000"/>
                <w:sz w:val="18"/>
              </w:rPr>
              <w:t xml:space="preserve">Konštrukčné riešenia. </w:t>
            </w:r>
            <w:r>
              <w:rPr>
                <w:rFonts w:ascii="Arial" w:hAnsi="Arial"/>
                <w:color w:val="000000"/>
                <w:sz w:val="18"/>
              </w:rPr>
              <w:t>Návrh konštrukcie, stavebný materiál a ukotvenie musia byť schopné odolávať príslušnému zaťaženiu vlnami.</w:t>
            </w:r>
            <w:bookmarkEnd w:id="114"/>
            <w:bookmarkEnd w:id="115"/>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116" w:name="_Toc176847900"/>
            <w:bookmarkStart w:id="117" w:name="_Toc176871606"/>
            <w:r>
              <w:rPr>
                <w:rFonts w:ascii="Arial" w:hAnsi="Arial"/>
                <w:b/>
                <w:color w:val="0070C0"/>
                <w:sz w:val="18"/>
              </w:rPr>
              <w:t>zatiaľ neurčené</w:t>
            </w:r>
            <w:bookmarkEnd w:id="116"/>
            <w:bookmarkEnd w:id="117"/>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118" w:name="_Toc176847901"/>
            <w:bookmarkStart w:id="119" w:name="_Toc176871607"/>
            <w:r>
              <w:rPr>
                <w:rFonts w:ascii="Arial" w:hAnsi="Arial"/>
                <w:sz w:val="18"/>
              </w:rPr>
              <w:t>Normy sú stále v štádiu prípravy. O konštrukčných riešeniach sa rozhodne na základe konzultácií s technickým poradcom, a to do veľkej miery v závislosti od lokality.</w:t>
            </w:r>
            <w:bookmarkEnd w:id="118"/>
            <w:bookmarkEnd w:id="119"/>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120" w:name="_Toc176847902"/>
            <w:bookmarkStart w:id="121" w:name="_Toc176871608"/>
            <w:r>
              <w:rPr>
                <w:rFonts w:ascii="Arial" w:hAnsi="Arial"/>
                <w:b/>
              </w:rPr>
              <w:t>Materiály</w:t>
            </w:r>
            <w:bookmarkEnd w:id="120"/>
            <w:bookmarkEnd w:id="121"/>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122" w:name="_Toc176847903"/>
            <w:bookmarkStart w:id="123" w:name="_Toc176871609"/>
            <w:r>
              <w:rPr>
                <w:rFonts w:ascii="Arial" w:hAnsi="Arial"/>
                <w:sz w:val="18"/>
              </w:rPr>
              <w:t>5.12</w:t>
            </w:r>
            <w:bookmarkEnd w:id="122"/>
            <w:bookmarkEnd w:id="12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124" w:name="_Toc176847904"/>
            <w:bookmarkStart w:id="125" w:name="_Toc176871610"/>
            <w:r>
              <w:rPr>
                <w:rFonts w:ascii="Arial" w:hAnsi="Arial"/>
                <w:b/>
                <w:sz w:val="18"/>
              </w:rPr>
              <w:t>Oceľové komponenty musia byť chránené proti korózii.</w:t>
            </w:r>
            <w:bookmarkEnd w:id="124"/>
            <w:bookmarkEnd w:id="12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126" w:name="_Toc176847905"/>
            <w:bookmarkStart w:id="127" w:name="_Toc176871611"/>
            <w:r>
              <w:rPr>
                <w:rFonts w:ascii="Arial" w:hAnsi="Arial"/>
                <w:sz w:val="18"/>
              </w:rPr>
              <w:t>5.13</w:t>
            </w:r>
            <w:bookmarkEnd w:id="126"/>
            <w:bookmarkEnd w:id="12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128" w:name="_Toc176847906"/>
            <w:bookmarkStart w:id="129" w:name="_Toc176871612"/>
            <w:r>
              <w:rPr>
                <w:rFonts w:ascii="Arial" w:hAnsi="Arial"/>
                <w:b/>
                <w:sz w:val="18"/>
              </w:rPr>
              <w:t>Spojovacie súčiastky musia spĺňať normu NEN-EN-ISO 10683.</w:t>
            </w:r>
            <w:bookmarkEnd w:id="128"/>
            <w:bookmarkEnd w:id="12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130" w:name="_Toc176847907"/>
            <w:bookmarkStart w:id="131" w:name="_Toc176871613"/>
            <w:r>
              <w:rPr>
                <w:rFonts w:ascii="Arial" w:hAnsi="Arial"/>
                <w:color w:val="000000"/>
                <w:sz w:val="18"/>
              </w:rPr>
              <w:t xml:space="preserve">NEN-EN-ISO 10683: </w:t>
            </w:r>
            <w:r>
              <w:rPr>
                <w:rFonts w:ascii="Arial" w:hAnsi="Arial"/>
                <w:i/>
                <w:color w:val="000000"/>
                <w:sz w:val="18"/>
              </w:rPr>
              <w:t>Spojovacie súčiastky. Neelektrolyticky nanášané povlaky zo zinkových mikrolamiel</w:t>
            </w:r>
            <w:bookmarkEnd w:id="130"/>
            <w:bookmarkEnd w:id="131"/>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132" w:name="_Toc176847908"/>
            <w:bookmarkStart w:id="133" w:name="_Toc176871614"/>
            <w:r>
              <w:rPr>
                <w:rFonts w:ascii="Arial" w:hAnsi="Arial"/>
                <w:sz w:val="18"/>
              </w:rPr>
              <w:t>5.14</w:t>
            </w:r>
            <w:bookmarkEnd w:id="132"/>
            <w:bookmarkEnd w:id="13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134" w:name="_Toc176847909"/>
            <w:bookmarkStart w:id="135" w:name="_Toc176871615"/>
            <w:r>
              <w:rPr>
                <w:rFonts w:ascii="Arial" w:hAnsi="Arial"/>
                <w:b/>
                <w:sz w:val="18"/>
              </w:rPr>
              <w:t>Materiály sa musia vyberať tak, aby nevznikali nepriaznivé účinky spôsobené rozdielnou ušľachtilosťou použitých kovov a materiálov.</w:t>
            </w:r>
            <w:bookmarkEnd w:id="134"/>
            <w:bookmarkEnd w:id="135"/>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136" w:name="_Toc176847910"/>
            <w:bookmarkStart w:id="137" w:name="_Toc176871616"/>
            <w:r>
              <w:rPr>
                <w:rFonts w:ascii="Arial" w:hAnsi="Arial"/>
                <w:sz w:val="18"/>
              </w:rPr>
              <w:t>Napríklad: Prítomnosť určitých oceľových zliatin, ktoré sú v priamom mechanickom kontakte s hliníkovými časťami, môže pri určitých hmotnostných pomeroch viesť ku galvanickej korózii.</w:t>
            </w:r>
            <w:bookmarkEnd w:id="136"/>
            <w:bookmarkEnd w:id="137"/>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138" w:name="_Toc176847911"/>
            <w:bookmarkStart w:id="139" w:name="_Toc176871617"/>
            <w:r>
              <w:rPr>
                <w:rFonts w:ascii="Arial" w:hAnsi="Arial"/>
                <w:sz w:val="18"/>
              </w:rPr>
              <w:t>5.15</w:t>
            </w:r>
            <w:bookmarkEnd w:id="138"/>
            <w:bookmarkEnd w:id="13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140" w:name="_Toc176847912"/>
            <w:bookmarkStart w:id="141" w:name="_Toc176871618"/>
            <w:r>
              <w:rPr>
                <w:rFonts w:ascii="Arial" w:hAnsi="Arial"/>
                <w:b/>
                <w:sz w:val="18"/>
              </w:rPr>
              <w:t>Pevnosť konštrukcie uvedená v norme NEN-EN 1990 musí byť dostatočná počas celého času používania.</w:t>
            </w:r>
            <w:bookmarkEnd w:id="140"/>
            <w:bookmarkEnd w:id="141"/>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142" w:name="_Toc176847913"/>
            <w:bookmarkStart w:id="143" w:name="_Toc176871619"/>
            <w:r>
              <w:rPr>
                <w:rFonts w:ascii="Arial" w:hAnsi="Arial"/>
                <w:color w:val="000000"/>
                <w:sz w:val="18"/>
              </w:rPr>
              <w:t xml:space="preserve">NEN-EN 1990: </w:t>
            </w:r>
            <w:r>
              <w:rPr>
                <w:rFonts w:ascii="Arial" w:hAnsi="Arial"/>
                <w:i/>
                <w:color w:val="000000"/>
                <w:sz w:val="18"/>
              </w:rPr>
              <w:t xml:space="preserve">Eurokód. Zásady navrhovania konštrukcií. </w:t>
            </w:r>
            <w:r>
              <w:rPr>
                <w:rFonts w:ascii="Arial" w:hAnsi="Arial"/>
                <w:color w:val="000000"/>
                <w:sz w:val="18"/>
              </w:rPr>
              <w:t>V tejto norme sa stanovujú základné požiadavky na bezpečnosť, používateľnosť a trvanlivosť konštrukcií. Opisujú sa v nej zásady navrhovania, výpočtov a overovania a uvádzajú sa pokyny pre súvisiace hľadiská spoľahlivosti konštrukcií.</w:t>
            </w:r>
            <w:bookmarkEnd w:id="142"/>
            <w:bookmarkEnd w:id="143"/>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xml:space="preserve">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144" w:name="_Toc176847914"/>
            <w:bookmarkStart w:id="145" w:name="_Toc176871620"/>
            <w:r>
              <w:rPr>
                <w:rFonts w:ascii="Arial" w:hAnsi="Arial"/>
                <w:b/>
                <w:color w:val="0070C0"/>
              </w:rPr>
              <w:t>Nepovinné</w:t>
            </w:r>
            <w:bookmarkEnd w:id="144"/>
            <w:bookmarkEnd w:id="145"/>
            <w:r>
              <w:rPr>
                <w:rFonts w:ascii="Arial" w:hAnsi="Arial"/>
                <w:b/>
                <w:sz w:val="18"/>
              </w:rPr>
              <w:t xml:space="preserve">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146" w:name="_Toc176847915"/>
            <w:bookmarkStart w:id="147" w:name="_Toc176871621"/>
            <w:r>
              <w:rPr>
                <w:rFonts w:ascii="Arial" w:hAnsi="Arial"/>
                <w:sz w:val="18"/>
              </w:rPr>
              <w:lastRenderedPageBreak/>
              <w:t>5.16</w:t>
            </w:r>
            <w:bookmarkEnd w:id="146"/>
            <w:bookmarkEnd w:id="147"/>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148" w:name="_Toc176847916"/>
            <w:bookmarkStart w:id="149" w:name="_Toc176871622"/>
            <w:r>
              <w:rPr>
                <w:rFonts w:ascii="Arial" w:hAnsi="Arial"/>
                <w:b/>
                <w:color w:val="000000"/>
                <w:sz w:val="18"/>
              </w:rPr>
              <w:t>Farba viditeľných častí upevňovacej konštrukcie</w:t>
            </w:r>
            <w:bookmarkEnd w:id="148"/>
            <w:bookmarkEnd w:id="14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150" w:name="_Toc176847917"/>
            <w:bookmarkStart w:id="151" w:name="_Toc176871623"/>
            <w:r>
              <w:rPr>
                <w:rFonts w:ascii="Arial" w:hAnsi="Arial"/>
                <w:b/>
                <w:sz w:val="18"/>
              </w:rPr>
              <w:t>?</w:t>
            </w:r>
            <w:bookmarkEnd w:id="150"/>
            <w:bookmarkEnd w:id="151"/>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152" w:name="_Toc176847918"/>
            <w:bookmarkStart w:id="153" w:name="_Toc176871624"/>
            <w:r>
              <w:rPr>
                <w:rFonts w:ascii="Arial" w:hAnsi="Arial"/>
                <w:sz w:val="18"/>
              </w:rPr>
              <w:t>Nepovinné v prípade montáže na šikmé strechy</w:t>
            </w:r>
            <w:bookmarkEnd w:id="152"/>
            <w:bookmarkEnd w:id="153"/>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154" w:name="_Toc176847919"/>
            <w:bookmarkStart w:id="155" w:name="_Toc176871625"/>
            <w:r>
              <w:rPr>
                <w:rFonts w:ascii="Arial" w:hAnsi="Arial"/>
                <w:sz w:val="18"/>
              </w:rPr>
              <w:t>5.17</w:t>
            </w:r>
            <w:bookmarkEnd w:id="154"/>
            <w:bookmarkEnd w:id="155"/>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156" w:name="_Toc176847920"/>
            <w:bookmarkStart w:id="157" w:name="_Toc176871626"/>
            <w:r>
              <w:rPr>
                <w:rFonts w:ascii="Arial" w:hAnsi="Arial"/>
                <w:b/>
                <w:sz w:val="18"/>
              </w:rPr>
              <w:t>Spojenia medzi komponentmi musia pomáhať pri predchádzaní krádeži.</w:t>
            </w:r>
            <w:bookmarkEnd w:id="156"/>
            <w:bookmarkEnd w:id="157"/>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158" w:name="_Toc176847921"/>
            <w:bookmarkStart w:id="159" w:name="_Toc176871627"/>
            <w:r>
              <w:rPr>
                <w:rFonts w:ascii="Arial" w:hAnsi="Arial"/>
                <w:b/>
                <w:sz w:val="18"/>
              </w:rPr>
              <w:t>?</w:t>
            </w:r>
            <w:bookmarkEnd w:id="158"/>
            <w:bookmarkEnd w:id="159"/>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160" w:name="_Toc176847922"/>
            <w:bookmarkStart w:id="161" w:name="_Toc176871628"/>
            <w:r>
              <w:rPr>
                <w:rFonts w:ascii="Arial" w:hAnsi="Arial"/>
                <w:color w:val="000000"/>
                <w:sz w:val="18"/>
              </w:rPr>
              <w:t>Nepovinné v prípade vzdialených lokalít: v záujme predchádzania krádežiam nesmie byť možné odpojenie spojení pomocou štandardných nástrojov.</w:t>
            </w:r>
            <w:bookmarkEnd w:id="160"/>
            <w:bookmarkEnd w:id="161"/>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xml:space="preserve">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48570F"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48570F"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48570F"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48570F"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48570F"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48570F"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48570F"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48570F">
      <w:pPr>
        <w:pStyle w:val="MH2"/>
      </w:pPr>
      <w:bookmarkStart w:id="162" w:name="_Toc177483296"/>
      <w:r>
        <w:t>10.6. – Požiadavky – Upevňovacia konštrukcia</w:t>
      </w:r>
      <w:bookmarkEnd w:id="162"/>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448"/>
        <w:gridCol w:w="2781"/>
        <w:gridCol w:w="1689"/>
        <w:gridCol w:w="255"/>
        <w:gridCol w:w="417"/>
        <w:gridCol w:w="691"/>
        <w:gridCol w:w="2165"/>
        <w:gridCol w:w="2112"/>
        <w:gridCol w:w="438"/>
        <w:gridCol w:w="1202"/>
        <w:gridCol w:w="839"/>
        <w:gridCol w:w="1001"/>
        <w:gridCol w:w="329"/>
        <w:gridCol w:w="221"/>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48570F">
            <w:pPr>
              <w:pStyle w:val="MH3"/>
            </w:pPr>
            <w:bookmarkStart w:id="163" w:name="_Toc177483297"/>
            <w:r>
              <w:t>Požiadavky – dokončenie prác, kontrolná prehliadka a kontroly</w:t>
            </w:r>
            <w:bookmarkEnd w:id="163"/>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xml:space="preserve">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xml:space="preserve">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Pokyny klienta</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xml:space="preserve">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xml:space="preserve">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xml:space="preserve">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xml:space="preserve">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Vzor požiadaviek a kritérií na vyhodnotenie ponúk na fotovoltické projekty</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xml:space="preserve">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xml:space="preserve">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Zmeňte žlté polia s modrým textom.</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xml:space="preserve">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xml:space="preserve">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xml:space="preserve">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xml:space="preserve">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Verzia: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xml:space="preserve">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xml:space="preserve">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Nepovinné požiadavky v ružových poliach: ak sa táto požiadavka nezahŕňa, odstráňte otáznik v stĺpci C. V opačnom prípade uveďte „áno“ alebo „1“. Následne sa odstráni číslo požiadavky a nasledujúce požiadavky sa automaticky prečíslujú.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Zdroj: Buyer Group voor Duurzame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xml:space="preserve">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xml:space="preserve">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Dodatočné požiadavky zadajte do prázdnych polí. V prípade vloženia dodatočných riadkov upravte vzorec pre automatické číslovanie v stĺpcoch A a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xml:space="preserve">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xml:space="preserve">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Spätná väzba/chyby/doplnenia: pošlite e-mail na adresu </w:t>
            </w:r>
            <w:hyperlink r:id="rId13" w:history="1">
              <w:r>
                <w:rPr>
                  <w:rStyle w:val="Hyperlink"/>
                  <w:rFonts w:ascii="Arial" w:hAnsi="Arial"/>
                  <w:color w:val="104D54"/>
                  <w:sz w:val="16"/>
                </w:rPr>
                <w:t>BGDPV@pianoo.nl</w:t>
              </w:r>
            </w:hyperlink>
          </w:p>
          <w:p w14:paraId="37FEE408" w14:textId="77777777" w:rsidR="00CE1B5F" w:rsidRPr="00CE1B5F" w:rsidRDefault="00CE1B5F" w:rsidP="001A0646">
            <w:pPr>
              <w:spacing w:line="240" w:lineRule="auto"/>
              <w:rPr>
                <w:rFonts w:ascii="Arial" w:hAnsi="Arial" w:cs="Arial"/>
                <w:color w:val="808080"/>
                <w:sz w:val="16"/>
                <w:szCs w:val="16"/>
                <w:lang w:val="en-US" w:eastAsia="en-GB"/>
              </w:rPr>
            </w:pPr>
          </w:p>
          <w:p w14:paraId="23F5E4D4" w14:textId="77777777" w:rsidR="00CE1B5F" w:rsidRPr="00CE1B5F" w:rsidRDefault="00CE1B5F" w:rsidP="001A0646">
            <w:pPr>
              <w:spacing w:line="240" w:lineRule="auto"/>
              <w:rPr>
                <w:rFonts w:ascii="Arial" w:hAnsi="Arial" w:cs="Arial"/>
                <w:color w:val="808080"/>
                <w:sz w:val="16"/>
                <w:szCs w:val="16"/>
                <w:lang w:val="en-US"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xml:space="preserve">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xml:space="preserve">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Po dokončení úprav skryte stĺpce D a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xml:space="preserve">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xml:space="preserve">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xml:space="preserve">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xml:space="preserve">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Identifikačné číslo</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Opis požiadavky</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Hodnota</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Zahrnúť požiadavku?</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Vysvetlenie pre klienta</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Vysvetlenie pre uchádzača</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Overovanie a validácia</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Následky nedostatočnej</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výkonnosti</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xml:space="preserve">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Správa o skončení prác</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Po dokončení sa musí vypracovať dokument o skončení prác </w:t>
            </w:r>
            <w:r>
              <w:rPr>
                <w:rFonts w:ascii="Arial" w:hAnsi="Arial"/>
                <w:b/>
                <w:color w:val="000000"/>
                <w:sz w:val="20"/>
                <w:u w:val="single"/>
              </w:rPr>
              <w:t>za každú lokalitu</w:t>
            </w:r>
            <w:r>
              <w:rPr>
                <w:rFonts w:ascii="Arial" w:hAnsi="Arial"/>
                <w:b/>
                <w:color w:val="000000"/>
                <w:sz w:val="20"/>
              </w:rPr>
              <w:t xml:space="preserve"> vo forme spisu „o skutočnom stave stavby“. Súbor musí obsahovať tieto informácie:</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Porovnajte správu o skončení prác s konštrukčným návrhom predloženým v minulosti.</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Opravte odchýlky od projektovanej hodnoty, ak to klient považuje za nevyhnutné.</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Názov a adresa areálu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Návod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Bezpečnostné pokyny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Výmer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Rozmiestnenie panelov, invertorov a reťazcov</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Schematické diagramy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Nosná konštrukcia</w:t>
            </w:r>
            <w:r>
              <w:rPr>
                <w:rFonts w:ascii="Arial" w:hAnsi="Arial"/>
                <w:color w:val="000000"/>
                <w:sz w:val="20"/>
              </w:rPr>
              <w:t>: technické špecifikácie, vyhlásenie o stabilite, záruky a certifikáty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Solárne panely</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Karta údajov s technickými špecifikáciami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Zjednodušené posudzovanie uhlíka vystavené laboratóriom Certisolis v súlade so špecifikáciami PPE2/CRE4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Záruka na produkt + záruka na výkon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Zoznam sériových čísel panelov + údaje zo skúšky zábleskom (krivka závislosti prúdu a napätia) ku každému sériovému číslu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Pokyny na montáž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V prípade použitia plastovej fólie na zadnej strane a v prípade, ak sa v karte údaje </w:t>
            </w:r>
            <w:r>
              <w:rPr>
                <w:rFonts w:ascii="Arial" w:hAnsi="Arial"/>
                <w:i/>
                <w:color w:val="000000"/>
                <w:sz w:val="20"/>
              </w:rPr>
              <w:t>neuvádzajú</w:t>
            </w:r>
            <w:r>
              <w:rPr>
                <w:rFonts w:ascii="Arial" w:hAnsi="Arial"/>
                <w:color w:val="000000"/>
                <w:sz w:val="20"/>
              </w:rPr>
              <w:t xml:space="preserve"> materiály použité na zadnej strane, sa vyžaduje osvedčenie o tom, že výrobok neobsahuje perfluóralkylované a polyfluóralkylované látky.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Osvedčenie o tom, že výrobok neobsahuje perfluóralkylované a polyfluóralkylované látky, je dokument, ktorý vypracúva a podpisuje výrobca a v ktorom sa uvádzajú materiály použité na zadnej strane a potvrdzuje sa, že zadná strana neobsahuje perfluóralkylované a polyfluóralkylované látky.</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Vykonáva technický poradca klienta</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Elektrická inštalácia, strana jednosmerného prúdu: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Výpočty týkajúce sa káblov</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Schematický diagram reťazca a kódy či značky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Technické špecifikácie kabeláže, konektorov a rozvodných skríň</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Certifikáty pre kabeláž a konektory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Elektrická inštalácia, strana striedavého prúdu: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Výpočty týkajúce sa káblov</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Schematické diagramy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Technické špecifikácie použitej ochrany na odpojenie od siete, relé, ističa, ochrany pred prepätím, spínačov, poistiek a kabeláže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Invertor/invertory: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Technické špecifikácie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Certifikáty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Záruky</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Návod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Sériové číslo s referenčným štítkom pre každý invertor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Údaje z monitorovania</w:t>
            </w:r>
            <w:r>
              <w:rPr>
                <w:rFonts w:ascii="Arial" w:hAnsi="Arial"/>
                <w:color w:val="000000"/>
                <w:sz w:val="20"/>
              </w:rPr>
              <w:t xml:space="preserve">; technické špecifikácie </w:t>
            </w:r>
            <w:r>
              <w:rPr>
                <w:rFonts w:ascii="Arial" w:hAnsi="Arial"/>
                <w:color w:val="000000"/>
                <w:sz w:val="20"/>
              </w:rPr>
              <w:lastRenderedPageBreak/>
              <w:t>systému záznamu údajov, prihlasovacie údaje a návod</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Záruky výnosnosti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Doklad o registrácii u prevádzkovateľa siete a meracej spoločnosti (Het Meetbedrijf).</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xml:space="preserve">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Kód EAN na dodávanie elektriny do siete</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xml:space="preserve">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Nepovinné: v prípade fotovoltických zariadení s výkonom vyšším než 1 MWp</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Zhotoviteľ musí prijať potvrdenie o predbežnom prevzatí (PAC) po kontrole podľa SCIOS Scope 12 a začať riešiť zoznam nezrovnalostí.</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xml:space="preserve">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V potvrdení o predbežnom prevzatí sa uvádza prehľad závažných a menej závažných nezrovnalostí zistených technickým poradcom a určujú sa prvky, ktoré treba zlepšiť pred konečným prevzatím.</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Správa podľa SCIOS Scope 12/technický poradca</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Zlepšenia musí zabezpečiť montážna firma/poskytovateľ garantovaných energetických služieb/staviteľ.</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Zhotoviteľ musí prijať všetky potrebné kroky na zabezpečenie vydania potvrdenia o konečnom prevzatí (FAC) v lehote … mesiacov od vydania potvrdenia o predbežnom prevzatí.</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v priebehu x mesiacov</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Potvrdenie o konečnom prevzatí je správa, v ktorej sa pri každom bode na zlepšenie uvedenom v potvrdení o predbežnom prevzatí uvádza, či toto zlepšenie bolo podľa vlastníka/technického poradcu dosiahnuté. To si vyžaduje: všetky body na zlepšenie uvedené v potvrdení o predbežnom prevzatí musia byť realizované; skutočný výkonový pomer za posledných 30 dní musí byť najmenej 98 % menovitého výkonového pomeru (PR</w:t>
            </w:r>
            <w:r>
              <w:rPr>
                <w:rFonts w:ascii="Arial" w:hAnsi="Arial"/>
                <w:color w:val="000000"/>
                <w:sz w:val="20"/>
                <w:vertAlign w:val="subscript"/>
              </w:rPr>
              <w:t>N</w:t>
            </w:r>
            <w:r>
              <w:rPr>
                <w:rFonts w:ascii="Arial" w:hAnsi="Arial"/>
                <w:color w:val="000000"/>
                <w:sz w:val="20"/>
              </w:rPr>
              <w:t xml:space="preserve">, pozri kritériá na vyhodnotenie ponúk); správa o skončení prác musí byť aktualizovaná dokumentáciou „o skutočnom stave stavby“.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Správa podľa SCIOS Scope 12/technický poradca</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lastRenderedPageBreak/>
              <w:t>Nepovinné: v prípade fotovoltických zariadení s výkonom vyšším než 10 MWp</w:t>
            </w:r>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Výberové skúšanie na overenie výkonu a kvality dodaných solárnych panelov.</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P_skúška &gt; 99 % P_výrobca. 2. Prijateľný stav.</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Zvyčajne len v prípade projektov s výkonom &gt; 10 MWp. Výberové skúšanie zahŕňa: 1. elektrický výkon panelov vo vzorke podľa nezávislej skúšky voltampérovej charakteristiky musí byť &gt; 99 % elektrického výkonu podľa výrobcu; 2. vzorky musia byť v prijateľnom stave (vizuálna kontrola, počet mikroprasklín zistených pomocou elektroluminiscenčnej skúšky atď.).</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Správa o údajoch týkajúcich sa voltampérovej charakteristiky a snímky fotovoltických modulov z elektroluminiscenčnej skúšky podľa normy ISO 2859, počet vzoriek stanovený podľa prípustnej úrovne kvality (AQL) S2 alebo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Musí schváliť technický poradca.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V prípade značne nedostatočnej výkonnosti (&gt; 1 %) sa musia dodať ďalšie panely, kým skutočný výkon jednosmerného prúdu nebude zodpovedať výkonu jednosmerného prúdu v ponuke, alebo sa musí uplatniť primeraná zľava na celkové náklady na projekt.</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Audit továrne</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Posúdenie: „dostatočný“</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Zvyčajne len v prípade fotovoltických projektov s výkonom &gt; 10 MWp. Náklady približne 3 000 – 7 000 EUR. V továrni, v ktorej sa vyrábajú moduly, sa musí vykonať kontrola pred začatím výroby panelov alebo v jej priebehu vrátane </w:t>
            </w:r>
            <w:r>
              <w:rPr>
                <w:rFonts w:ascii="Arial" w:hAnsi="Arial"/>
                <w:color w:val="000000"/>
                <w:sz w:val="20"/>
              </w:rPr>
              <w:lastRenderedPageBreak/>
              <w:t xml:space="preserve">kontrol kvality materiálov a výrobného procesu.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 xml:space="preserve">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48570F">
      <w:pPr>
        <w:pStyle w:val="MH2"/>
      </w:pPr>
      <w:bookmarkStart w:id="164" w:name="_Toc177483298"/>
      <w:r>
        <w:t>10.7. – Požiadavky – dokončenie prác, kontrolná prehliadka a kontroly</w:t>
      </w:r>
      <w:bookmarkEnd w:id="164"/>
    </w:p>
    <w:p w14:paraId="0F2202EE" w14:textId="77777777" w:rsidR="00DB3C55" w:rsidRPr="0048570F" w:rsidRDefault="00DB3C55" w:rsidP="003070E7">
      <w:pPr>
        <w:ind w:left="-720"/>
        <w:rPr>
          <w:b/>
          <w:bCs/>
          <w:color w:val="92D050"/>
          <w:lang w:val="el-GR"/>
        </w:rPr>
      </w:pPr>
    </w:p>
    <w:tbl>
      <w:tblPr>
        <w:tblW w:w="15689" w:type="dxa"/>
        <w:tblInd w:w="-810" w:type="dxa"/>
        <w:tblLook w:val="04A0" w:firstRow="1" w:lastRow="0" w:firstColumn="1" w:lastColumn="0" w:noHBand="0" w:noVBand="1"/>
      </w:tblPr>
      <w:tblGrid>
        <w:gridCol w:w="1561"/>
        <w:gridCol w:w="2753"/>
        <w:gridCol w:w="1826"/>
        <w:gridCol w:w="216"/>
        <w:gridCol w:w="223"/>
        <w:gridCol w:w="1047"/>
        <w:gridCol w:w="223"/>
        <w:gridCol w:w="216"/>
        <w:gridCol w:w="3358"/>
        <w:gridCol w:w="1717"/>
        <w:gridCol w:w="2313"/>
        <w:gridCol w:w="226"/>
        <w:gridCol w:w="10"/>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48570F">
            <w:pPr>
              <w:pStyle w:val="MH2"/>
            </w:pPr>
            <w:bookmarkStart w:id="165" w:name="_Toc177483299"/>
            <w:r>
              <w:t>Požiadavky – Údržba a monitorovanie</w:t>
            </w:r>
            <w:bookmarkEnd w:id="165"/>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Upozornenie: len v prípade, ak sa údržba a monitorovanie vyžadujú v zmluve/výzve na predkladanie ponúk</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xml:space="preserve">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Vzor požiadaviek a kritérií na vyhodnotenie ponúk na fotovoltické projekty</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Pokyny klienta</w:t>
            </w:r>
            <w:r>
              <w:rPr>
                <w:rFonts w:ascii="Arial" w:hAnsi="Arial"/>
                <w:color w:val="808080"/>
                <w:sz w:val="16"/>
              </w:rPr>
              <w:t xml:space="preserve"> </w:t>
            </w:r>
            <w:r>
              <w:t xml:space="preserve"> </w:t>
            </w:r>
            <w:r>
              <w:br/>
            </w:r>
            <w:r>
              <w:rPr>
                <w:rFonts w:ascii="Arial" w:hAnsi="Arial"/>
                <w:color w:val="808080"/>
                <w:sz w:val="16"/>
              </w:rPr>
              <w:t>1. Zmeňte žlté polia s modrým textom.</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xml:space="preserve">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Verzia: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Nepovinné požiadavky v ružových poliach: ak sa táto požiadavka nezahŕňa, odstráňte otáznik v stĺpci C. V opačnom prípade uveďte „áno“ alebo „1“. Následne sa odstráni číslo požiadavky a nasledujúce požiadavky sa automaticky prečíslujú.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Zdroj: Buyer Group voor Duurzame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Dodatočné požiadavky zadajte do prázdnych polí. V prípade vloženia dodatočných riadkov upravte vzorec pre automatické číslovanie v stĺpcoch A a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xml:space="preserve">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Spätná väzba/chyby/doplnenia: pošlite e-mail na adresu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Po dokončení úprav skryte stĺpce D a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xml:space="preserve">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Identifikačné číslo</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Opis</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Hodnota</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Zahrnúť požiadavku?</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Vysvetlenie pre klienta</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Overovanie a validácia</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Následky nedostatočnej výkonnosti</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Údržba a opravy</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Dostupnosť zariadenia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Systémy s výkonom &lt; 1 MWp: &gt; 98 %   Systémy s výkonom &gt; 1 MWp: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Určí sa na základe konzultácií s poradcom. Táto požiadavka nie je zahrnutá vždy. Dostupnosť zariadenia znamená, že projekt je v prevádzke 98 % alebo 99 % času, v ktorom svieti slnko. </w:t>
            </w:r>
            <w:r>
              <w:rPr>
                <w:rFonts w:ascii="Arial" w:hAnsi="Arial"/>
                <w:sz w:val="18"/>
              </w:rPr>
              <w:lastRenderedPageBreak/>
              <w:t xml:space="preserve">Prípadná údržba musí byť krátka a poruchy sa musia rýchlo odstrániť.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 xml:space="preserve">Prostredníctvom monitorovacieho systému alebo prostredníctvom hlásení </w:t>
            </w:r>
            <w:r>
              <w:rPr>
                <w:rFonts w:ascii="Arial" w:hAnsi="Arial"/>
                <w:sz w:val="18"/>
              </w:rPr>
              <w:lastRenderedPageBreak/>
              <w:t>z monitorovacieho systému.</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Nepovinné: Veľké systémy často obsahujú ustanovenie o sankciách.</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Nameraný výkonový pomer (PR</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počas jedného roka musí byť najmenej 97 % PR</w:t>
            </w:r>
            <w:r>
              <w:rPr>
                <w:rFonts w:ascii="Arial" w:hAnsi="Arial"/>
                <w:color w:val="000000"/>
                <w:sz w:val="18"/>
                <w:vertAlign w:val="subscript"/>
              </w:rPr>
              <w:t>N</w:t>
            </w:r>
            <w:r>
              <w:rPr>
                <w:rFonts w:ascii="Arial" w:hAnsi="Arial"/>
                <w:color w:val="000000"/>
                <w:sz w:val="18"/>
              </w:rPr>
              <w:t xml:space="preserve"> (menovitý PR podľa konštrukcie, pozri tabuľku 9 – Kritériá na vyhodnotenie ponúk).</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 Táto požiadavka nie je zahrnutá vždy. Hodnota PR</w:t>
            </w:r>
            <w:r>
              <w:rPr>
                <w:rFonts w:ascii="Arial" w:hAnsi="Arial"/>
                <w:sz w:val="18"/>
                <w:vertAlign w:val="subscript"/>
              </w:rPr>
              <w:t>M</w:t>
            </w:r>
            <w:r>
              <w:rPr>
                <w:rFonts w:ascii="Arial" w:hAnsi="Arial"/>
                <w:sz w:val="18"/>
              </w:rPr>
              <w:t xml:space="preserve"> sa určuje vydelením hodnoty energetického výkonu za jeden rok hodnotou inštalovaného fotovoltického výkonu (watt špičkového zaťaženia jednosmerného prúdu) a hodnotou skutočnej intenzity žiarenia na m</w:t>
            </w:r>
            <w:r>
              <w:rPr>
                <w:rFonts w:ascii="Arial" w:hAnsi="Arial"/>
                <w:sz w:val="18"/>
                <w:vertAlign w:val="superscript"/>
              </w:rPr>
              <w:t>2</w:t>
            </w:r>
            <w:r>
              <w:rPr>
                <w:rFonts w:ascii="Arial" w:hAnsi="Arial"/>
                <w:sz w:val="18"/>
              </w:rPr>
              <w:t xml:space="preserve"> počas uvedeného roka (napríklad podľa najbližšej meteorologickej stanice Holandského kráľovského meteorologického ústavu alebo podľa merača intenzity slnečného žiarenia na mieste).  Odchýlky väčšie než 3 % naznačujú problémy so zariadením.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t>Ročne prostredníctvom monitorovacieho systém alebo prostredníctvom ročných hlásení z monitorovacieho systému</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Nepovinné: Veľké systémy často obsahujú ustanovenie o sankciách, napr. 60 EUR za každú MWh strateného výstupného výkonu v porovnaní s výstupným výkonom, ktorý by sa dosiahol, keby PR</w:t>
            </w:r>
            <w:r>
              <w:rPr>
                <w:rFonts w:ascii="Arial" w:hAnsi="Arial"/>
                <w:color w:val="000000"/>
                <w:sz w:val="18"/>
                <w:vertAlign w:val="subscript"/>
              </w:rPr>
              <w:t>G</w:t>
            </w:r>
            <w:r>
              <w:rPr>
                <w:rFonts w:ascii="Arial" w:hAnsi="Arial"/>
                <w:color w:val="000000"/>
                <w:sz w:val="18"/>
              </w:rPr>
              <w:t> = 97 %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Plán kontrol a údržby</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v ktorom sa opisuje, akým spôsobom a ako často sa majú vykonávať kontroly a údržba.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Dohoda o úrovni opravárenskej údržby/servisu – A.</w:t>
            </w:r>
            <w:r>
              <w:rPr>
                <w:rFonts w:ascii="Arial" w:hAnsi="Arial"/>
                <w:color w:val="000000"/>
                <w:sz w:val="18"/>
              </w:rPr>
              <w:t xml:space="preserve"> V prípade poruchy transformátora, invertora alebo monitorovacieho systému: vyšetrite príčinu a navrhnite nápravné opatrenie v týchto lehotách:</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V prípade systémov s výkonom &gt; 1 MWp: 4 hodiny, v prípade systémov s výkonom &gt; 100 kW, &lt; 1 MWp: 24 hodín, v prípade systémov s výkonom &lt; 100 kW: 72 hodín.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Vopred: plán kontrol a údržby. Po roku 1: možné kontroly klienta týkajúce sa toho, či sa práce vykonali.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Dohoda o úrovni opravárenskej údržby/servisu – B.</w:t>
            </w:r>
            <w:r>
              <w:rPr>
                <w:rFonts w:ascii="Arial" w:hAnsi="Arial"/>
                <w:color w:val="000000"/>
                <w:sz w:val="18"/>
              </w:rPr>
              <w:t xml:space="preserve"> V prípade poruchy reťazca alebo viac než štyroch fotovoltických modulov vyšetrite príčinu a navrhnite </w:t>
            </w:r>
            <w:r>
              <w:rPr>
                <w:rFonts w:ascii="Arial" w:hAnsi="Arial"/>
                <w:color w:val="000000"/>
                <w:sz w:val="18"/>
              </w:rPr>
              <w:lastRenderedPageBreak/>
              <w:t xml:space="preserve">nápravné opatrenie v týchto lehotách: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 xml:space="preserve">V prípade systémov s výkonom &gt; 1 MWp: 24 hodín, v prípade systémov s výkonom &gt; 100 kW, &lt; 1 MWp: 72 hodín, v prípade </w:t>
            </w:r>
            <w:r>
              <w:rPr>
                <w:rFonts w:ascii="Arial" w:hAnsi="Arial"/>
                <w:b/>
                <w:color w:val="0070C0"/>
                <w:sz w:val="18"/>
              </w:rPr>
              <w:lastRenderedPageBreak/>
              <w:t>systémov s výkonom &lt; 100 kW: 1 týždeň.</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Vopred: plán kontrol a údržby. Po roku 1: možné kontroly klienta týkajúce sa toho, či sa práce vykonali.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Dohoda o úrovni opravárenskej údržby/servisu – C.</w:t>
            </w:r>
            <w:r>
              <w:rPr>
                <w:rFonts w:ascii="Arial" w:hAnsi="Arial"/>
                <w:color w:val="000000"/>
                <w:sz w:val="18"/>
              </w:rPr>
              <w:t xml:space="preserve"> V prípade poruchy jedného fotovoltického modulu vyšetrite príčinu a navrhnite nápravné opatrenie v týchto lehotách: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V prípade systémov s výkonom &gt; 1 MWp: 72 hodín, v prípade systémov s výkonom &gt; 100 kW, &lt; 1 MWp: 1 týždeň, v prípade systémov s výkonom &lt; 100 kW: 1 týždeň.</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Vopred: plán kontrol a údržby. Po roku 1: možné kontroly klienta týkajúce sa toho, či sa práce vykonali.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Preventívna údržba invertorov a v prípade potreby transformátora.</w:t>
            </w:r>
            <w:r>
              <w:rPr>
                <w:rFonts w:ascii="Arial" w:hAnsi="Arial"/>
                <w:color w:val="000000"/>
                <w:sz w:val="18"/>
              </w:rPr>
              <w:t xml:space="preserve"> Transformátor a invertory musia podstupovať preventívnu údržbu vyžadovanú výrobcom každý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rok/polrok.</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Vopred: plán kontrol a údržby. Po roku 1: možné kontroly klienta týkajúce sa toho, či sa práce vykonali.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Preventívna údržba solárnych panelov, káblov, konektorov, základne. </w:t>
            </w:r>
            <w:r>
              <w:rPr>
                <w:rFonts w:ascii="Arial" w:hAnsi="Arial"/>
                <w:color w:val="000000"/>
                <w:sz w:val="18"/>
              </w:rPr>
              <w:t xml:space="preserve">Formou vizuálnej kontroly a prípadných potrebných opráv/úprav na mieste, vykonávaná v rovnakej frekvencii ako preventívna údržba invertorov.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zatiaľ neurčené</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Vopred: plán kontrol a údržby. Po roku 1: možné kontroly klienta týkajúce sa toho, či sa práce vykonali.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Čistenie solárnych panelov. </w:t>
            </w:r>
            <w:r>
              <w:rPr>
                <w:rFonts w:ascii="Arial" w:hAnsi="Arial"/>
                <w:color w:val="000000"/>
                <w:sz w:val="18"/>
              </w:rPr>
              <w:t xml:space="preserve">Podľa vizuálnej kontroly a výkonového pomeru systému na základe rozhodnutia strany zodpovednej za údržbu a monitorovanie.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zatiaľ neurčené</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Určí sa na základe konzultácií s poradcom. V Holandsku zvyčajne býva dostatok zrážok, ktoré stačia na automatické umytie panelov, a náklady na čistenie často nestoja za dodatočný výnos. V prípade vytrvalej nečistoty však môže byť vhodné panely vyčistiť. Tieto nečistoty môžu byť výsledkom poveternostných podmienok, prítomnosti </w:t>
            </w:r>
            <w:r>
              <w:rPr>
                <w:rFonts w:ascii="Arial" w:hAnsi="Arial"/>
                <w:sz w:val="18"/>
              </w:rPr>
              <w:lastRenderedPageBreak/>
              <w:t>veľkého množstva vtákov v niektorých lokalitách, len mierneho sklonu panelov alebo toho, že nižšie položené články čiastočne pokrýva mach/riasy.</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 xml:space="preserve">Vopred: plán kontrol a údržby. Po roku 1: možné kontroly klienta týkajúce sa toho, či sa práce vykonali.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Údržba zelene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zatiaľ neurčené</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Určí sa na základe konzultácií s poradcom. Zeleň nesmie za normálnych okolnosti prečnievať nad moduly ani prekážať riadnemu fungovaniu panelov.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Vopred: plán kontrol a údržby. Po roku 1: možné kontroly klienta týkajúce sa toho, či sa práce vykonali.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Správa nárokov na uplatnenie záruky</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zatiaľ neurčené</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v ktorom sa opisuje, kto nesie zodpovednosť v prípade poruchy panela alebo invertora, ako aj postup vznesenia nároku.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Monitorovanie</w:t>
            </w:r>
            <w:r>
              <w:rPr>
                <w:rFonts w:ascii="Arial" w:hAnsi="Arial"/>
                <w:color w:val="000000"/>
              </w:rPr>
              <w:t xml:space="preserve">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Výkonnosť fotovoltických panelov (kWh na jednotku času) musí byť merateľná monitorovacím systémom na úrovni reťazcov.</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xml:space="preserve">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Zariadenie využívajúce slnečnú energiu musí byť vybavené monitorovacím systémom, ktorý umožňuje nepretržitý diaľkový odpočet systému pomocou (bezdrôtového) prepojenia.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xml:space="preserve">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xml:space="preserve">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V každom prípade monitorovacia platforma musí zobrazovať tieto hodnoty: </w:t>
            </w:r>
            <w:r>
              <w:t xml:space="preserve"> </w:t>
            </w:r>
            <w:r>
              <w:br/>
            </w:r>
            <w:r>
              <w:rPr>
                <w:rFonts w:ascii="Arial" w:hAnsi="Arial"/>
                <w:b/>
                <w:sz w:val="18"/>
              </w:rPr>
              <w:t>– hodnoty výroby v reálnom čase v kWh/invertor,</w:t>
            </w:r>
            <w:r>
              <w:t xml:space="preserve"> </w:t>
            </w:r>
            <w:r>
              <w:br/>
            </w:r>
            <w:r>
              <w:rPr>
                <w:rFonts w:ascii="Arial" w:hAnsi="Arial"/>
                <w:b/>
                <w:sz w:val="18"/>
              </w:rPr>
              <w:t xml:space="preserve">– celkovú výrobu v kWh všetkých invertorov, </w:t>
            </w:r>
            <w:r>
              <w:t xml:space="preserve"> </w:t>
            </w:r>
            <w:r>
              <w:br/>
            </w:r>
            <w:r>
              <w:rPr>
                <w:rFonts w:ascii="Arial" w:hAnsi="Arial"/>
                <w:b/>
                <w:sz w:val="18"/>
              </w:rPr>
              <w:t>– celkový výstupný výkon striedavého prúdu vo wattoch za všetky invertory,</w:t>
            </w:r>
            <w:r>
              <w:t xml:space="preserve"> </w:t>
            </w:r>
            <w:r>
              <w:br/>
            </w:r>
            <w:r>
              <w:rPr>
                <w:rFonts w:ascii="Arial" w:hAnsi="Arial"/>
                <w:b/>
                <w:sz w:val="18"/>
              </w:rPr>
              <w:t>– napätie jednosmerného prúdu vo voltoch/invertor,</w:t>
            </w:r>
            <w:r>
              <w:t xml:space="preserve"> </w:t>
            </w:r>
            <w:r>
              <w:br/>
            </w:r>
            <w:r>
              <w:rPr>
                <w:rFonts w:ascii="Arial" w:hAnsi="Arial"/>
                <w:b/>
                <w:sz w:val="18"/>
              </w:rPr>
              <w:t>– jednosmerný prúd v ampéroch/invertor,</w:t>
            </w:r>
            <w:r>
              <w:t xml:space="preserve"> </w:t>
            </w:r>
            <w:r>
              <w:br/>
            </w:r>
            <w:r>
              <w:rPr>
                <w:rFonts w:ascii="Arial" w:hAnsi="Arial"/>
                <w:b/>
                <w:sz w:val="18"/>
              </w:rPr>
              <w:t>– výkon jednosmerného prúdu vo wattoch/invertor,</w:t>
            </w:r>
            <w:r>
              <w:t xml:space="preserve"> </w:t>
            </w:r>
            <w:r>
              <w:br/>
            </w:r>
            <w:r>
              <w:rPr>
                <w:rFonts w:ascii="Arial" w:hAnsi="Arial"/>
                <w:b/>
                <w:sz w:val="18"/>
              </w:rPr>
              <w:t>– napätie striedavého prúdu na fázu/invertor,</w:t>
            </w:r>
            <w:r>
              <w:t xml:space="preserve"> </w:t>
            </w:r>
            <w:r>
              <w:br/>
            </w:r>
            <w:r>
              <w:rPr>
                <w:rFonts w:ascii="Arial" w:hAnsi="Arial"/>
                <w:b/>
                <w:sz w:val="18"/>
              </w:rPr>
              <w:t>– striedavý prúd na fázu/invertor,</w:t>
            </w:r>
            <w:r>
              <w:t xml:space="preserve"> </w:t>
            </w:r>
            <w:r>
              <w:br/>
            </w:r>
            <w:r>
              <w:rPr>
                <w:rFonts w:ascii="Arial" w:hAnsi="Arial"/>
                <w:b/>
                <w:sz w:val="18"/>
              </w:rPr>
              <w:t>– stav prevádzky/invertor,</w:t>
            </w:r>
            <w:r>
              <w:t xml:space="preserve"> </w:t>
            </w:r>
            <w:r>
              <w:br/>
            </w:r>
            <w:r>
              <w:rPr>
                <w:rFonts w:ascii="Arial" w:hAnsi="Arial"/>
                <w:b/>
                <w:sz w:val="18"/>
              </w:rPr>
              <w:t xml:space="preserve">– poruchy invertora, </w:t>
            </w:r>
            <w:r>
              <w:t xml:space="preserve"> </w:t>
            </w:r>
            <w:r>
              <w:br/>
            </w:r>
            <w:r>
              <w:rPr>
                <w:rFonts w:ascii="Arial" w:hAnsi="Arial"/>
                <w:b/>
                <w:sz w:val="18"/>
              </w:rPr>
              <w:t xml:space="preserve">– straty spojenia, </w:t>
            </w:r>
            <w:r>
              <w:t xml:space="preserve"> </w:t>
            </w:r>
            <w:r>
              <w:br/>
            </w:r>
            <w:r>
              <w:rPr>
                <w:rFonts w:ascii="Arial" w:hAnsi="Arial"/>
                <w:b/>
                <w:sz w:val="18"/>
              </w:rPr>
              <w:t xml:space="preserve">– realizované hodnoty v pomere k očakávaným hodnotám.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xml:space="preserve">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Dostupnosť monitorovacieho systému musí byť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xml:space="preserve">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Nepovinné</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Správy o stave obsahujúce údaje z monitorovacieho systému za predchádzajúci mesiac sa musia zasielať do 15 dní po konci mesiaca.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xml:space="preserve">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Spoločnosť zodpovedná za údržbu a monitorovanie musí mať prax a v minulosti musela spravovať minimálny počet fotovoltických zariadení:</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MWp</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xml:space="preserve">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Spoločnosť zodpovedná za údržbu a monitorovanie musí mať dobré výsledky</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priemer &gt; 95 GPR a dostupnosť &gt; 98 % za posledné dva roky</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Určí sa na základe konzultácií s poradcom.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48570F" w:rsidRDefault="003070E7" w:rsidP="003339C0">
      <w:pPr>
        <w:rPr>
          <w:b/>
          <w:bCs/>
          <w:color w:val="92D050"/>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48570F" w:rsidRDefault="003070E7" w:rsidP="003339C0">
      <w:pPr>
        <w:rPr>
          <w:b/>
          <w:bCs/>
          <w:color w:val="92D050"/>
        </w:rPr>
      </w:pPr>
    </w:p>
    <w:p w14:paraId="1D71BBAC" w14:textId="10712AB3" w:rsidR="003070E7" w:rsidRPr="0048570F" w:rsidRDefault="003070E7" w:rsidP="003339C0">
      <w:pPr>
        <w:rPr>
          <w:b/>
          <w:bCs/>
          <w:color w:val="92D050"/>
        </w:rPr>
      </w:pPr>
    </w:p>
    <w:p w14:paraId="4C3F6BB7" w14:textId="5F688E32" w:rsidR="003070E7" w:rsidRPr="0048570F" w:rsidRDefault="003070E7" w:rsidP="003339C0">
      <w:pPr>
        <w:rPr>
          <w:b/>
          <w:bCs/>
          <w:color w:val="92D050"/>
        </w:rPr>
      </w:pPr>
    </w:p>
    <w:p w14:paraId="61DAB9FF" w14:textId="6AB8FB56" w:rsidR="00343E75" w:rsidRPr="0048570F" w:rsidRDefault="00343E75" w:rsidP="003339C0">
      <w:pPr>
        <w:rPr>
          <w:b/>
          <w:bCs/>
          <w:color w:val="92D050"/>
        </w:rPr>
      </w:pPr>
    </w:p>
    <w:p w14:paraId="67F1A444" w14:textId="7D15F93D" w:rsidR="00343E75" w:rsidRPr="0048570F" w:rsidRDefault="00343E75" w:rsidP="003339C0">
      <w:pPr>
        <w:rPr>
          <w:b/>
          <w:bCs/>
          <w:color w:val="92D050"/>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48570F" w:rsidRDefault="00343E75" w:rsidP="003339C0">
      <w:pPr>
        <w:rPr>
          <w:b/>
          <w:bCs/>
          <w:color w:val="92D050"/>
        </w:rPr>
      </w:pPr>
    </w:p>
    <w:p w14:paraId="450BA66A" w14:textId="31599682" w:rsidR="00343E75" w:rsidRPr="0048570F" w:rsidRDefault="00343E75" w:rsidP="003339C0">
      <w:pPr>
        <w:rPr>
          <w:b/>
          <w:bCs/>
          <w:color w:val="92D050"/>
        </w:rPr>
      </w:pPr>
    </w:p>
    <w:p w14:paraId="638A39F7" w14:textId="45E7D93E" w:rsidR="00343E75" w:rsidRPr="0048570F" w:rsidRDefault="00343E75" w:rsidP="003339C0">
      <w:pPr>
        <w:rPr>
          <w:b/>
          <w:bCs/>
          <w:color w:val="92D050"/>
        </w:rPr>
      </w:pPr>
    </w:p>
    <w:p w14:paraId="2180D07C" w14:textId="77777777" w:rsidR="00343E75" w:rsidRPr="0048570F" w:rsidRDefault="00343E75" w:rsidP="003339C0">
      <w:pPr>
        <w:rPr>
          <w:b/>
          <w:bCs/>
          <w:color w:val="92D050"/>
        </w:rPr>
      </w:pPr>
    </w:p>
    <w:p w14:paraId="33514DCD" w14:textId="75FFDC4B" w:rsidR="00343E75" w:rsidRPr="0048570F" w:rsidRDefault="00343E75" w:rsidP="003339C0">
      <w:pPr>
        <w:rPr>
          <w:b/>
          <w:bCs/>
          <w:color w:val="92D050"/>
        </w:rPr>
      </w:pPr>
    </w:p>
    <w:p w14:paraId="30E6402C" w14:textId="77777777" w:rsidR="00343E75" w:rsidRPr="0048570F" w:rsidRDefault="00343E75" w:rsidP="003339C0">
      <w:pPr>
        <w:rPr>
          <w:b/>
          <w:bCs/>
          <w:color w:val="92D050"/>
        </w:rPr>
      </w:pPr>
    </w:p>
    <w:p w14:paraId="755E4515" w14:textId="3B74B7A9" w:rsidR="00343E75" w:rsidRPr="0048570F" w:rsidRDefault="00343E75" w:rsidP="003339C0">
      <w:pPr>
        <w:rPr>
          <w:b/>
          <w:bCs/>
          <w:color w:val="92D050"/>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48570F" w:rsidRDefault="00343E75" w:rsidP="003339C0">
      <w:pPr>
        <w:rPr>
          <w:b/>
          <w:bCs/>
          <w:color w:val="92D050"/>
        </w:rPr>
      </w:pPr>
    </w:p>
    <w:p w14:paraId="7CEB30B2" w14:textId="569667EF" w:rsidR="00343E75" w:rsidRPr="0048570F" w:rsidRDefault="00343E75" w:rsidP="003339C0">
      <w:pPr>
        <w:rPr>
          <w:b/>
          <w:bCs/>
          <w:color w:val="92D050"/>
        </w:rPr>
      </w:pPr>
    </w:p>
    <w:p w14:paraId="60444455" w14:textId="0ADE5594" w:rsidR="00343E75" w:rsidRPr="0048570F" w:rsidRDefault="00343E75" w:rsidP="003339C0">
      <w:pPr>
        <w:rPr>
          <w:b/>
          <w:bCs/>
          <w:color w:val="92D050"/>
        </w:rPr>
      </w:pPr>
    </w:p>
    <w:p w14:paraId="6819D09B" w14:textId="0E85C58B" w:rsidR="003070E7" w:rsidRDefault="00A11B94" w:rsidP="003339C0">
      <w:pPr>
        <w:rPr>
          <w:b/>
          <w:bCs/>
          <w:color w:val="92D050"/>
        </w:rPr>
      </w:pPr>
      <w:r>
        <w:rPr>
          <w:noProof/>
          <w:color w:val="92D050"/>
          <w:sz w:val="40"/>
        </w:rPr>
        <w:lastRenderedPageBreak/>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48570F">
      <w:pPr>
        <w:pStyle w:val="MH2"/>
      </w:pPr>
      <w:bookmarkStart w:id="166" w:name="_Toc177483300"/>
      <w:r>
        <w:t>10.8. – Požiadavky – Údržba a monitorovanie</w:t>
      </w:r>
      <w:bookmarkEnd w:id="166"/>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48570F">
            <w:pPr>
              <w:pStyle w:val="MH3"/>
            </w:pPr>
            <w:bookmarkStart w:id="167" w:name="_Toc177483301"/>
            <w:r>
              <w:t>Požiadavky – Ekológia a biodiverzita</w:t>
            </w:r>
            <w:bookmarkEnd w:id="167"/>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Pokyny klienta</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Vzor požiadaviek a kritérií na vyhodnotenie ponúk na fotovoltické projekty</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Zmeňte žlté polia s modrým textom.</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Verzia: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Nepovinné požiadavky v ružových poliach: ak sa táto požiadavka nezahŕňa, odstráňte otáznik v stĺpci C. V opačnom prípade uveďte „áno“ alebo „1“. Následne sa odstráni číslo požiadavky a nasledujúce požiadavky sa automaticky prečíslujú.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Zdroj: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Dodatočné požiadavky zadajte do prázdnych polí. V prípade vloženia dodatočných riadkov upravte vzorec pre automatické číslovanie v stĺpcoch A a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Spätná väzba/chyby/doplnenia: pošlite e-mail na adresu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xml:space="preserve">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Po dokončení úprav skryte stĺpce D a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xml:space="preserve">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Identifikačné číslo</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Opis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Zahrnúť požiadavku?</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Vysvetlenie</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Overovanie a validácia</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Následky nedostatočnej výkonnosti</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POĽNÉ SYSTÉMY/SLNEČNÁ ENERGIA NA ZEMI</w:t>
            </w:r>
            <w:r>
              <w:rPr>
                <w:rFonts w:ascii="Arial" w:hAnsi="Arial"/>
                <w:b/>
                <w:sz w:val="18"/>
              </w:rPr>
              <w:t xml:space="preserve">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Dostatočná intenzita slnečného žiarenia dopadajúceho na pôdu; pomer pokrytia zeme (GCR). </w:t>
            </w:r>
            <w:r>
              <w:rPr>
                <w:rFonts w:ascii="Arial" w:hAnsi="Arial"/>
                <w:color w:val="000000"/>
                <w:sz w:val="18"/>
              </w:rPr>
              <w:t>V záujme dostatočného pôdneho života by pomer pokrytia zeme mal byť menší než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xml:space="preserve">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Pomer pokrytia zeme je plocha premietnutá na zem solárnymi panelmi v pomere k ploche, ktorú pokrývajú rady solárnych panelov.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xml:space="preserve">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xml:space="preserve">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Dostatočná závlaha podložia; orientácia panelov na šírku a vzdialenosť medzi nimi &gt; 2 cm.</w:t>
            </w:r>
            <w:r>
              <w:rPr>
                <w:rFonts w:ascii="Arial" w:hAnsi="Arial"/>
                <w:color w:val="000000"/>
                <w:sz w:val="18"/>
              </w:rPr>
              <w:t xml:space="preserve"> Medzi susednými panelmi na kratšej alebo dlhšej strane sa musí ponechať medzera aspoň 2 cm, aby na pôdu mohla dopadať dažďová voda z veľkej časti bez prekážky.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xml:space="preserve">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xml:space="preserve">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xml:space="preserve">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lastRenderedPageBreak/>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Fotovoltické zariadenie musí vyhovieť pôdnemu testu organizácie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Odporúča sa zahrnúť tento test v prípade fotovoltických zariadení s výkonom nad 2 MWp.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xml:space="preserve">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xml:space="preserve">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PLÁVAJÚCE FOTOVOLTICKÉ SYSTÉMY/SLNEČNÁ ENERGIA NA VODE</w:t>
            </w:r>
            <w:r>
              <w:rPr>
                <w:rFonts w:ascii="Arial" w:hAnsi="Arial"/>
                <w:b/>
                <w:sz w:val="18"/>
              </w:rPr>
              <w:t xml:space="preserve">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Upozornenie: V prípade zariadení slnečnej energie na vode existuje viacero požiadaviek týkajúcich sa konkrétnych projektov a lokalít, ktoré sa musia určiť najprv v spolupráci s vodohospodárskym orgánom.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Nesmú sa používať vylúhovateľné materiály.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xml:space="preserve">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V súvislosti s rámcovou smernicou o vode musia byť vody v dobrom stave z hľadiska ich chemického zloženia a ekológie. Lúhovanie určitých látok môže spôsobovať problémy súvisiace s chemickým zložením vôd.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xml:space="preserve">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xml:space="preserve">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Pomer pokrytia vodnej plochy najviac:</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Upozornenie: Vodohospodársky orgán určuje maximálny pomer pokrytia zvyčajne v spolupráci s odborníkom v oblasti ekológie.</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xml:space="preserve">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xml:space="preserve"> </w:t>
            </w:r>
          </w:p>
        </w:tc>
      </w:tr>
    </w:tbl>
    <w:p w14:paraId="5D80F038" w14:textId="77777777" w:rsidR="00A92923" w:rsidRPr="0048570F" w:rsidRDefault="00A92923" w:rsidP="00DB3C55">
      <w:pPr>
        <w:ind w:left="-900"/>
        <w:rPr>
          <w:b/>
          <w:bCs/>
          <w:color w:val="92D050"/>
        </w:rPr>
      </w:pPr>
    </w:p>
    <w:p w14:paraId="4914BD13" w14:textId="77777777" w:rsidR="00A92923" w:rsidRPr="0048570F"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48570F"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48570F" w:rsidRDefault="00A92923" w:rsidP="00DB3C55">
      <w:pPr>
        <w:ind w:left="-900"/>
        <w:rPr>
          <w:b/>
          <w:bCs/>
          <w:color w:val="92D050"/>
        </w:rPr>
      </w:pPr>
    </w:p>
    <w:p w14:paraId="68EDDFCF" w14:textId="5C96501B" w:rsidR="00A92923" w:rsidRPr="0048570F" w:rsidRDefault="00A92923" w:rsidP="00DB3C55">
      <w:pPr>
        <w:ind w:left="-900"/>
        <w:rPr>
          <w:b/>
          <w:bCs/>
          <w:color w:val="92D050"/>
        </w:rPr>
      </w:pPr>
    </w:p>
    <w:p w14:paraId="6098F31E" w14:textId="3C7AE79D" w:rsidR="00A92923" w:rsidRPr="0048570F"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48570F" w:rsidRDefault="00A92923" w:rsidP="00DB3C55">
      <w:pPr>
        <w:ind w:left="-900"/>
        <w:rPr>
          <w:b/>
          <w:bCs/>
          <w:color w:val="92D050"/>
        </w:rPr>
      </w:pPr>
    </w:p>
    <w:p w14:paraId="4A921ED9" w14:textId="3C383FFE" w:rsidR="00A92923" w:rsidRPr="0048570F" w:rsidRDefault="00A92923" w:rsidP="00DB3C55">
      <w:pPr>
        <w:ind w:left="-900"/>
        <w:rPr>
          <w:b/>
          <w:bCs/>
          <w:color w:val="92D050"/>
        </w:rPr>
      </w:pPr>
    </w:p>
    <w:p w14:paraId="03B20077" w14:textId="77777777" w:rsidR="00A92923" w:rsidRPr="0048570F" w:rsidRDefault="00A92923" w:rsidP="00DB3C55">
      <w:pPr>
        <w:ind w:left="-900"/>
        <w:rPr>
          <w:b/>
          <w:bCs/>
          <w:color w:val="92D050"/>
        </w:rPr>
      </w:pPr>
    </w:p>
    <w:p w14:paraId="4D59C320" w14:textId="42D95209" w:rsidR="00A92923" w:rsidRPr="0048570F" w:rsidRDefault="00A92923" w:rsidP="00DB3C55">
      <w:pPr>
        <w:ind w:left="-900"/>
        <w:rPr>
          <w:b/>
          <w:bCs/>
          <w:color w:val="92D050"/>
        </w:rPr>
      </w:pPr>
    </w:p>
    <w:p w14:paraId="0CB8CFEE" w14:textId="77F1B3CF" w:rsidR="00A92923" w:rsidRPr="0048570F"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48570F" w:rsidRDefault="00A92923" w:rsidP="00DB3C55">
      <w:pPr>
        <w:ind w:left="-900"/>
        <w:rPr>
          <w:b/>
          <w:bCs/>
          <w:color w:val="92D050"/>
        </w:rPr>
      </w:pPr>
    </w:p>
    <w:p w14:paraId="3A56A566" w14:textId="77777777" w:rsidR="00A92923" w:rsidRPr="0048570F" w:rsidRDefault="00A92923" w:rsidP="00DB3C55">
      <w:pPr>
        <w:ind w:left="-900"/>
        <w:rPr>
          <w:b/>
          <w:bCs/>
          <w:color w:val="92D050"/>
        </w:rPr>
      </w:pPr>
    </w:p>
    <w:p w14:paraId="030121B8" w14:textId="18101FDD" w:rsidR="00A92923" w:rsidRPr="0048570F" w:rsidRDefault="00A92923" w:rsidP="00DB3C55">
      <w:pPr>
        <w:ind w:left="-900"/>
        <w:rPr>
          <w:b/>
          <w:bCs/>
          <w:color w:val="92D050"/>
        </w:rPr>
      </w:pPr>
    </w:p>
    <w:p w14:paraId="44A343D9" w14:textId="4CF70060" w:rsidR="00A92923" w:rsidRPr="0048570F" w:rsidRDefault="00A92923" w:rsidP="00DB3C55">
      <w:pPr>
        <w:ind w:left="-900"/>
        <w:rPr>
          <w:b/>
          <w:bCs/>
          <w:color w:val="92D050"/>
        </w:rPr>
      </w:pPr>
    </w:p>
    <w:p w14:paraId="22D17B6A" w14:textId="77777777" w:rsidR="00A92923" w:rsidRPr="0048570F" w:rsidRDefault="00A92923" w:rsidP="00DB3C55">
      <w:pPr>
        <w:ind w:left="-900"/>
        <w:rPr>
          <w:b/>
          <w:bCs/>
          <w:color w:val="92D050"/>
        </w:rPr>
      </w:pPr>
    </w:p>
    <w:p w14:paraId="078AA046" w14:textId="1A48CA1E" w:rsidR="00086957" w:rsidRPr="00FF29AA" w:rsidRDefault="00DB3C55" w:rsidP="0048570F">
      <w:pPr>
        <w:pStyle w:val="MH2"/>
      </w:pPr>
      <w:bookmarkStart w:id="168" w:name="_Toc177483302"/>
      <w:r>
        <w:t>10.9. – Požiadavky – Ekológia a biodiverzita</w:t>
      </w:r>
      <w:bookmarkEnd w:id="168"/>
    </w:p>
    <w:p w14:paraId="0906D6B2" w14:textId="77777777" w:rsidR="00086957" w:rsidRPr="0048570F" w:rsidRDefault="00086957" w:rsidP="003339C0">
      <w:pPr>
        <w:rPr>
          <w:b/>
          <w:bCs/>
          <w:color w:val="92D050"/>
          <w:sz w:val="10"/>
          <w:szCs w:val="10"/>
        </w:rPr>
      </w:pPr>
    </w:p>
    <w:p w14:paraId="1500325A" w14:textId="5ABC6634" w:rsidR="001B0E84" w:rsidRPr="00FF29AA" w:rsidRDefault="00DB60F4" w:rsidP="0048570F">
      <w:pPr>
        <w:pStyle w:val="MH3"/>
      </w:pPr>
      <w:bookmarkStart w:id="169" w:name="_Toc177483303"/>
      <w:r>
        <w:t>Dokumenty, ktoré sa musia predložiť na uznanie platnosti ponuky</w:t>
      </w:r>
      <w:bookmarkEnd w:id="169"/>
    </w:p>
    <w:tbl>
      <w:tblPr>
        <w:tblW w:w="15580" w:type="dxa"/>
        <w:tblInd w:w="-810" w:type="dxa"/>
        <w:tblLook w:val="04A0" w:firstRow="1" w:lastRow="0" w:firstColumn="1" w:lastColumn="0" w:noHBand="0" w:noVBand="1"/>
      </w:tblPr>
      <w:tblGrid>
        <w:gridCol w:w="620"/>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48570F" w:rsidRDefault="00776A72" w:rsidP="001B0E84">
            <w:pPr>
              <w:spacing w:line="240" w:lineRule="auto"/>
              <w:rPr>
                <w:rFonts w:ascii="Calibri" w:hAnsi="Calibri" w:cs="Calibri"/>
                <w:b/>
                <w:bCs/>
                <w:color w:val="3DC3C6"/>
                <w:sz w:val="28"/>
                <w:szCs w:val="28"/>
                <w:lang w:eastAsia="en-GB"/>
              </w:rPr>
            </w:pPr>
          </w:p>
          <w:p w14:paraId="2A9770E9" w14:textId="77777777" w:rsidR="00776A72" w:rsidRPr="0048570F"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Čís.</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Predmet</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Opis</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Projekt</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Tabuľka kritérií na vyhodnotenie ponúk</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Vyplnená tabuľka obsahujúca podrobné informácie o vašom návrhu</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Správy zo simulácie na lokalitu, PVsyst,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Zahŕňajúce váš návrh prostredníctvom uznaného simulačného softvéru, ako je PVsyst, PV*SOL atď.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xml:space="preserve">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Solárne panely</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Karta údajov solárneho panela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Záruka na solárny panel</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Záruka na produkt alebo záruka na vyhotovenie</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Certifikát uhlíkovej stopy solárneho panela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Podľa metódy </w:t>
            </w:r>
            <w:r>
              <w:rPr>
                <w:rFonts w:ascii="Arial" w:hAnsi="Arial"/>
                <w:i/>
                <w:color w:val="000000"/>
              </w:rPr>
              <w:t>Evaluation carbone simplifiée</w:t>
            </w:r>
            <w:r>
              <w:rPr>
                <w:rFonts w:ascii="Arial" w:hAnsi="Arial"/>
                <w:color w:val="000000"/>
              </w:rPr>
              <w:t xml:space="preserve"> vypracovanej agentúrou Adème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V prípade, ak sa nepoužívajú panely s dvojitým sklom a v karte údajov sa výslovne nevylúčilo použitie perfluóralkylovaných a polyfluóralkylovaných látok: osvedčenie, že výrobok neobsahuje perfluóralkylované a polyfluóralkylované látky.</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Dokument od výrobcu panela, ktorým sa potvrdzuje použitie fólie na zadnej strane bez obsahu perfluóralkylovaných a polyfluóralkylovaných látok.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Invertor</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Karta údajov invertora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lastRenderedPageBreak/>
              <w:t> Vaša organizácia</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Referencie z troch predchádzajúcich fotovoltických projektov</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Správa podľa SCIOS Scope 12 alebo referencia od klienta, ktoré súvisia s tromi projektmi s výkonom watt špičkového zaťaženia najmenej 30 % veľkosti tohto projektu, za posledné štyri roky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Jednotný európsky dokument pre obstarávanie</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Formálny dokument, ktorý sa používa pri každej európskej výzve na predkladanie ponúk, v ktorom uchádzači uvedú okrem iného to, či sa na ich spoločnosť vzťahujú dôvody na vylúčenie, ktoré strany sa majú registrovať, aká štruktúra bola zvolená v prípade, ak ide o ponuku s viacerými stranami (subdodávatelia alebo skupina), a ktoré osoby budú vystupovať ako splnomocnení zástupcovia strán v postupe verejného obstarávania.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Nepovinné: ľubovoľné certifikáty</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Príklady: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Vyplnený cenový výmer</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Strany v postupe verejného obstarávania musia poskytnúť cenu za produkty/služby, ktoré sa uvedú vo vyhlásení a ktoré sa potvrdia podpisom. </w:t>
            </w:r>
          </w:p>
        </w:tc>
      </w:tr>
    </w:tbl>
    <w:p w14:paraId="34C9C1B9" w14:textId="324707D6" w:rsidR="00026952" w:rsidRPr="00A11B94" w:rsidRDefault="00DB60F4" w:rsidP="0048570F">
      <w:pPr>
        <w:pStyle w:val="MH3"/>
      </w:pPr>
      <w:bookmarkStart w:id="170" w:name="_Toc177483304"/>
      <w:r>
        <w:t>Záznam zmien vo verziách</w:t>
      </w:r>
      <w:bookmarkEnd w:id="170"/>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589" w:type="dxa"/>
        <w:tblInd w:w="-720" w:type="dxa"/>
        <w:tblLook w:val="04A0" w:firstRow="1" w:lastRow="0" w:firstColumn="1" w:lastColumn="0" w:noHBand="0" w:noVBand="1"/>
      </w:tblPr>
      <w:tblGrid>
        <w:gridCol w:w="1257"/>
        <w:gridCol w:w="1622"/>
        <w:gridCol w:w="1475"/>
        <w:gridCol w:w="1813"/>
        <w:gridCol w:w="1516"/>
        <w:gridCol w:w="1835"/>
        <w:gridCol w:w="1956"/>
        <w:gridCol w:w="1739"/>
        <w:gridCol w:w="2376"/>
      </w:tblGrid>
      <w:tr w:rsidR="00A11B94" w:rsidRPr="00A11B94" w14:paraId="1DF1AE8E" w14:textId="77777777" w:rsidTr="004F169E">
        <w:trPr>
          <w:trHeight w:val="288"/>
        </w:trPr>
        <w:tc>
          <w:tcPr>
            <w:tcW w:w="128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658"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xml:space="preserve">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xml:space="preserve">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xml:space="preserve"> </w:t>
            </w:r>
          </w:p>
        </w:tc>
        <w:tc>
          <w:tcPr>
            <w:tcW w:w="146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Opis </w:t>
            </w:r>
          </w:p>
        </w:tc>
        <w:tc>
          <w:tcPr>
            <w:tcW w:w="185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Hodnota</w:t>
            </w:r>
          </w:p>
        </w:tc>
        <w:tc>
          <w:tcPr>
            <w:tcW w:w="129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Zahrnúť požiadavku?</w:t>
            </w:r>
          </w:p>
        </w:tc>
        <w:tc>
          <w:tcPr>
            <w:tcW w:w="18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Vysvetlenie pre klienta</w:t>
            </w:r>
          </w:p>
        </w:tc>
        <w:tc>
          <w:tcPr>
            <w:tcW w:w="200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Vysvetlenie pre uchádzača</w:t>
            </w:r>
          </w:p>
        </w:tc>
        <w:tc>
          <w:tcPr>
            <w:tcW w:w="17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Overovanie a validácia</w:t>
            </w:r>
          </w:p>
        </w:tc>
        <w:tc>
          <w:tcPr>
            <w:tcW w:w="243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Následky nedostatočnej výkonnosti</w:t>
            </w:r>
          </w:p>
        </w:tc>
      </w:tr>
      <w:tr w:rsidR="00DF08BF" w:rsidRPr="00A11B94" w14:paraId="30C05845" w14:textId="77777777" w:rsidTr="004F169E">
        <w:trPr>
          <w:trHeight w:val="480"/>
        </w:trPr>
        <w:tc>
          <w:tcPr>
            <w:tcW w:w="1282"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658"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Odstránená záruka na produkt, námietky rôznych strán</w:t>
            </w:r>
          </w:p>
        </w:tc>
        <w:tc>
          <w:tcPr>
            <w:tcW w:w="146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Záruka na produkt/záruka na vyhotovenie</w:t>
            </w:r>
            <w:r>
              <w:rPr>
                <w:rFonts w:ascii="Arial" w:hAnsi="Arial"/>
                <w:color w:val="000000"/>
                <w:sz w:val="18"/>
              </w:rPr>
              <w:t>:</w:t>
            </w:r>
          </w:p>
        </w:tc>
        <w:tc>
          <w:tcPr>
            <w:tcW w:w="1854"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rokov</w:t>
            </w:r>
          </w:p>
        </w:tc>
        <w:tc>
          <w:tcPr>
            <w:tcW w:w="129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xml:space="preserve"> </w:t>
            </w:r>
          </w:p>
        </w:tc>
        <w:tc>
          <w:tcPr>
            <w:tcW w:w="18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Odporúčanie: 30 rokov na udržateľnosť a nízke priemerné náklady na výrobu elektriny. Pri kratších projektoch môže byť 25 rokov. Pri krátkodobých projektoch (5 – 10 rokov) zvážte použitie použitých panelov.</w:t>
            </w:r>
          </w:p>
        </w:tc>
        <w:tc>
          <w:tcPr>
            <w:tcW w:w="200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Toto obdobie záruky je známkou očakávanej technickej prevádzkovej životnosti a súvisí so zárukou na produkt. Upozornenie: Veľa konvenčných solárnych panelov má záruku na produkt platnú iba 10 – 12 rokov.</w:t>
            </w:r>
          </w:p>
        </w:tc>
        <w:tc>
          <w:tcPr>
            <w:tcW w:w="17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Záruka na produkt overená/validovaná prostredníctvom správy o skončení prác a kontroly podľa SCIOS Scope 12</w:t>
            </w:r>
          </w:p>
        </w:tc>
        <w:tc>
          <w:tcPr>
            <w:tcW w:w="243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Výmena za solárne panely, ktoré spĺňajú túto požiadavku</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ADB59" w14:textId="77777777" w:rsidR="00072379" w:rsidRDefault="00072379" w:rsidP="00A3595E">
      <w:r>
        <w:separator/>
      </w:r>
    </w:p>
  </w:endnote>
  <w:endnote w:type="continuationSeparator" w:id="0">
    <w:p w14:paraId="2E67AD90" w14:textId="77777777" w:rsidR="00072379" w:rsidRDefault="00072379"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CD98FF" w14:textId="77777777" w:rsidR="00072379" w:rsidRDefault="00072379" w:rsidP="00A3595E">
      <w:r>
        <w:separator/>
      </w:r>
    </w:p>
  </w:footnote>
  <w:footnote w:type="continuationSeparator" w:id="0">
    <w:p w14:paraId="566A6B8B" w14:textId="77777777" w:rsidR="00072379" w:rsidRDefault="00072379"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KOMUNITA VEREJNÝCH OBSTARÁVATEĽOV</w:t>
    </w:r>
    <w:r>
      <w:tab/>
    </w:r>
    <w:r>
      <w:tab/>
    </w:r>
    <w:r>
      <w:tab/>
    </w:r>
    <w:r>
      <w:tab/>
    </w:r>
    <w:r>
      <w:rPr>
        <w:rFonts w:ascii="Arial" w:hAnsi="Arial"/>
        <w:b/>
        <w:color w:val="104D54"/>
      </w:rPr>
      <w:t>PRÍPRAVNÉ FÁZY FOTOVOLTICKÝCH PROJEKTOV</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E1616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BA00D1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5D038B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BB0133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8FE16E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4F6037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AC078F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8465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C8642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D1E907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1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2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2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3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3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5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5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6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21"/>
  </w:num>
  <w:num w:numId="2" w16cid:durableId="1271276630">
    <w:abstractNumId w:val="39"/>
  </w:num>
  <w:num w:numId="3" w16cid:durableId="950740274">
    <w:abstractNumId w:val="24"/>
  </w:num>
  <w:num w:numId="4" w16cid:durableId="1943102026">
    <w:abstractNumId w:val="12"/>
  </w:num>
  <w:num w:numId="5" w16cid:durableId="1395741186">
    <w:abstractNumId w:val="60"/>
  </w:num>
  <w:num w:numId="6" w16cid:durableId="933591675">
    <w:abstractNumId w:val="11"/>
  </w:num>
  <w:num w:numId="7" w16cid:durableId="1187980781">
    <w:abstractNumId w:val="33"/>
  </w:num>
  <w:num w:numId="8" w16cid:durableId="1805200406">
    <w:abstractNumId w:val="63"/>
  </w:num>
  <w:num w:numId="9" w16cid:durableId="1638535680">
    <w:abstractNumId w:val="32"/>
  </w:num>
  <w:num w:numId="10" w16cid:durableId="1544438543">
    <w:abstractNumId w:val="67"/>
  </w:num>
  <w:num w:numId="11" w16cid:durableId="727194560">
    <w:abstractNumId w:val="31"/>
  </w:num>
  <w:num w:numId="12" w16cid:durableId="1778983766">
    <w:abstractNumId w:val="46"/>
  </w:num>
  <w:num w:numId="13" w16cid:durableId="209805523">
    <w:abstractNumId w:val="34"/>
  </w:num>
  <w:num w:numId="14" w16cid:durableId="1024818755">
    <w:abstractNumId w:val="29"/>
  </w:num>
  <w:num w:numId="15" w16cid:durableId="584454904">
    <w:abstractNumId w:val="65"/>
  </w:num>
  <w:num w:numId="16" w16cid:durableId="318190513">
    <w:abstractNumId w:val="50"/>
  </w:num>
  <w:num w:numId="17" w16cid:durableId="2066567081">
    <w:abstractNumId w:val="47"/>
  </w:num>
  <w:num w:numId="18" w16cid:durableId="567375836">
    <w:abstractNumId w:val="10"/>
  </w:num>
  <w:num w:numId="19" w16cid:durableId="1272082500">
    <w:abstractNumId w:val="35"/>
  </w:num>
  <w:num w:numId="20" w16cid:durableId="741677276">
    <w:abstractNumId w:val="64"/>
  </w:num>
  <w:num w:numId="21" w16cid:durableId="807161825">
    <w:abstractNumId w:val="42"/>
  </w:num>
  <w:num w:numId="22" w16cid:durableId="317734242">
    <w:abstractNumId w:val="15"/>
  </w:num>
  <w:num w:numId="23" w16cid:durableId="1278680189">
    <w:abstractNumId w:val="28"/>
  </w:num>
  <w:num w:numId="24" w16cid:durableId="1388067510">
    <w:abstractNumId w:val="16"/>
  </w:num>
  <w:num w:numId="25" w16cid:durableId="1807114901">
    <w:abstractNumId w:val="36"/>
  </w:num>
  <w:num w:numId="26" w16cid:durableId="762922131">
    <w:abstractNumId w:val="13"/>
  </w:num>
  <w:num w:numId="27" w16cid:durableId="997610712">
    <w:abstractNumId w:val="52"/>
  </w:num>
  <w:num w:numId="28" w16cid:durableId="266080260">
    <w:abstractNumId w:val="56"/>
  </w:num>
  <w:num w:numId="29" w16cid:durableId="747187693">
    <w:abstractNumId w:val="38"/>
  </w:num>
  <w:num w:numId="30" w16cid:durableId="1195533319">
    <w:abstractNumId w:val="26"/>
  </w:num>
  <w:num w:numId="31" w16cid:durableId="1222519471">
    <w:abstractNumId w:val="41"/>
  </w:num>
  <w:num w:numId="32" w16cid:durableId="735476483">
    <w:abstractNumId w:val="20"/>
  </w:num>
  <w:num w:numId="33" w16cid:durableId="1848671944">
    <w:abstractNumId w:val="49"/>
  </w:num>
  <w:num w:numId="34" w16cid:durableId="407726512">
    <w:abstractNumId w:val="14"/>
  </w:num>
  <w:num w:numId="35" w16cid:durableId="2000503759">
    <w:abstractNumId w:val="55"/>
  </w:num>
  <w:num w:numId="36" w16cid:durableId="1670062533">
    <w:abstractNumId w:val="48"/>
  </w:num>
  <w:num w:numId="37" w16cid:durableId="237175748">
    <w:abstractNumId w:val="19"/>
  </w:num>
  <w:num w:numId="38" w16cid:durableId="609437449">
    <w:abstractNumId w:val="43"/>
  </w:num>
  <w:num w:numId="39" w16cid:durableId="136381918">
    <w:abstractNumId w:val="66"/>
  </w:num>
  <w:num w:numId="40" w16cid:durableId="1173568384">
    <w:abstractNumId w:val="53"/>
  </w:num>
  <w:num w:numId="41" w16cid:durableId="22558181">
    <w:abstractNumId w:val="27"/>
  </w:num>
  <w:num w:numId="42" w16cid:durableId="1628465795">
    <w:abstractNumId w:val="51"/>
  </w:num>
  <w:num w:numId="43" w16cid:durableId="2033872427">
    <w:abstractNumId w:val="22"/>
  </w:num>
  <w:num w:numId="44" w16cid:durableId="773014831">
    <w:abstractNumId w:val="18"/>
  </w:num>
  <w:num w:numId="45" w16cid:durableId="609436089">
    <w:abstractNumId w:val="23"/>
  </w:num>
  <w:num w:numId="46" w16cid:durableId="890730549">
    <w:abstractNumId w:val="37"/>
  </w:num>
  <w:num w:numId="47" w16cid:durableId="511341474">
    <w:abstractNumId w:val="58"/>
  </w:num>
  <w:num w:numId="48" w16cid:durableId="1290353258">
    <w:abstractNumId w:val="62"/>
  </w:num>
  <w:num w:numId="49" w16cid:durableId="1317417396">
    <w:abstractNumId w:val="30"/>
  </w:num>
  <w:num w:numId="50" w16cid:durableId="451291453">
    <w:abstractNumId w:val="44"/>
  </w:num>
  <w:num w:numId="51" w16cid:durableId="1296373971">
    <w:abstractNumId w:val="40"/>
  </w:num>
  <w:num w:numId="52" w16cid:durableId="620579067">
    <w:abstractNumId w:val="54"/>
  </w:num>
  <w:num w:numId="53" w16cid:durableId="1379550702">
    <w:abstractNumId w:val="25"/>
  </w:num>
  <w:num w:numId="54" w16cid:durableId="196352044">
    <w:abstractNumId w:val="45"/>
  </w:num>
  <w:num w:numId="55" w16cid:durableId="1580796921">
    <w:abstractNumId w:val="61"/>
  </w:num>
  <w:num w:numId="56" w16cid:durableId="288511747">
    <w:abstractNumId w:val="57"/>
  </w:num>
  <w:num w:numId="57" w16cid:durableId="1396274924">
    <w:abstractNumId w:val="59"/>
  </w:num>
  <w:num w:numId="58" w16cid:durableId="423887945">
    <w:abstractNumId w:val="17"/>
  </w:num>
  <w:num w:numId="59" w16cid:durableId="1063256320">
    <w:abstractNumId w:val="9"/>
  </w:num>
  <w:num w:numId="60" w16cid:durableId="995840910">
    <w:abstractNumId w:val="7"/>
  </w:num>
  <w:num w:numId="61" w16cid:durableId="1256400194">
    <w:abstractNumId w:val="6"/>
  </w:num>
  <w:num w:numId="62" w16cid:durableId="1741829203">
    <w:abstractNumId w:val="5"/>
  </w:num>
  <w:num w:numId="63" w16cid:durableId="893010515">
    <w:abstractNumId w:val="4"/>
  </w:num>
  <w:num w:numId="64" w16cid:durableId="868564635">
    <w:abstractNumId w:val="8"/>
  </w:num>
  <w:num w:numId="65" w16cid:durableId="474956790">
    <w:abstractNumId w:val="3"/>
  </w:num>
  <w:num w:numId="66" w16cid:durableId="503131115">
    <w:abstractNumId w:val="2"/>
  </w:num>
  <w:num w:numId="67" w16cid:durableId="401606649">
    <w:abstractNumId w:val="1"/>
  </w:num>
  <w:num w:numId="68" w16cid:durableId="1971861065">
    <w:abstractNumId w:val="0"/>
  </w:num>
  <w:num w:numId="69" w16cid:durableId="1299529882">
    <w:abstractNumId w:val="8"/>
  </w:num>
  <w:num w:numId="70" w16cid:durableId="1751074723">
    <w:abstractNumId w:val="3"/>
  </w:num>
  <w:num w:numId="71" w16cid:durableId="991297754">
    <w:abstractNumId w:val="2"/>
  </w:num>
  <w:num w:numId="72" w16cid:durableId="1946157363">
    <w:abstractNumId w:val="1"/>
  </w:num>
  <w:num w:numId="73" w16cid:durableId="1037007515">
    <w:abstractNumId w:val="0"/>
  </w:num>
  <w:num w:numId="74" w16cid:durableId="908924243">
    <w:abstractNumId w:val="8"/>
  </w:num>
  <w:num w:numId="75" w16cid:durableId="1545363292">
    <w:abstractNumId w:val="3"/>
  </w:num>
  <w:num w:numId="76" w16cid:durableId="1008599782">
    <w:abstractNumId w:val="2"/>
  </w:num>
  <w:num w:numId="77" w16cid:durableId="1698845862">
    <w:abstractNumId w:val="1"/>
  </w:num>
  <w:num w:numId="78" w16cid:durableId="1457606527">
    <w:abstractNumId w:val="0"/>
  </w:num>
  <w:num w:numId="79" w16cid:durableId="1500577849">
    <w:abstractNumId w:val="8"/>
  </w:num>
  <w:num w:numId="80" w16cid:durableId="1574196721">
    <w:abstractNumId w:val="3"/>
  </w:num>
  <w:num w:numId="81" w16cid:durableId="1716730065">
    <w:abstractNumId w:val="2"/>
  </w:num>
  <w:num w:numId="82" w16cid:durableId="510223506">
    <w:abstractNumId w:val="1"/>
  </w:num>
  <w:num w:numId="83" w16cid:durableId="539125710">
    <w:abstractNumId w:val="0"/>
  </w:num>
  <w:num w:numId="84" w16cid:durableId="1578636304">
    <w:abstractNumId w:val="8"/>
  </w:num>
  <w:num w:numId="85" w16cid:durableId="990210605">
    <w:abstractNumId w:val="3"/>
  </w:num>
  <w:num w:numId="86" w16cid:durableId="933979676">
    <w:abstractNumId w:val="2"/>
  </w:num>
  <w:num w:numId="87" w16cid:durableId="679284565">
    <w:abstractNumId w:val="1"/>
  </w:num>
  <w:num w:numId="88" w16cid:durableId="1004670258">
    <w:abstractNumId w:val="0"/>
  </w:num>
  <w:num w:numId="89" w16cid:durableId="1507473780">
    <w:abstractNumId w:val="8"/>
  </w:num>
  <w:num w:numId="90" w16cid:durableId="592664430">
    <w:abstractNumId w:val="3"/>
  </w:num>
  <w:num w:numId="91" w16cid:durableId="1371110402">
    <w:abstractNumId w:val="2"/>
  </w:num>
  <w:num w:numId="92" w16cid:durableId="1416588216">
    <w:abstractNumId w:val="1"/>
  </w:num>
  <w:num w:numId="93" w16cid:durableId="775829441">
    <w:abstractNumId w:val="0"/>
  </w:num>
  <w:num w:numId="94" w16cid:durableId="461659582">
    <w:abstractNumId w:val="8"/>
  </w:num>
  <w:num w:numId="95" w16cid:durableId="1618559082">
    <w:abstractNumId w:val="3"/>
  </w:num>
  <w:num w:numId="96" w16cid:durableId="762653386">
    <w:abstractNumId w:val="2"/>
  </w:num>
  <w:num w:numId="97" w16cid:durableId="1217202562">
    <w:abstractNumId w:val="1"/>
  </w:num>
  <w:num w:numId="98" w16cid:durableId="1675257681">
    <w:abstractNumId w:val="0"/>
  </w:num>
  <w:num w:numId="99" w16cid:durableId="186334036">
    <w:abstractNumId w:val="8"/>
  </w:num>
  <w:num w:numId="100" w16cid:durableId="729037371">
    <w:abstractNumId w:val="3"/>
  </w:num>
  <w:num w:numId="101" w16cid:durableId="103117731">
    <w:abstractNumId w:val="2"/>
  </w:num>
  <w:num w:numId="102" w16cid:durableId="1441297092">
    <w:abstractNumId w:val="1"/>
  </w:num>
  <w:num w:numId="103" w16cid:durableId="341510324">
    <w:abstractNumId w:val="0"/>
  </w:num>
  <w:num w:numId="104" w16cid:durableId="1638947370">
    <w:abstractNumId w:val="8"/>
  </w:num>
  <w:num w:numId="105" w16cid:durableId="301886424">
    <w:abstractNumId w:val="3"/>
  </w:num>
  <w:num w:numId="106" w16cid:durableId="109982604">
    <w:abstractNumId w:val="2"/>
  </w:num>
  <w:num w:numId="107" w16cid:durableId="831407874">
    <w:abstractNumId w:val="1"/>
  </w:num>
  <w:num w:numId="108" w16cid:durableId="552303869">
    <w:abstractNumId w:val="0"/>
  </w:num>
  <w:num w:numId="109" w16cid:durableId="628901275">
    <w:abstractNumId w:val="8"/>
  </w:num>
  <w:num w:numId="110" w16cid:durableId="1263689378">
    <w:abstractNumId w:val="3"/>
  </w:num>
  <w:num w:numId="111" w16cid:durableId="1731028607">
    <w:abstractNumId w:val="2"/>
  </w:num>
  <w:num w:numId="112" w16cid:durableId="1049039495">
    <w:abstractNumId w:val="1"/>
  </w:num>
  <w:num w:numId="113" w16cid:durableId="1290277982">
    <w:abstractNumId w:val="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57533"/>
    <w:rsid w:val="00072379"/>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20B8"/>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D70AA"/>
    <w:rsid w:val="001E10CD"/>
    <w:rsid w:val="001E4615"/>
    <w:rsid w:val="001F15A3"/>
    <w:rsid w:val="001F2F97"/>
    <w:rsid w:val="002039E9"/>
    <w:rsid w:val="00206127"/>
    <w:rsid w:val="0022035C"/>
    <w:rsid w:val="0022735E"/>
    <w:rsid w:val="0023495A"/>
    <w:rsid w:val="0024008A"/>
    <w:rsid w:val="00242E54"/>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4AB7"/>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25BD1"/>
    <w:rsid w:val="004300BD"/>
    <w:rsid w:val="004343AC"/>
    <w:rsid w:val="00437D1C"/>
    <w:rsid w:val="00444DFF"/>
    <w:rsid w:val="0044746A"/>
    <w:rsid w:val="00450A65"/>
    <w:rsid w:val="004517D5"/>
    <w:rsid w:val="004526EA"/>
    <w:rsid w:val="00452D51"/>
    <w:rsid w:val="004713A1"/>
    <w:rsid w:val="00474554"/>
    <w:rsid w:val="00474598"/>
    <w:rsid w:val="004745F8"/>
    <w:rsid w:val="0048570F"/>
    <w:rsid w:val="0049076B"/>
    <w:rsid w:val="00496113"/>
    <w:rsid w:val="00496B5F"/>
    <w:rsid w:val="004A0574"/>
    <w:rsid w:val="004A2658"/>
    <w:rsid w:val="004A4BD5"/>
    <w:rsid w:val="004A699C"/>
    <w:rsid w:val="004A7C5B"/>
    <w:rsid w:val="004C0EBD"/>
    <w:rsid w:val="004C453E"/>
    <w:rsid w:val="004C4869"/>
    <w:rsid w:val="004C6BD4"/>
    <w:rsid w:val="004D365E"/>
    <w:rsid w:val="004D51D3"/>
    <w:rsid w:val="004E407B"/>
    <w:rsid w:val="004E584B"/>
    <w:rsid w:val="004E647C"/>
    <w:rsid w:val="004F169E"/>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07A3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k-S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styleId="TOC3">
    <w:name w:val="toc 3"/>
    <w:basedOn w:val="Normal"/>
    <w:next w:val="Normal"/>
    <w:autoRedefine/>
    <w:uiPriority w:val="39"/>
    <w:unhideWhenUsed/>
    <w:rsid w:val="004F169E"/>
    <w:pPr>
      <w:spacing w:after="100" w:line="259" w:lineRule="auto"/>
      <w:ind w:left="440"/>
    </w:pPr>
    <w:rPr>
      <w:rFonts w:eastAsiaTheme="minorEastAsia" w:cstheme="minorBidi"/>
      <w:kern w:val="2"/>
      <w:lang w:val="en-IE" w:eastAsia="en-IE"/>
      <w14:ligatures w14:val="standardContextual"/>
    </w:rPr>
  </w:style>
  <w:style w:type="paragraph" w:styleId="TOC4">
    <w:name w:val="toc 4"/>
    <w:basedOn w:val="Normal"/>
    <w:next w:val="Normal"/>
    <w:autoRedefine/>
    <w:uiPriority w:val="39"/>
    <w:unhideWhenUsed/>
    <w:rsid w:val="004F169E"/>
    <w:pPr>
      <w:spacing w:after="100" w:line="259" w:lineRule="auto"/>
      <w:ind w:left="660"/>
    </w:pPr>
    <w:rPr>
      <w:rFonts w:eastAsiaTheme="minorEastAsia" w:cstheme="minorBidi"/>
      <w:kern w:val="2"/>
      <w:lang w:val="en-IE" w:eastAsia="en-IE"/>
      <w14:ligatures w14:val="standardContextual"/>
    </w:rPr>
  </w:style>
  <w:style w:type="paragraph" w:styleId="TOC5">
    <w:name w:val="toc 5"/>
    <w:basedOn w:val="Normal"/>
    <w:next w:val="Normal"/>
    <w:autoRedefine/>
    <w:uiPriority w:val="39"/>
    <w:unhideWhenUsed/>
    <w:rsid w:val="004F169E"/>
    <w:pPr>
      <w:spacing w:after="100" w:line="259" w:lineRule="auto"/>
      <w:ind w:left="880"/>
    </w:pPr>
    <w:rPr>
      <w:rFonts w:eastAsiaTheme="minorEastAsia" w:cstheme="minorBidi"/>
      <w:kern w:val="2"/>
      <w:lang w:val="en-IE" w:eastAsia="en-IE"/>
      <w14:ligatures w14:val="standardContextual"/>
    </w:rPr>
  </w:style>
  <w:style w:type="paragraph" w:styleId="TOC6">
    <w:name w:val="toc 6"/>
    <w:basedOn w:val="Normal"/>
    <w:next w:val="Normal"/>
    <w:autoRedefine/>
    <w:uiPriority w:val="39"/>
    <w:unhideWhenUsed/>
    <w:rsid w:val="004F169E"/>
    <w:pPr>
      <w:spacing w:after="100" w:line="259" w:lineRule="auto"/>
      <w:ind w:left="1100"/>
    </w:pPr>
    <w:rPr>
      <w:rFonts w:eastAsiaTheme="minorEastAsia" w:cstheme="minorBidi"/>
      <w:kern w:val="2"/>
      <w:lang w:val="en-IE" w:eastAsia="en-IE"/>
      <w14:ligatures w14:val="standardContextual"/>
    </w:rPr>
  </w:style>
  <w:style w:type="paragraph" w:styleId="TOC7">
    <w:name w:val="toc 7"/>
    <w:basedOn w:val="Normal"/>
    <w:next w:val="Normal"/>
    <w:autoRedefine/>
    <w:uiPriority w:val="39"/>
    <w:unhideWhenUsed/>
    <w:rsid w:val="004F169E"/>
    <w:pPr>
      <w:spacing w:after="100" w:line="259" w:lineRule="auto"/>
      <w:ind w:left="1320"/>
    </w:pPr>
    <w:rPr>
      <w:rFonts w:eastAsiaTheme="minorEastAsia" w:cstheme="minorBidi"/>
      <w:kern w:val="2"/>
      <w:lang w:val="en-IE" w:eastAsia="en-IE"/>
      <w14:ligatures w14:val="standardContextual"/>
    </w:rPr>
  </w:style>
  <w:style w:type="paragraph" w:styleId="TOC8">
    <w:name w:val="toc 8"/>
    <w:basedOn w:val="Normal"/>
    <w:next w:val="Normal"/>
    <w:autoRedefine/>
    <w:uiPriority w:val="39"/>
    <w:unhideWhenUsed/>
    <w:rsid w:val="004F169E"/>
    <w:pPr>
      <w:spacing w:after="100" w:line="259" w:lineRule="auto"/>
      <w:ind w:left="1540"/>
    </w:pPr>
    <w:rPr>
      <w:rFonts w:eastAsiaTheme="minorEastAsia" w:cstheme="minorBidi"/>
      <w:kern w:val="2"/>
      <w:lang w:val="en-IE" w:eastAsia="en-IE"/>
      <w14:ligatures w14:val="standardContextual"/>
    </w:rPr>
  </w:style>
  <w:style w:type="paragraph" w:styleId="TOC9">
    <w:name w:val="toc 9"/>
    <w:basedOn w:val="Normal"/>
    <w:next w:val="Normal"/>
    <w:autoRedefine/>
    <w:uiPriority w:val="39"/>
    <w:unhideWhenUsed/>
    <w:rsid w:val="004F169E"/>
    <w:pPr>
      <w:spacing w:after="100" w:line="259" w:lineRule="auto"/>
      <w:ind w:left="1760"/>
    </w:pPr>
    <w:rPr>
      <w:rFonts w:eastAsiaTheme="minorEastAsia" w:cstheme="minorBidi"/>
      <w:kern w:val="2"/>
      <w:lang w:val="en-IE" w:eastAsia="en-IE"/>
      <w14:ligatures w14:val="standardContextual"/>
    </w:rPr>
  </w:style>
  <w:style w:type="paragraph" w:customStyle="1" w:styleId="MH1">
    <w:name w:val="MH1"/>
    <w:basedOn w:val="Style2"/>
    <w:link w:val="MH1Char"/>
    <w:qFormat/>
    <w:rsid w:val="0048570F"/>
  </w:style>
  <w:style w:type="character" w:customStyle="1" w:styleId="Style2Char">
    <w:name w:val="Style2 Char"/>
    <w:basedOn w:val="Heading1Char"/>
    <w:link w:val="Style2"/>
    <w:rsid w:val="0048570F"/>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48570F"/>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48570F"/>
    <w:pPr>
      <w:ind w:left="-851"/>
    </w:pPr>
  </w:style>
  <w:style w:type="character" w:customStyle="1" w:styleId="SUB1Char">
    <w:name w:val="SUB1 Char"/>
    <w:basedOn w:val="DefaultParagraphFont"/>
    <w:link w:val="SUB1"/>
    <w:rsid w:val="0048570F"/>
    <w:rPr>
      <w:rFonts w:ascii="Arial" w:eastAsia="Times New Roman" w:hAnsi="Arial" w:cs="Arial"/>
      <w:b/>
      <w:color w:val="104D54"/>
      <w:sz w:val="36"/>
      <w:szCs w:val="36"/>
      <w:lang w:eastAsia="nl-NL"/>
    </w:rPr>
  </w:style>
  <w:style w:type="character" w:customStyle="1" w:styleId="MH2Char">
    <w:name w:val="MH2 Char"/>
    <w:basedOn w:val="SUB1Char"/>
    <w:link w:val="MH2"/>
    <w:rsid w:val="0048570F"/>
    <w:rPr>
      <w:rFonts w:ascii="Arial" w:eastAsia="Times New Roman" w:hAnsi="Arial" w:cs="Arial"/>
      <w:b/>
      <w:color w:val="104D54"/>
      <w:sz w:val="36"/>
      <w:szCs w:val="36"/>
      <w:lang w:eastAsia="nl-NL"/>
    </w:rPr>
  </w:style>
  <w:style w:type="paragraph" w:customStyle="1" w:styleId="MH3">
    <w:name w:val="MH3"/>
    <w:basedOn w:val="SUB2"/>
    <w:link w:val="MH3Char"/>
    <w:qFormat/>
    <w:rsid w:val="0048570F"/>
  </w:style>
  <w:style w:type="character" w:customStyle="1" w:styleId="SUB2Char">
    <w:name w:val="SUB2 Char"/>
    <w:basedOn w:val="DefaultParagraphFont"/>
    <w:link w:val="SUB2"/>
    <w:rsid w:val="0048570F"/>
    <w:rPr>
      <w:rFonts w:ascii="Arial" w:eastAsia="Times New Roman" w:hAnsi="Arial" w:cs="Arial"/>
      <w:b/>
      <w:color w:val="104D54"/>
      <w:sz w:val="28"/>
      <w:szCs w:val="28"/>
      <w:lang w:eastAsia="nl-NL"/>
    </w:rPr>
  </w:style>
  <w:style w:type="character" w:customStyle="1" w:styleId="MH3Char">
    <w:name w:val="MH3 Char"/>
    <w:basedOn w:val="SUB2Char"/>
    <w:link w:val="MH3"/>
    <w:rsid w:val="0048570F"/>
    <w:rPr>
      <w:rFonts w:ascii="Arial" w:eastAsia="Times New Roman" w:hAnsi="Arial" w:cs="Arial"/>
      <w:b/>
      <w:color w:val="104D54"/>
      <w:sz w:val="28"/>
      <w:szCs w:val="2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54</Pages>
  <Words>8409</Words>
  <Characters>52977</Characters>
  <Application>Microsoft Office Word</Application>
  <DocSecurity>0</DocSecurity>
  <Lines>3311</Lines>
  <Paragraphs>1006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60380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Marcello Passaro</dc:creator>
  <cp:keywords/>
  <dc:description/>
  <cp:lastModifiedBy>ROSSI Sveva (GROW)</cp:lastModifiedBy>
  <cp:revision>4</cp:revision>
  <dcterms:created xsi:type="dcterms:W3CDTF">2024-09-17T13:33:00Z</dcterms:created>
  <dcterms:modified xsi:type="dcterms:W3CDTF">2024-10-23T10:08:00Z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