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8454E" w14:textId="77777777" w:rsidR="00592734" w:rsidRPr="00BD0EE8" w:rsidRDefault="00592734"/>
    <w:p w14:paraId="37378A64" w14:textId="77777777" w:rsidR="000B1A35" w:rsidRPr="00BD0EE8" w:rsidRDefault="000B1A35" w:rsidP="000B1A35"/>
    <w:p w14:paraId="68C4FBFC" w14:textId="77777777" w:rsidR="000B1A35" w:rsidRPr="00BD0EE8" w:rsidRDefault="000B1A35" w:rsidP="000B1A35"/>
    <w:p w14:paraId="6803F4B2" w14:textId="77777777" w:rsidR="000B1A35" w:rsidRPr="00BD0EE8" w:rsidRDefault="000B1A35" w:rsidP="000B1A35"/>
    <w:p w14:paraId="7ACF3E0E" w14:textId="77777777" w:rsidR="000B1A35" w:rsidRPr="00BD0EE8" w:rsidRDefault="000B1A35" w:rsidP="000B1A35"/>
    <w:p w14:paraId="7B8CA6C7" w14:textId="77777777" w:rsidR="000B1A35" w:rsidRPr="00BD0EE8" w:rsidRDefault="000B1A35" w:rsidP="000B1A35"/>
    <w:p w14:paraId="5DE71EB2" w14:textId="77777777" w:rsidR="000B1A35" w:rsidRPr="00BD0EE8" w:rsidRDefault="000B1A35" w:rsidP="000B1A35"/>
    <w:p w14:paraId="06917CFE" w14:textId="77777777" w:rsidR="000B1A35" w:rsidRPr="00BD0EE8" w:rsidRDefault="000B1A35" w:rsidP="000B1A35"/>
    <w:p w14:paraId="1674C616" w14:textId="77777777" w:rsidR="000B1A35" w:rsidRPr="00BD0EE8" w:rsidRDefault="000B1A35" w:rsidP="000B1A35"/>
    <w:p w14:paraId="18DFFB1C" w14:textId="77777777" w:rsidR="000B1A35" w:rsidRPr="00BD0EE8" w:rsidRDefault="000B1A35" w:rsidP="000B1A35"/>
    <w:p w14:paraId="63B10EBA" w14:textId="77777777" w:rsidR="000B1A35" w:rsidRPr="00BD0EE8" w:rsidRDefault="000B1A35" w:rsidP="000B1A35"/>
    <w:p w14:paraId="1A8EE032" w14:textId="77777777" w:rsidR="000B1A35" w:rsidRPr="00BD0EE8" w:rsidRDefault="000B1A35" w:rsidP="000B1A35"/>
    <w:p w14:paraId="763BA3D8" w14:textId="77777777" w:rsidR="000B1A35" w:rsidRPr="00BD0EE8" w:rsidRDefault="000B1A35" w:rsidP="000B1A35"/>
    <w:p w14:paraId="690992D2" w14:textId="77777777" w:rsidR="000B1A35" w:rsidRPr="00BD0EE8" w:rsidRDefault="000B1A35" w:rsidP="000B1A35"/>
    <w:p w14:paraId="2F527E26" w14:textId="77777777" w:rsidR="000B1A35" w:rsidRPr="00BD0EE8" w:rsidRDefault="000B1A35" w:rsidP="000B1A35"/>
    <w:p w14:paraId="0ABE34F3" w14:textId="77777777" w:rsidR="000B1A35" w:rsidRPr="00BD0EE8" w:rsidRDefault="000B1A35" w:rsidP="000B1A35"/>
    <w:p w14:paraId="3E020A25" w14:textId="77777777" w:rsidR="000B1A35" w:rsidRPr="00BD0EE8" w:rsidRDefault="000B1A35" w:rsidP="000B1A35"/>
    <w:p w14:paraId="6F4C0C4C" w14:textId="77777777" w:rsidR="000B1A35" w:rsidRPr="00BD0EE8" w:rsidRDefault="000B1A35" w:rsidP="000B1A35"/>
    <w:p w14:paraId="5380BE2A" w14:textId="77777777" w:rsidR="000B1A35" w:rsidRPr="00BD0EE8" w:rsidRDefault="000B1A35" w:rsidP="000B1A35"/>
    <w:p w14:paraId="0D0C2328" w14:textId="77777777" w:rsidR="000B1A35" w:rsidRPr="00BD0EE8" w:rsidRDefault="000B1A35" w:rsidP="000B1A35"/>
    <w:p w14:paraId="25AD7D77" w14:textId="77777777" w:rsidR="000B1A35" w:rsidRPr="00BD0EE8" w:rsidRDefault="000B1A35" w:rsidP="000B1A35"/>
    <w:p w14:paraId="0BB30019" w14:textId="77777777" w:rsidR="000B1A35" w:rsidRPr="00BD0EE8" w:rsidRDefault="000B1A35" w:rsidP="000B1A35"/>
    <w:p w14:paraId="6D176598" w14:textId="77777777" w:rsidR="000B1A35" w:rsidRPr="00BD0EE8" w:rsidRDefault="000B1A35" w:rsidP="000B1A35"/>
    <w:p w14:paraId="35A15FFF" w14:textId="77777777" w:rsidR="000B1A35" w:rsidRPr="00BD0EE8" w:rsidRDefault="000B1A35" w:rsidP="000B1A35"/>
    <w:p w14:paraId="0AEC8325" w14:textId="77777777" w:rsidR="000B1A35" w:rsidRPr="00BD0EE8" w:rsidRDefault="000B1A35" w:rsidP="0092617F">
      <w:pPr>
        <w:jc w:val="center"/>
      </w:pPr>
    </w:p>
    <w:p w14:paraId="2E6FDD30" w14:textId="77777777" w:rsidR="0092617F" w:rsidRPr="00BD0EE8" w:rsidRDefault="0092617F" w:rsidP="0092617F">
      <w:pPr>
        <w:jc w:val="center"/>
        <w:rPr>
          <w:rFonts w:ascii="Arial" w:hAnsi="Arial" w:cs="Arial"/>
          <w:b/>
          <w:bCs/>
          <w:color w:val="104D54"/>
          <w:sz w:val="44"/>
          <w:szCs w:val="44"/>
        </w:rPr>
      </w:pPr>
    </w:p>
    <w:p w14:paraId="14853D80" w14:textId="77777777" w:rsidR="0092617F" w:rsidRPr="00BD0EE8" w:rsidRDefault="0092617F" w:rsidP="0092617F">
      <w:pPr>
        <w:jc w:val="center"/>
        <w:rPr>
          <w:rFonts w:ascii="Arial" w:hAnsi="Arial" w:cs="Arial"/>
          <w:b/>
          <w:bCs/>
          <w:color w:val="104D54"/>
          <w:sz w:val="44"/>
          <w:szCs w:val="44"/>
        </w:rPr>
      </w:pPr>
    </w:p>
    <w:p w14:paraId="569520C7" w14:textId="466DCF62" w:rsidR="000B1A35" w:rsidRPr="00BD0EE8" w:rsidRDefault="002A7D9E" w:rsidP="00876ED4">
      <w:pPr>
        <w:ind w:left="-57"/>
      </w:pPr>
      <w:hyperlink r:id="rId13" w:history="1">
        <w:r w:rsidR="00AB2ED3">
          <w:rPr>
            <w:rStyle w:val="Hyperlink"/>
            <w:rFonts w:ascii="Arial" w:hAnsi="Arial"/>
            <w:b/>
            <w:sz w:val="44"/>
          </w:rPr>
          <w:t>Tekoälyn hankinta</w:t>
        </w:r>
      </w:hyperlink>
      <w:r w:rsidR="005A3892">
        <w:rPr>
          <w:rStyle w:val="Hyperlink"/>
          <w:rFonts w:ascii="Arial" w:hAnsi="Arial"/>
          <w:b/>
          <w:sz w:val="44"/>
        </w:rPr>
        <w:br/>
      </w:r>
      <w:hyperlink r:id="rId14" w:history="1">
        <w:r w:rsidR="00AB2ED3">
          <w:rPr>
            <w:rStyle w:val="Hyperlink"/>
            <w:rFonts w:ascii="Arial" w:hAnsi="Arial"/>
            <w:b/>
            <w:sz w:val="44"/>
          </w:rPr>
          <w:t>Yhteisö</w:t>
        </w:r>
      </w:hyperlink>
      <w:r w:rsidR="00AB2ED3">
        <w:br w:type="page"/>
      </w:r>
      <w:r w:rsidR="00AB2ED3">
        <w:rPr>
          <w:noProof/>
        </w:rPr>
        <mc:AlternateContent>
          <mc:Choice Requires="wps">
            <w:drawing>
              <wp:anchor distT="0" distB="0" distL="114300" distR="114300" simplePos="0" relativeHeight="251672576" behindDoc="0" locked="1" layoutInCell="1" allowOverlap="1" wp14:anchorId="2460A762" wp14:editId="24C5DE6F">
                <wp:simplePos x="0" y="0"/>
                <wp:positionH relativeFrom="margin">
                  <wp:posOffset>-47625</wp:posOffset>
                </wp:positionH>
                <wp:positionV relativeFrom="margin">
                  <wp:posOffset>8030210</wp:posOffset>
                </wp:positionV>
                <wp:extent cx="6977380" cy="78105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977380" cy="781050"/>
                        </a:xfrm>
                        <a:prstGeom prst="rect">
                          <a:avLst/>
                        </a:prstGeom>
                        <a:noFill/>
                        <a:ln w="6350">
                          <a:noFill/>
                        </a:ln>
                      </wps:spPr>
                      <wps:txbx>
                        <w:txbxContent>
                          <w:p w14:paraId="2A3624A1" w14:textId="0DC93EC5" w:rsidR="00C758CB" w:rsidRPr="0024535C" w:rsidRDefault="007E2E87" w:rsidP="00C758CB">
                            <w:pPr>
                              <w:spacing w:line="360" w:lineRule="auto"/>
                              <w:rPr>
                                <w:rFonts w:ascii="Arial" w:hAnsi="Arial" w:cs="Arial"/>
                                <w:color w:val="104D55"/>
                                <w:sz w:val="32"/>
                                <w:szCs w:val="32"/>
                              </w:rPr>
                            </w:pPr>
                            <w:r w:rsidRPr="0024535C">
                              <w:rPr>
                                <w:rFonts w:ascii="Arial" w:hAnsi="Arial"/>
                                <w:color w:val="104D55"/>
                                <w:sz w:val="32"/>
                                <w:szCs w:val="32"/>
                              </w:rPr>
                              <w:t xml:space="preserve">Versio helmikuu 2025 – Muiden kuin suuririskisten tekoälyjärjestelmien hankinnat </w:t>
                            </w:r>
                          </w:p>
                          <w:p w14:paraId="7A280DF3" w14:textId="77777777" w:rsidR="00C758CB" w:rsidRPr="00CF3CDB" w:rsidRDefault="00C758CB" w:rsidP="00CF3CDB">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60A762" id="_x0000_t202" coordsize="21600,21600" o:spt="202" path="m,l,21600r21600,l21600,xe">
                <v:stroke joinstyle="miter"/>
                <v:path gradientshapeok="t" o:connecttype="rect"/>
              </v:shapetype>
              <v:shape id="Text Box 1144621298" o:spid="_x0000_s1026" type="#_x0000_t202" style="position:absolute;left:0;text-align:left;margin-left:-3.75pt;margin-top:632.3pt;width:549.4pt;height:61.5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" filled="f" stroked="f" strokeweight=".5pt">
                <v:textbox>
                  <w:txbxContent>
                    <w:p w14:paraId="2A3624A1" w14:textId="0DC93EC5" w:rsidR="00C758CB" w:rsidRPr="0024535C" w:rsidRDefault="007E2E87" w:rsidP="00C758CB">
                      <w:pPr>
                        <w:spacing w:line="360" w:lineRule="auto"/>
                        <w:rPr>
                          <w:rFonts w:ascii="Arial" w:hAnsi="Arial" w:cs="Arial"/>
                          <w:color w:val="104D55"/>
                          <w:sz w:val="32"/>
                          <w:szCs w:val="32"/>
                        </w:rPr>
                      </w:pPr>
                      <w:r w:rsidRPr="0024535C">
                        <w:rPr>
                          <w:rFonts w:ascii="Arial" w:hAnsi="Arial"/>
                          <w:color w:val="104D55"/>
                          <w:sz w:val="32"/>
                          <w:szCs w:val="32"/>
                        </w:rPr>
                        <w:t xml:space="preserve">Versio helmikuu 2025 – Muiden kuin suuririskisten tekoälyjärjestelmien hankinnat </w:t>
                      </w:r>
                    </w:p>
                    <w:p w14:paraId="7A280DF3" w14:textId="77777777" w:rsidR="00C758CB" w:rsidRPr="00CF3CDB" w:rsidRDefault="00C758CB" w:rsidP="00CF3CDB">
                      <w:pPr>
                        <w:rPr>
                          <w:rFonts w:ascii="Arial" w:hAnsi="Arial" w:cs="Arial"/>
                          <w:b/>
                          <w:bCs/>
                          <w:color w:val="104D54"/>
                          <w:sz w:val="44"/>
                          <w:szCs w:val="44"/>
                        </w:rPr>
                      </w:pPr>
                    </w:p>
                  </w:txbxContent>
                </v:textbox>
                <w10:wrap anchorx="margin" anchory="margin"/>
                <w10:anchorlock/>
              </v:shape>
            </w:pict>
          </mc:Fallback>
        </mc:AlternateContent>
      </w:r>
      <w:r w:rsidR="00AB2ED3">
        <w:rPr>
          <w:noProof/>
        </w:rPr>
        <mc:AlternateContent>
          <mc:Choice Requires="wps">
            <w:drawing>
              <wp:anchor distT="0" distB="0" distL="114300" distR="114300" simplePos="0" relativeHeight="251659264" behindDoc="0" locked="1" layoutInCell="1" allowOverlap="1" wp14:anchorId="0BBA2639" wp14:editId="364B7890">
                <wp:simplePos x="0" y="0"/>
                <wp:positionH relativeFrom="margin">
                  <wp:posOffset>-76200</wp:posOffset>
                </wp:positionH>
                <wp:positionV relativeFrom="page">
                  <wp:posOffset>7809865</wp:posOffset>
                </wp:positionV>
                <wp:extent cx="6477000" cy="134302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1343025"/>
                        </a:xfrm>
                        <a:prstGeom prst="rect">
                          <a:avLst/>
                        </a:prstGeom>
                        <a:noFill/>
                        <a:ln w="6350">
                          <a:noFill/>
                        </a:ln>
                      </wps:spPr>
                      <wps:txbx>
                        <w:txbxContent>
                          <w:p w14:paraId="38969635" w14:textId="675CCFC2" w:rsidR="007E2E87" w:rsidRPr="00CF3CDB" w:rsidRDefault="007E2E87" w:rsidP="007E2E87">
                            <w:pPr>
                              <w:pStyle w:val="TITLEStyle"/>
                            </w:pPr>
                            <w:bookmarkStart w:id="0" w:name="_Hlk189829106"/>
                            <w:r>
                              <w:t xml:space="preserve">Mallisopimuslausekkeet muiden kuin suuririskisten tekoälyjärjestelmien julkisia hankintoja varten </w:t>
                            </w:r>
                            <w:bookmarkEnd w:id="0"/>
                            <w:r>
                              <w:t>(MCC-AI-</w:t>
                            </w:r>
                            <w:proofErr w:type="spellStart"/>
                            <w:r>
                              <w:t>High</w:t>
                            </w:r>
                            <w:proofErr w:type="spellEnd"/>
                            <w:r>
                              <w:t>-Light-lausekkeet)</w:t>
                            </w:r>
                          </w:p>
                          <w:p w14:paraId="7F27BF72" w14:textId="040D44C0" w:rsidR="00CF3CDB" w:rsidRPr="00CF3CDB" w:rsidRDefault="00F237EA" w:rsidP="00036BE2">
                            <w:pPr>
                              <w:pStyle w:val="TITLEStyle"/>
                            </w:pPr>
                            <w:r>
                              <w:t>organisaatiot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BA2639" id="Text Box 2" o:spid="_x0000_s1027" type="#_x0000_t202" style="position:absolute;left:0;text-align:left;margin-left:-6pt;margin-top:614.95pt;width:510pt;height:105.7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" filled="f" stroked="f" strokeweight=".5pt">
                <v:textbox>
                  <w:txbxContent>
                    <w:p w14:paraId="38969635" w14:textId="675CCFC2" w:rsidR="007E2E87" w:rsidRPr="00CF3CDB" w:rsidRDefault="007E2E87" w:rsidP="007E2E87">
                      <w:pPr>
                        <w:pStyle w:val="TITLEStyle"/>
                      </w:pPr>
                      <w:bookmarkStart w:id="1" w:name="_Hlk189829106"/>
                      <w:r>
                        <w:t xml:space="preserve">Mallisopimuslausekkeet muiden kuin suuririskisten tekoälyjärjestelmien julkisia hankintoja varten </w:t>
                      </w:r>
                      <w:bookmarkEnd w:id="1"/>
                      <w:r>
                        <w:t>(MCC-AI-</w:t>
                      </w:r>
                      <w:proofErr w:type="spellStart"/>
                      <w:r>
                        <w:t>High</w:t>
                      </w:r>
                      <w:proofErr w:type="spellEnd"/>
                      <w:r>
                        <w:t>-Light-lausekkeet)</w:t>
                      </w:r>
                    </w:p>
                    <w:p w14:paraId="7F27BF72" w14:textId="040D44C0" w:rsidR="00CF3CDB" w:rsidRPr="00CF3CDB" w:rsidRDefault="00F237EA" w:rsidP="00036BE2">
                      <w:pPr>
                        <w:pStyle w:val="TITLEStyle"/>
                      </w:pPr>
                      <w:r>
                        <w:t>organisaatiot</w:t>
                      </w:r>
                    </w:p>
                  </w:txbxContent>
                </v:textbox>
                <w10:wrap anchorx="margin" anchory="page"/>
                <w10:anchorlock/>
              </v:shape>
            </w:pict>
          </mc:Fallback>
        </mc:AlternateContent>
      </w:r>
    </w:p>
    <w:p w14:paraId="321764DC" w14:textId="77777777" w:rsidR="009832AB" w:rsidRPr="00BD0EE8" w:rsidRDefault="009832AB" w:rsidP="00BA16C1">
      <w:pPr>
        <w:rPr>
          <w:b/>
        </w:rPr>
      </w:pPr>
      <w:r>
        <w:rPr>
          <w:rFonts w:ascii="Arial" w:hAnsi="Arial"/>
          <w:noProof/>
          <w:color w:val="FFFFFF" w:themeColor="background1"/>
          <w:sz w:val="22"/>
        </w:rPr>
        <w:lastRenderedPageBreak/>
        <mc:AlternateContent>
          <mc:Choice Requires="wps">
            <w:drawing>
              <wp:anchor distT="45720" distB="45720" distL="114300" distR="114300" simplePos="0" relativeHeight="251670528" behindDoc="0" locked="0" layoutInCell="1" allowOverlap="1" wp14:anchorId="151E654B" wp14:editId="0666BBAE">
                <wp:simplePos x="0" y="0"/>
                <wp:positionH relativeFrom="margin">
                  <wp:align>center</wp:align>
                </wp:positionH>
                <wp:positionV relativeFrom="paragraph">
                  <wp:posOffset>2051050</wp:posOffset>
                </wp:positionV>
                <wp:extent cx="6057900" cy="2928395"/>
                <wp:effectExtent l="0" t="0" r="19050" b="24765"/>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2928395"/>
                        </a:xfrm>
                        <a:prstGeom prst="rect">
                          <a:avLst/>
                        </a:prstGeom>
                        <a:noFill/>
                        <a:ln w="9525">
                          <a:solidFill>
                            <a:schemeClr val="bg2">
                              <a:lumMod val="50000"/>
                            </a:schemeClr>
                          </a:solidFill>
                          <a:miter lim="800000"/>
                          <a:headEnd/>
                          <a:tailEnd/>
                        </a:ln>
                      </wps:spPr>
                      <wps:txbx>
                        <w:txbxContent>
                          <w:p w14:paraId="1A70E245" w14:textId="77777777" w:rsidR="009832AB" w:rsidRPr="00172B4F" w:rsidRDefault="009832AB" w:rsidP="009832AB">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VASTUUVAPAUSLAUSEKE</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4878C639"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Euroopan komissio on laatinut tämän valmisteluasiakirjan tukeakseen tekoälyhankintojen toimijayhteisöä ja ohjatakseen julkishallintoja tekoälyratkaisujen hankinnassa. Tämä on keskeneräinen valmisteluasiakirja eikä heijasta Euroopan komission virallista kantaa. </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77777777"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Toimijoilla, jotka päättävät käyttää tätä valmisteluasiakirjaa, on täysi vastuu sen käytöstä julkisissa hankinnoissa. </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7FE0B39C"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Nämä muita kuin suuririskisiä tekoälyjärjestelmiä koskevat mallisopimuslausekkeet eivät vaikuta tekoälysäädöksestä johtuviin vaatimuksiin. </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1E654B" id="_x0000_s1028" type="#_x0000_t202" style="position:absolute;margin-left:0;margin-top:161.5pt;width:477pt;height:230.6pt;z-index:251670528;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" filled="f" strokecolor="#747070 [1614]">
                <v:textbox>
                  <w:txbxContent>
                    <w:p w14:paraId="1A70E245" w14:textId="77777777" w:rsidR="009832AB" w:rsidRPr="00172B4F" w:rsidRDefault="009832AB" w:rsidP="009832AB">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VASTUUVAPAUSLAUSEKE</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4878C639"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Euroopan komissio on laatinut tämän valmisteluasiakirjan tukeakseen tekoälyhankintojen toimijayhteisöä ja ohjatakseen julkishallintoja tekoälyratkaisujen hankinnassa. Tämä on keskeneräinen valmisteluasiakirja eikä heijasta Euroopan komission virallista kantaa. </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77777777"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Toimijoilla, jotka päättävät käyttää tätä valmisteluasiakirjaa, on täysi vastuu sen käytöstä julkisissa hankinnoissa. </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7FE0B39C"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Nämä muita kuin suuririskisiä tekoälyjärjestelmiä koskevat mallisopimuslausekkeet eivät vaikuta tekoälysäädöksestä johtuviin vaatimuksiin. </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v:textbox>
                <w10:wrap type="square" anchorx="margin"/>
              </v:shape>
            </w:pict>
          </mc:Fallback>
        </mc:AlternateContent>
      </w:r>
      <w:r>
        <w:br w:type="page"/>
      </w:r>
    </w:p>
    <w:p w14:paraId="547DBEFD" w14:textId="77777777" w:rsidR="00BA16C1" w:rsidRPr="00BD0EE8" w:rsidRDefault="00BA16C1" w:rsidP="002403BC">
      <w:pPr>
        <w:rPr>
          <w:b/>
        </w:rPr>
      </w:pPr>
    </w:p>
    <w:p w14:paraId="7714DB5B" w14:textId="77777777" w:rsidR="00BA16C1" w:rsidRPr="00BD0EE8" w:rsidRDefault="00BA16C1" w:rsidP="00587A6A">
      <w:pPr>
        <w:spacing w:after="360"/>
        <w:jc w:val="both"/>
        <w:rPr>
          <w:rFonts w:ascii="Arial" w:hAnsi="Arial" w:cs="Arial"/>
          <w:b/>
          <w:sz w:val="26"/>
          <w:szCs w:val="26"/>
        </w:rPr>
      </w:pPr>
      <w:r>
        <w:rPr>
          <w:rFonts w:ascii="Arial" w:hAnsi="Arial"/>
          <w:b/>
          <w:sz w:val="26"/>
        </w:rPr>
        <w:t>A jakso – Määritelmät</w:t>
      </w:r>
    </w:p>
    <w:p w14:paraId="1DD14AC7" w14:textId="4A871940" w:rsidR="00F9102F" w:rsidRPr="0010258B" w:rsidRDefault="00F9102F" w:rsidP="00AB2ED3">
      <w:pPr>
        <w:pStyle w:val="doLijstnummering7"/>
        <w:rPr>
          <w:rFonts w:eastAsia="Calibri" w:cs="Arial"/>
          <w:szCs w:val="22"/>
        </w:rPr>
      </w:pPr>
      <w:r>
        <w:t>Määritelmät: Seuraavia näissä muiden kuin suuririskisten tekoälyjärjestelmien julkisia hankintoja koskevissa mallisopimuslausekkeissa (</w:t>
      </w:r>
      <w:proofErr w:type="spellStart"/>
      <w:r>
        <w:t>Model</w:t>
      </w:r>
      <w:proofErr w:type="spellEnd"/>
      <w:r>
        <w:t xml:space="preserve"> </w:t>
      </w:r>
      <w:proofErr w:type="spellStart"/>
      <w:r>
        <w:t>contractual</w:t>
      </w:r>
      <w:proofErr w:type="spellEnd"/>
      <w:r>
        <w:t xml:space="preserve"> </w:t>
      </w:r>
      <w:proofErr w:type="spellStart"/>
      <w:r>
        <w:t>clauses</w:t>
      </w:r>
      <w:proofErr w:type="spellEnd"/>
      <w:r>
        <w:t xml:space="preserve"> for </w:t>
      </w:r>
      <w:proofErr w:type="spellStart"/>
      <w:r>
        <w:t>the</w:t>
      </w:r>
      <w:proofErr w:type="spellEnd"/>
      <w:r>
        <w:t xml:space="preserve"> </w:t>
      </w:r>
      <w:proofErr w:type="spellStart"/>
      <w:r>
        <w:t>public</w:t>
      </w:r>
      <w:proofErr w:type="spellEnd"/>
      <w:r>
        <w:t xml:space="preserve"> </w:t>
      </w:r>
      <w:proofErr w:type="spellStart"/>
      <w:r>
        <w:t>procurement</w:t>
      </w:r>
      <w:proofErr w:type="spellEnd"/>
      <w:r>
        <w:t xml:space="preserve"> of Non-</w:t>
      </w:r>
      <w:proofErr w:type="spellStart"/>
      <w:r>
        <w:t>High</w:t>
      </w:r>
      <w:proofErr w:type="spellEnd"/>
      <w:r>
        <w:t>-</w:t>
      </w:r>
      <w:proofErr w:type="spellStart"/>
      <w:r>
        <w:t>Risk</w:t>
      </w:r>
      <w:proofErr w:type="spellEnd"/>
      <w:r>
        <w:t xml:space="preserve"> AI) esiintyviä termejä käytetään tässä artiklassa määritellyssä merkityksessä:</w:t>
      </w:r>
    </w:p>
    <w:p w14:paraId="2EFCE902" w14:textId="77777777" w:rsidR="00BA16C1" w:rsidRPr="0010258B" w:rsidRDefault="00BA16C1" w:rsidP="000F1F04">
      <w:pPr>
        <w:pStyle w:val="doLijstnummering7"/>
        <w:numPr>
          <w:ilvl w:val="0"/>
          <w:numId w:val="0"/>
        </w:numPr>
        <w:ind w:left="851" w:hanging="851"/>
        <w:rPr>
          <w:rFonts w:ascii="Arial" w:hAnsi="Arial" w:cs="Arial"/>
          <w:b/>
          <w:sz w:val="22"/>
          <w:szCs w:val="22"/>
        </w:rPr>
      </w:pPr>
    </w:p>
    <w:p w14:paraId="27B5E0DD" w14:textId="25C3A8D1" w:rsidR="00BA16C1" w:rsidRPr="00BD0EE8" w:rsidRDefault="00F9102F" w:rsidP="00F9102F">
      <w:pPr>
        <w:pStyle w:val="doBullets1"/>
        <w:numPr>
          <w:ilvl w:val="0"/>
          <w:numId w:val="0"/>
        </w:numPr>
        <w:ind w:left="851" w:hanging="851"/>
        <w:rPr>
          <w:rFonts w:ascii="Arial" w:hAnsi="Arial" w:cs="Arial"/>
          <w:sz w:val="22"/>
          <w:szCs w:val="22"/>
        </w:rPr>
      </w:pPr>
      <w:r>
        <w:rPr>
          <w:rFonts w:ascii="Arial" w:hAnsi="Arial"/>
          <w:sz w:val="22"/>
          <w:u w:val="single"/>
        </w:rPr>
        <w:t>sopimus</w:t>
      </w:r>
      <w:r>
        <w:rPr>
          <w:rFonts w:ascii="Arial" w:hAnsi="Arial"/>
          <w:sz w:val="22"/>
        </w:rPr>
        <w:t>: koko sopimus, johon liitteenä olevat MCC-AI-Light-lausekkeet sisältyvät erottamattomana osana</w:t>
      </w:r>
    </w:p>
    <w:p w14:paraId="6810F943" w14:textId="77777777" w:rsidR="00F9102F" w:rsidRPr="00BD0EE8" w:rsidRDefault="00F9102F" w:rsidP="000F1F04">
      <w:pPr>
        <w:pStyle w:val="doBullets1"/>
        <w:numPr>
          <w:ilvl w:val="0"/>
          <w:numId w:val="0"/>
        </w:numPr>
        <w:ind w:left="851" w:hanging="851"/>
        <w:rPr>
          <w:rFonts w:ascii="Arial" w:hAnsi="Arial" w:cs="Arial"/>
          <w:sz w:val="22"/>
          <w:szCs w:val="22"/>
        </w:rPr>
      </w:pPr>
    </w:p>
    <w:p w14:paraId="078047DE" w14:textId="24560FCD" w:rsidR="00BA16C1" w:rsidRPr="00BD0EE8" w:rsidRDefault="00BA16C1" w:rsidP="00F9102F">
      <w:pPr>
        <w:pStyle w:val="doBullets1"/>
        <w:numPr>
          <w:ilvl w:val="0"/>
          <w:numId w:val="0"/>
        </w:numPr>
        <w:ind w:left="851" w:hanging="851"/>
        <w:rPr>
          <w:rFonts w:ascii="Arial" w:hAnsi="Arial" w:cs="Arial"/>
          <w:sz w:val="22"/>
          <w:szCs w:val="22"/>
        </w:rPr>
      </w:pPr>
      <w:r>
        <w:rPr>
          <w:rFonts w:ascii="Arial" w:hAnsi="Arial"/>
          <w:sz w:val="22"/>
          <w:u w:val="single"/>
        </w:rPr>
        <w:t>tekoälyjärjestelmä</w:t>
      </w:r>
      <w:r>
        <w:rPr>
          <w:rFonts w:ascii="Arial" w:hAnsi="Arial"/>
          <w:sz w:val="22"/>
        </w:rPr>
        <w:t xml:space="preserve">: </w:t>
      </w:r>
      <w:r>
        <w:rPr>
          <w:rFonts w:ascii="Arial" w:hAnsi="Arial"/>
          <w:b/>
          <w:sz w:val="22"/>
        </w:rPr>
        <w:t>liitteessä A</w:t>
      </w:r>
      <w:r>
        <w:rPr>
          <w:rFonts w:ascii="Arial" w:hAnsi="Arial"/>
          <w:sz w:val="22"/>
        </w:rPr>
        <w:t xml:space="preserve"> tarkoitetut tekoälyjärjestelmät, mukaan lukien niiden mahdolliset uudet versiot </w:t>
      </w:r>
    </w:p>
    <w:p w14:paraId="22C6535F" w14:textId="77777777" w:rsidR="00F9102F" w:rsidRPr="00BD0EE8" w:rsidRDefault="00F9102F" w:rsidP="000F1F04">
      <w:pPr>
        <w:pStyle w:val="doBullets1"/>
        <w:numPr>
          <w:ilvl w:val="0"/>
          <w:numId w:val="0"/>
        </w:numPr>
        <w:ind w:left="851" w:hanging="851"/>
        <w:rPr>
          <w:rFonts w:ascii="Arial" w:hAnsi="Arial" w:cs="Arial"/>
          <w:sz w:val="22"/>
          <w:szCs w:val="22"/>
        </w:rPr>
      </w:pPr>
    </w:p>
    <w:p w14:paraId="5F51D15C" w14:textId="7889CB88" w:rsidR="00BA16C1" w:rsidRPr="00BD0EE8" w:rsidRDefault="007E2E87" w:rsidP="00F9102F">
      <w:pPr>
        <w:pStyle w:val="doBullets1"/>
        <w:numPr>
          <w:ilvl w:val="0"/>
          <w:numId w:val="0"/>
        </w:numPr>
        <w:ind w:left="851" w:hanging="851"/>
        <w:rPr>
          <w:rFonts w:ascii="Arial" w:hAnsi="Arial" w:cs="Arial"/>
          <w:sz w:val="22"/>
          <w:szCs w:val="22"/>
        </w:rPr>
      </w:pPr>
      <w:r>
        <w:rPr>
          <w:rFonts w:ascii="Arial" w:hAnsi="Arial"/>
          <w:sz w:val="22"/>
          <w:u w:val="single"/>
        </w:rPr>
        <w:t>MCC-AI-Light-lausekkeet</w:t>
      </w:r>
      <w:r>
        <w:rPr>
          <w:rFonts w:ascii="Arial" w:hAnsi="Arial"/>
          <w:sz w:val="22"/>
        </w:rPr>
        <w:t>: nämä vakiosopimuslausekkeet julkisten organisaatioiden muun kuin suuririskisen tekoälyn hankintaa varten</w:t>
      </w:r>
    </w:p>
    <w:p w14:paraId="6ECC944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60D99BB9"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julkisen organisaation datajoukot</w:t>
      </w:r>
      <w:r>
        <w:rPr>
          <w:rFonts w:ascii="Arial" w:hAnsi="Arial"/>
          <w:sz w:val="22"/>
        </w:rPr>
        <w:t>: datajoukot (tai niiden osat), jotka i) julkinen organisaatio toimittaa toimittajalle sopimuksen mukaisesti tai ii) jotka on tarkoitus luoda tai kerätä osana sopimusta, mukaan lukien luetelluissa kohdissa i) ja ii) tarkoitettujen datajoukkojen mahdolliset muutetut tai laajennetut versiot (esimerkiksi huomautusten, merkintöjen, puhdistamisen, rikastamisen tai yhdistämisen vuoksi)</w:t>
      </w:r>
    </w:p>
    <w:p w14:paraId="691622B9"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1737F83A"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datajoukot</w:t>
      </w:r>
      <w:r>
        <w:rPr>
          <w:rFonts w:ascii="Arial" w:hAnsi="Arial"/>
          <w:sz w:val="22"/>
        </w:rPr>
        <w:t xml:space="preserve">: kaikki tekoälyjärjestelmän kehittämisessä käytettävät datajoukot, mukaan lukien </w:t>
      </w:r>
      <w:r>
        <w:rPr>
          <w:rFonts w:ascii="Arial" w:hAnsi="Arial"/>
          <w:b/>
          <w:sz w:val="22"/>
        </w:rPr>
        <w:t>liitteessä B</w:t>
      </w:r>
      <w:r>
        <w:rPr>
          <w:rFonts w:ascii="Arial" w:hAnsi="Arial"/>
          <w:sz w:val="22"/>
        </w:rPr>
        <w:t xml:space="preserve"> kuvatut datajoukot</w:t>
      </w:r>
    </w:p>
    <w:p w14:paraId="3B97DE58"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93A91C0"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toimitus</w:t>
      </w:r>
      <w:r>
        <w:rPr>
          <w:rFonts w:ascii="Arial" w:hAnsi="Arial"/>
          <w:sz w:val="22"/>
        </w:rPr>
        <w:t>: ajankohta, jona toimittaja ilmoittaa julkiselle organisaatiolle, että tekoälyjärjestelmä täyttää kaikki sovitut ehdot ja on käyttövalmis</w:t>
      </w:r>
    </w:p>
    <w:p w14:paraId="6F9EE48A"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36F653EF" w14:textId="14BD4336"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käyttötarkoitus</w:t>
      </w:r>
      <w:r>
        <w:rPr>
          <w:rFonts w:ascii="Arial" w:hAnsi="Arial"/>
          <w:sz w:val="22"/>
        </w:rPr>
        <w:t>: käyttö, johon julkinen organisaatio on tarkoittanut tekoälyjärjestelmän, mukaan lukien erityinen käyttöyhteys ja erityiset käyttöolosuhteet, siten kuin ne on määritelty liitteessä B, tiedoissa, jotka toimittaja on antanut käyttöohjeissa, markkinointi- tai myyntimateriaaleissa ja -ilmoituksissa sekä teknisessä dokumentaatiossa</w:t>
      </w:r>
    </w:p>
    <w:p w14:paraId="4806D39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667EBE4" w14:textId="59520662" w:rsidR="001A7E31" w:rsidRPr="00BD0EE8" w:rsidRDefault="00BA16C1" w:rsidP="006B0F35">
      <w:pPr>
        <w:pStyle w:val="doBullets1"/>
        <w:numPr>
          <w:ilvl w:val="0"/>
          <w:numId w:val="0"/>
        </w:numPr>
        <w:ind w:left="851" w:hanging="851"/>
        <w:rPr>
          <w:rFonts w:ascii="Arial" w:hAnsi="Arial" w:cs="Arial"/>
          <w:color w:val="000000"/>
          <w:sz w:val="22"/>
          <w:szCs w:val="22"/>
          <w:shd w:val="clear" w:color="auto" w:fill="FFFFFF"/>
        </w:rPr>
      </w:pPr>
      <w:r>
        <w:rPr>
          <w:rFonts w:ascii="Arial" w:hAnsi="Arial"/>
          <w:color w:val="000000"/>
          <w:sz w:val="22"/>
          <w:u w:val="single"/>
          <w:shd w:val="clear" w:color="auto" w:fill="FFFFFF"/>
        </w:rPr>
        <w:t>kohtuudella ennakoitavissa oleva väärinkäyttö</w:t>
      </w:r>
      <w:r>
        <w:rPr>
          <w:rFonts w:ascii="Arial" w:hAnsi="Arial"/>
          <w:color w:val="000000"/>
          <w:sz w:val="22"/>
          <w:shd w:val="clear" w:color="auto" w:fill="FFFFFF"/>
        </w:rPr>
        <w:t>: tekoälyjärjestelmän käyttö tavalla, joka ei ole sen käyttötarkoituksen mukainen mutta joka voi olla seurausta kohtuudella ennakoitavissa olevasta ihmisen käyttäytymisestä tai järjestelmän vuorovaikutuksesta muiden järjestelmien kanssa, mukaan lukien tekoälyjärjestelmät</w:t>
      </w:r>
    </w:p>
    <w:p w14:paraId="4E23BE9E"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225FB3B8" w14:textId="35856D7F"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merkittävä muutos</w:t>
      </w:r>
      <w:r>
        <w:rPr>
          <w:rFonts w:ascii="Arial" w:hAnsi="Arial"/>
          <w:sz w:val="22"/>
        </w:rPr>
        <w:t>: toimituksen jälkeen tekoälyjärjestelmään tehtävä muutos, joka vaikuttaa siihen, onko tekoälyjärjestelmä MCC-AI-Light-lausekkeissa vahvistettujen vaatimusten mukainen, tai joka muuttaa käyttötarkoitusta</w:t>
      </w:r>
    </w:p>
    <w:p w14:paraId="611DEB06"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4C7E666C" w14:textId="77777777" w:rsidR="00BA16C1" w:rsidRPr="00BD0EE8" w:rsidRDefault="00BA16C1" w:rsidP="006B0F35">
      <w:pPr>
        <w:pStyle w:val="doBullets1"/>
        <w:numPr>
          <w:ilvl w:val="0"/>
          <w:numId w:val="0"/>
        </w:numPr>
        <w:ind w:left="851" w:hanging="851"/>
        <w:rPr>
          <w:rFonts w:ascii="Arial" w:hAnsi="Arial" w:cs="Arial"/>
          <w:color w:val="000000"/>
          <w:sz w:val="22"/>
          <w:szCs w:val="22"/>
          <w:shd w:val="clear" w:color="auto" w:fill="FFFFFF"/>
        </w:rPr>
      </w:pPr>
      <w:r>
        <w:rPr>
          <w:rFonts w:ascii="Arial" w:hAnsi="Arial"/>
          <w:sz w:val="22"/>
          <w:u w:val="single"/>
        </w:rPr>
        <w:lastRenderedPageBreak/>
        <w:t>toimittaja</w:t>
      </w:r>
      <w:r>
        <w:rPr>
          <w:rFonts w:ascii="Arial" w:hAnsi="Arial"/>
          <w:sz w:val="22"/>
        </w:rPr>
        <w:t xml:space="preserve">: </w:t>
      </w:r>
      <w:r>
        <w:rPr>
          <w:rFonts w:ascii="Arial" w:hAnsi="Arial"/>
          <w:color w:val="000000"/>
          <w:sz w:val="22"/>
          <w:shd w:val="clear" w:color="auto" w:fill="FFFFFF"/>
        </w:rPr>
        <w:t>luonnollinen henkilö tai oikeushenkilö, viranomainen, virasto tai muu elin, joka toimittaa tekoälyjärjestelmän julkiselle organisaatiolle sopimuksen mukaisesti</w:t>
      </w:r>
    </w:p>
    <w:p w14:paraId="260D879C" w14:textId="77777777" w:rsidR="006B0F35" w:rsidRPr="00BD0EE8" w:rsidRDefault="006B0F35" w:rsidP="000F1F04">
      <w:pPr>
        <w:pStyle w:val="doBullets1"/>
        <w:numPr>
          <w:ilvl w:val="0"/>
          <w:numId w:val="0"/>
        </w:numPr>
        <w:ind w:left="851" w:hanging="851"/>
        <w:rPr>
          <w:rFonts w:ascii="Arial" w:hAnsi="Arial" w:cs="Arial"/>
          <w:sz w:val="22"/>
          <w:szCs w:val="22"/>
        </w:rPr>
      </w:pPr>
    </w:p>
    <w:p w14:paraId="282C0923" w14:textId="5AC68191" w:rsidR="00BA16C1" w:rsidRPr="00BD0EE8" w:rsidRDefault="00BA16C1" w:rsidP="000F1F04">
      <w:pPr>
        <w:pStyle w:val="doBullets1"/>
        <w:numPr>
          <w:ilvl w:val="0"/>
          <w:numId w:val="0"/>
        </w:numPr>
        <w:ind w:left="851" w:hanging="851"/>
        <w:rPr>
          <w:rFonts w:ascii="Arial" w:hAnsi="Arial" w:cs="Arial"/>
          <w:sz w:val="22"/>
          <w:szCs w:val="22"/>
        </w:rPr>
      </w:pPr>
      <w:r>
        <w:rPr>
          <w:rFonts w:ascii="Arial" w:hAnsi="Arial"/>
          <w:sz w:val="22"/>
          <w:u w:val="single"/>
        </w:rPr>
        <w:t>Toimittajan datajoukot ja kolmannen osapuolen datajoukot</w:t>
      </w:r>
      <w:r>
        <w:rPr>
          <w:rFonts w:ascii="Arial" w:hAnsi="Arial"/>
          <w:sz w:val="22"/>
        </w:rPr>
        <w:t>: datajoukot (tai niiden osat), joita ei katsota julkisen organisaation datajoukoiksi.</w:t>
      </w:r>
    </w:p>
    <w:p w14:paraId="3C675DA1" w14:textId="77777777" w:rsidR="00BA16C1" w:rsidRPr="00BD0EE8" w:rsidRDefault="00BA16C1" w:rsidP="00BA16C1">
      <w:pPr>
        <w:pStyle w:val="doBullets1"/>
        <w:numPr>
          <w:ilvl w:val="0"/>
          <w:numId w:val="0"/>
        </w:numPr>
        <w:ind w:left="851"/>
        <w:rPr>
          <w:rFonts w:ascii="Arial" w:hAnsi="Arial" w:cs="Arial"/>
          <w:sz w:val="22"/>
          <w:szCs w:val="22"/>
        </w:rPr>
      </w:pPr>
    </w:p>
    <w:p w14:paraId="647FC220" w14:textId="77777777" w:rsidR="006B28C0" w:rsidRPr="00BD0EE8" w:rsidRDefault="006B28C0" w:rsidP="00BA16C1">
      <w:pPr>
        <w:pStyle w:val="doBullets1"/>
        <w:numPr>
          <w:ilvl w:val="0"/>
          <w:numId w:val="0"/>
        </w:numPr>
        <w:ind w:left="851"/>
        <w:rPr>
          <w:rFonts w:ascii="Arial" w:hAnsi="Arial" w:cs="Arial"/>
          <w:sz w:val="22"/>
          <w:szCs w:val="22"/>
        </w:rPr>
      </w:pPr>
    </w:p>
    <w:p w14:paraId="14474142" w14:textId="77777777" w:rsidR="00BA16C1" w:rsidRPr="00BD0EE8" w:rsidRDefault="00BA16C1" w:rsidP="00BA16C1">
      <w:pPr>
        <w:rPr>
          <w:rFonts w:ascii="Arial" w:hAnsi="Arial" w:cs="Arial"/>
          <w:b/>
          <w:bCs/>
          <w:sz w:val="26"/>
          <w:szCs w:val="26"/>
        </w:rPr>
      </w:pPr>
      <w:r>
        <w:rPr>
          <w:rFonts w:ascii="Arial" w:hAnsi="Arial"/>
          <w:b/>
          <w:sz w:val="26"/>
        </w:rPr>
        <w:t xml:space="preserve">B jakso – Tekoälyjärjestelmään liittyvät olennaiset vaatimukset </w:t>
      </w:r>
    </w:p>
    <w:p w14:paraId="0C9F4F94" w14:textId="77777777" w:rsidR="00592294" w:rsidRPr="00BD0EE8" w:rsidRDefault="00592294" w:rsidP="000F1F04">
      <w:pPr>
        <w:pStyle w:val="doLijstnummering7"/>
        <w:numPr>
          <w:ilvl w:val="0"/>
          <w:numId w:val="0"/>
        </w:numPr>
        <w:ind w:left="851"/>
        <w:rPr>
          <w:rFonts w:ascii="Arial" w:hAnsi="Arial"/>
          <w:sz w:val="22"/>
        </w:rPr>
      </w:pPr>
    </w:p>
    <w:p w14:paraId="56BCA8FF" w14:textId="77777777" w:rsidR="00592294" w:rsidRPr="00BD0EE8" w:rsidRDefault="00592294" w:rsidP="000F1F04">
      <w:pPr>
        <w:pStyle w:val="doLijstnummering7"/>
        <w:rPr>
          <w:rFonts w:ascii="Arial" w:hAnsi="Arial" w:cs="Arial"/>
          <w:sz w:val="22"/>
          <w:szCs w:val="22"/>
        </w:rPr>
      </w:pPr>
      <w:r>
        <w:rPr>
          <w:rFonts w:ascii="Arial" w:hAnsi="Arial"/>
          <w:sz w:val="22"/>
        </w:rPr>
        <w:t>Riskinhallintajärjestelmä</w:t>
      </w:r>
    </w:p>
    <w:p w14:paraId="1EAC1C60" w14:textId="77777777" w:rsidR="00592294" w:rsidRPr="00BD0EE8" w:rsidRDefault="00592294" w:rsidP="00592294">
      <w:pPr>
        <w:rPr>
          <w:rFonts w:ascii="Arial" w:hAnsi="Arial" w:cs="Arial"/>
          <w:b/>
          <w:i/>
          <w:sz w:val="22"/>
          <w:szCs w:val="22"/>
        </w:rPr>
      </w:pPr>
    </w:p>
    <w:p w14:paraId="4BC94B44" w14:textId="0C658F1D"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Toimittaja varmistaa, että ennen tekoälyjärjestelmän toimitusta </w:t>
      </w:r>
      <w:r>
        <w:rPr>
          <w:rFonts w:ascii="Arial" w:hAnsi="Arial"/>
          <w:color w:val="000000"/>
          <w:sz w:val="22"/>
          <w:shd w:val="clear" w:color="auto" w:fill="FFFFFF"/>
        </w:rPr>
        <w:t>perustetaan, pannaan täytäntöön ja dokumentoidaan tekoälyjärjestelmään liittyvä riskinhallintajärjestelmä ja ylläpidetään sitä.</w:t>
      </w:r>
      <w:r>
        <w:rPr>
          <w:rFonts w:ascii="Arial" w:hAnsi="Arial"/>
          <w:sz w:val="22"/>
        </w:rPr>
        <w:t xml:space="preserve"> </w:t>
      </w:r>
    </w:p>
    <w:p w14:paraId="045958FB"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Riskinhallintajärjestelmään on sisällytettävä ainakin seuraavat vaiheet:</w:t>
      </w:r>
    </w:p>
    <w:p w14:paraId="72B75086" w14:textId="1C7E6638"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niiden tunnettujen ja kohtuudella ennakoitavissa olevien riskien tunnistaminen ja arviointi, joita tekoälyjärjestelmä voi aiheuttaa liittyen terveyteen, turvallisuuteen tai perusoikeuksiin, kun tekoälyjärjestelmää käytetään käyttötarkoituksensa mukaisesti</w:t>
      </w:r>
    </w:p>
    <w:p w14:paraId="7D991F7C" w14:textId="06BD4879" w:rsidR="00592294" w:rsidRPr="00BD0EE8" w:rsidRDefault="00592294" w:rsidP="00592294">
      <w:pPr>
        <w:pStyle w:val="doLijstnummering7"/>
        <w:numPr>
          <w:ilvl w:val="2"/>
          <w:numId w:val="6"/>
        </w:numPr>
        <w:rPr>
          <w:rFonts w:ascii="Arial" w:hAnsi="Arial"/>
          <w:color w:val="000000"/>
          <w:sz w:val="22"/>
          <w:shd w:val="clear" w:color="auto" w:fill="FFFFFF"/>
        </w:rPr>
      </w:pPr>
      <w:r>
        <w:rPr>
          <w:rFonts w:ascii="Arial" w:hAnsi="Arial"/>
          <w:color w:val="000000"/>
          <w:sz w:val="22"/>
          <w:shd w:val="clear" w:color="auto" w:fill="FFFFFF"/>
        </w:rPr>
        <w:t>niiden riskien arviointi, joita voi syntyä, kun tekoälyjärjestelmää käytetään käyttötarkoituksensa mukaisesti ja kohtuudella ennakoitavissa olevissa väärinkäyttöolosuhteissa</w:t>
      </w:r>
    </w:p>
    <w:p w14:paraId="7659CD28" w14:textId="0003832F" w:rsidR="00592294" w:rsidRPr="00BD0EE8" w:rsidRDefault="00592294" w:rsidP="00592294">
      <w:pPr>
        <w:pStyle w:val="doLijstnummering7"/>
        <w:numPr>
          <w:ilvl w:val="2"/>
          <w:numId w:val="6"/>
        </w:numPr>
        <w:rPr>
          <w:rFonts w:ascii="Arial" w:hAnsi="Arial" w:cs="Arial"/>
          <w:sz w:val="22"/>
          <w:szCs w:val="22"/>
        </w:rPr>
      </w:pPr>
      <w:r>
        <w:rPr>
          <w:rFonts w:ascii="Arial" w:hAnsi="Arial"/>
          <w:color w:val="000000"/>
          <w:sz w:val="22"/>
          <w:shd w:val="clear" w:color="auto" w:fill="FFFFFF"/>
        </w:rPr>
        <w:t>muiden mahdollisesti syntyvien riskien arviointi markkinoille saattamisen jälkeisestä seurantajärjestelmästä kerättyjen tietojen analysoinnin perusteella</w:t>
      </w:r>
    </w:p>
    <w:p w14:paraId="6E207422" w14:textId="438E5D80" w:rsidR="00592294" w:rsidRPr="00360601" w:rsidRDefault="00592294" w:rsidP="00592294">
      <w:pPr>
        <w:pStyle w:val="doLijstnummering7"/>
        <w:numPr>
          <w:ilvl w:val="2"/>
          <w:numId w:val="6"/>
        </w:numPr>
        <w:rPr>
          <w:rFonts w:ascii="Arial" w:hAnsi="Arial" w:cs="Arial"/>
          <w:sz w:val="22"/>
          <w:szCs w:val="22"/>
        </w:rPr>
      </w:pPr>
      <w:r>
        <w:rPr>
          <w:rFonts w:ascii="Arial" w:hAnsi="Arial"/>
          <w:color w:val="000000"/>
          <w:sz w:val="22"/>
          <w:shd w:val="clear" w:color="auto" w:fill="FFFFFF"/>
        </w:rPr>
        <w:t>asianmukaisten ja kohdennettujen riskinhallintatoimenpiteiden toteuttaminen tämän kohdan a alakohdan mukaisesti tunnistettujen riskien torjumiseksi seuraavien kohtien säännösten mukaisesti.</w:t>
      </w:r>
    </w:p>
    <w:p w14:paraId="6E143F40" w14:textId="77777777" w:rsidR="00592294" w:rsidRPr="00360601" w:rsidRDefault="00592294" w:rsidP="00592294">
      <w:pPr>
        <w:pStyle w:val="doLijstnummering7"/>
        <w:numPr>
          <w:ilvl w:val="1"/>
          <w:numId w:val="6"/>
        </w:numPr>
        <w:rPr>
          <w:rFonts w:ascii="Arial" w:hAnsi="Arial" w:cs="Arial"/>
          <w:sz w:val="22"/>
          <w:szCs w:val="22"/>
        </w:rPr>
      </w:pPr>
      <w:r>
        <w:rPr>
          <w:rFonts w:ascii="Arial" w:hAnsi="Arial"/>
          <w:sz w:val="22"/>
        </w:rPr>
        <w:t>Tässä artiklassa tarkoitetut riskit koskevat ainoastaan niitä riskejä, joita voidaan kohtuudella</w:t>
      </w:r>
    </w:p>
    <w:p w14:paraId="7E3C2284" w14:textId="2900A4A9" w:rsidR="00A20CA4" w:rsidRDefault="00592294" w:rsidP="00A20CA4">
      <w:pPr>
        <w:pStyle w:val="doLijstnummering7"/>
        <w:numPr>
          <w:ilvl w:val="0"/>
          <w:numId w:val="0"/>
        </w:numPr>
        <w:ind w:left="706"/>
        <w:rPr>
          <w:rFonts w:ascii="Arial" w:hAnsi="Arial" w:cs="Arial"/>
          <w:sz w:val="22"/>
          <w:szCs w:val="22"/>
        </w:rPr>
      </w:pPr>
      <w:r>
        <w:rPr>
          <w:rFonts w:ascii="Arial" w:hAnsi="Arial"/>
          <w:sz w:val="22"/>
        </w:rPr>
        <w:t xml:space="preserve">lieventää ja poistaa tekoälyjärjestelmän kehittämisen tai suunnittelun avulla tai asianmukaisten teknisten tietojen antamisella. </w:t>
      </w:r>
    </w:p>
    <w:p w14:paraId="7FC684A7" w14:textId="151B7D6B" w:rsidR="00442824" w:rsidRPr="00BD0EE8" w:rsidRDefault="00442824" w:rsidP="00A20CA4">
      <w:pPr>
        <w:pStyle w:val="doLijstnummering7"/>
        <w:numPr>
          <w:ilvl w:val="1"/>
          <w:numId w:val="6"/>
        </w:numPr>
        <w:ind w:left="706"/>
        <w:rPr>
          <w:rFonts w:ascii="Arial" w:hAnsi="Arial" w:cs="Arial"/>
          <w:sz w:val="22"/>
          <w:szCs w:val="22"/>
        </w:rPr>
      </w:pPr>
      <w:r>
        <w:rPr>
          <w:rFonts w:ascii="Arial" w:hAnsi="Arial"/>
          <w:sz w:val="22"/>
        </w:rPr>
        <w:t>Tässä artiklassa tarkoitetuissa riskeissä on otettava asianmukaisesti huomioon vaikutukset ja mahdollinen vuorovaikutus, jotka johtuvat B jaksossa säädettyjen vaatimusten soveltamisesta yhdessä, jotta voidaan minimoida riskit tehokkaammin ja saavuttaa samalla asianmukainen tasapaino toteutettaessa toimenpiteet kyseisten vaatimusten täyttämiseksi.</w:t>
      </w:r>
    </w:p>
    <w:p w14:paraId="2A48B261" w14:textId="32DDA1EB"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Sopimuksen 2.2 kohdan d alakohdassa tarkoitettujen riskinhallintatoimenpiteiden on oltava sellaisia, että toimittaja katsoo kuhunkin vaaraan liittyvien jäännösriskien ja tekoälyjärjestelmän kokonaisjäännösriskin olevan hyväksyttävällä tasolla edellyttäen, että tekoälyjärjestelmää käytetään käyttötarkoituksen mukaisesti tai kohtuudella ennakoitavissa olevissa väärinkäyttöolosuhteissa.</w:t>
      </w:r>
    </w:p>
    <w:p w14:paraId="41EFEB6F" w14:textId="7B997B66"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Sopimuksen 2.2 kohdan d alakohdassa tarkoitettuja tarkoituksenmukaisimpia riskinhallintatoimenpiteitä määritettäessä on varmistettava seuraavat seikat:</w:t>
      </w:r>
    </w:p>
    <w:p w14:paraId="2C27E402" w14:textId="4A1FFFC0"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lastRenderedPageBreak/>
        <w:t>2.2 kohdan nojalla määritettyjen ja arvioitujen riskien poistaminen tai vähentäminen siinä määrin kuin se on teknisesti mahdollista tekoälyjärjestelmän asianmukaisella suunnittelulla ja kehittämisellä</w:t>
      </w:r>
    </w:p>
    <w:p w14:paraId="1162DCAC" w14:textId="48A340CA"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tarvittaessa asianmukaisten riskinvähentämis- ja valvontatoimenpiteiden toteuttaminen sellaisiin riskeihin puuttumiseksi, joita ei voida poistaa</w:t>
      </w:r>
    </w:p>
    <w:p w14:paraId="18B871F4" w14:textId="39F96FA2" w:rsidR="00592294" w:rsidRPr="00BD0EE8" w:rsidRDefault="00592294" w:rsidP="006A54AF">
      <w:pPr>
        <w:pStyle w:val="doLijstnummering7"/>
        <w:numPr>
          <w:ilvl w:val="2"/>
          <w:numId w:val="6"/>
        </w:numPr>
        <w:rPr>
          <w:rFonts w:ascii="Arial" w:hAnsi="Arial" w:cs="Arial"/>
          <w:sz w:val="22"/>
          <w:szCs w:val="22"/>
        </w:rPr>
      </w:pPr>
      <w:r>
        <w:rPr>
          <w:rFonts w:ascii="Arial" w:hAnsi="Arial"/>
          <w:sz w:val="22"/>
          <w:bdr w:val="none" w:sz="0" w:space="0" w:color="auto" w:frame="1"/>
        </w:rPr>
        <w:t>riittävien tietojen antaminen julkiselle organisaatiolle ja tarvittaessa koulutuksen tarjoaminen käyttöönottajille.</w:t>
      </w:r>
    </w:p>
    <w:p w14:paraId="76F84B58" w14:textId="65754BA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 xml:space="preserve">Toimittaja varmistaa, että ennen tekoälyjärjestelmän toimitusta tekoälyjärjestelmä testataan sen tarkistamiseksi, onko se MCC-AI-Light-lausekkeiden mukainen ja ovatko 2.2 kohdan d alakohdassa tarkoitetut riskinhallintatoimenpiteet tehokkaita, kun otetaan huomioon käyttötarkoitus ja </w:t>
      </w:r>
      <w:r>
        <w:rPr>
          <w:rFonts w:ascii="Arial" w:hAnsi="Arial"/>
          <w:sz w:val="22"/>
        </w:rPr>
        <w:t>kohtuudella ennakoitavissa oleva väärinkäyttö</w:t>
      </w:r>
      <w:r>
        <w:rPr>
          <w:rFonts w:ascii="Arial" w:hAnsi="Arial"/>
          <w:sz w:val="22"/>
          <w:bdr w:val="none" w:sz="0" w:space="0" w:color="auto" w:frame="1"/>
        </w:rPr>
        <w:t xml:space="preserve">. Toimittajan on julkisen organisaation pyynnöstä testattava tekoälyjärjestelmä julkisen organisaation ympäristössä. </w:t>
      </w:r>
    </w:p>
    <w:p w14:paraId="2E6F6788"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Tekoälyjärjestelmän testaus on tapauksen mukaan suoritettava milloin tahansa kehitysprosessin aikana ja joka tapauksessa ennen järjestelmän toimitusta. Testauksessa on käytettävä ennalta määriteltyjä mittareita ja todennäköisyyden kynnyksiä, jotka soveltuvat tekoälyjärjestelmän suunniteltuun käyttötarkoitukseen.</w:t>
      </w:r>
    </w:p>
    <w:p w14:paraId="02E389ED"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Toimittajan on dokumentoitava kaikki tämän artiklan noudattamisen yhteydessä havaitut riskit, toteutetut toimenpiteet ja suoritetut testit. Toimittajan on asetettava nämä asiakirjat julkisen organisaation saataville viimeistään tekoälyjärjestelmän toimituksen yhteydessä. Nämä asiakirjat voivat olla osa teknistä dokumentaatiota ja/tai käyttöohjeita.</w:t>
      </w:r>
    </w:p>
    <w:p w14:paraId="6E2F0171" w14:textId="07335716"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Riskinhallintajärjestelmä on ymmärrettävä jatkuvana, iteratiivisena prosessina, jonka suunnittelu ja toteutus jatkuu koko sopimuksen keston ajan. Tekoälyjärjestelmän toimituksen jälkeen toimittajan on näin ollen</w:t>
      </w:r>
    </w:p>
    <w:p w14:paraId="1C573CAC" w14:textId="3BB27BD4"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tarkistettava ja päivitettävä riskinhallintaprosessi säännöllisesti sen jatkuvan tehokkuuden varmistamiseksi </w:t>
      </w:r>
    </w:p>
    <w:p w14:paraId="59BF5D30" w14:textId="59DD804C"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pidettävä 2 artiklan 7 kohdassa kuvatut asiakirjat </w:t>
      </w:r>
      <w:r>
        <w:rPr>
          <w:rFonts w:ascii="Arial" w:hAnsi="Arial"/>
          <w:sz w:val="22"/>
        </w:rPr>
        <w:t>ajan tasalla</w:t>
      </w:r>
      <w:r>
        <w:rPr>
          <w:rFonts w:ascii="Arial" w:hAnsi="Arial"/>
          <w:sz w:val="22"/>
          <w:bdr w:val="none" w:sz="0" w:space="0" w:color="auto" w:frame="1"/>
        </w:rPr>
        <w:t xml:space="preserve"> sekä</w:t>
      </w:r>
    </w:p>
    <w:p w14:paraId="1D66D7F3" w14:textId="218FBE5A"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asetettava 2 artiklan 7 kohdassa kuvattujen asiakirjojen kaikki uudet versiot viipymättä julkisen organisaation saataville.</w:t>
      </w:r>
    </w:p>
    <w:p w14:paraId="0D775322"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Julkinen organisaatio toimittaa toimittajalle pyynnöstä tietoja, jotka eivät ole luottamuksellisia, jos se on kohtuudella perusteltua toimittajan riskinhallintajärjestelmän asianmukaisen toteuttamisen kannalta.</w:t>
      </w:r>
    </w:p>
    <w:p w14:paraId="35BCE843" w14:textId="2748D346"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b/>
          <w:sz w:val="22"/>
          <w:bdr w:val="none" w:sz="0" w:space="0" w:color="auto" w:frame="1"/>
        </w:rPr>
        <w:t>&lt;Valinnainen&gt;</w:t>
      </w:r>
      <w:r>
        <w:rPr>
          <w:rFonts w:ascii="Arial" w:hAnsi="Arial"/>
          <w:sz w:val="22"/>
          <w:bdr w:val="none" w:sz="0" w:space="0" w:color="auto" w:frame="1"/>
        </w:rPr>
        <w:t xml:space="preserve"> Jos julkinen organisaatio jatkaa tekoälyjärjestelmän käyttöä sopimuksen voimassaoloajan jälkeen, toimittajan on sopimuksen voimassaolon päättyessä toimitettava julkiselle organisaatiolle tiedot, joita julkinen organisaatio tarvitsee pitääkseen riskinhallintajärjestelmää yllä itse.</w:t>
      </w:r>
    </w:p>
    <w:p w14:paraId="5FA05E58" w14:textId="3D9BBF3D" w:rsidR="00E0118B" w:rsidRPr="00BD0EE8" w:rsidRDefault="00E0118B" w:rsidP="004169B9">
      <w:pPr>
        <w:pStyle w:val="doLijstnummering7"/>
        <w:numPr>
          <w:ilvl w:val="0"/>
          <w:numId w:val="0"/>
        </w:numPr>
        <w:ind w:left="709"/>
        <w:rPr>
          <w:rFonts w:ascii="Arial" w:hAnsi="Arial" w:cs="Arial"/>
          <w:bCs/>
          <w:sz w:val="22"/>
          <w:szCs w:val="22"/>
          <w:bdr w:val="none" w:sz="0" w:space="0" w:color="auto" w:frame="1"/>
        </w:rPr>
      </w:pPr>
    </w:p>
    <w:p w14:paraId="1EBF1F59" w14:textId="77777777" w:rsidR="00E0118B" w:rsidRPr="00BD0EE8" w:rsidRDefault="00E0118B" w:rsidP="004169B9">
      <w:pPr>
        <w:pStyle w:val="doLijstnummering7"/>
        <w:numPr>
          <w:ilvl w:val="0"/>
          <w:numId w:val="0"/>
        </w:numPr>
        <w:ind w:left="709"/>
        <w:rPr>
          <w:rFonts w:ascii="Arial" w:hAnsi="Arial" w:cs="Arial"/>
          <w:bCs/>
          <w:sz w:val="22"/>
          <w:szCs w:val="22"/>
          <w:bdr w:val="none" w:sz="0" w:space="0" w:color="auto" w:frame="1"/>
        </w:rPr>
      </w:pPr>
    </w:p>
    <w:p w14:paraId="2B2732ED" w14:textId="77777777" w:rsidR="00592294" w:rsidRPr="00BD0EE8" w:rsidRDefault="00592294" w:rsidP="00592294">
      <w:pPr>
        <w:pStyle w:val="doLijstnummering7"/>
        <w:numPr>
          <w:ilvl w:val="0"/>
          <w:numId w:val="0"/>
        </w:numPr>
        <w:ind w:left="851" w:hanging="851"/>
      </w:pPr>
    </w:p>
    <w:p w14:paraId="19D966BF" w14:textId="72794A13" w:rsidR="00592294" w:rsidRPr="00BD0EE8" w:rsidRDefault="00592294" w:rsidP="000F1F04">
      <w:pPr>
        <w:pStyle w:val="doLijstnummering7"/>
        <w:rPr>
          <w:rFonts w:ascii="Arial" w:hAnsi="Arial" w:cs="Arial"/>
          <w:sz w:val="22"/>
          <w:szCs w:val="22"/>
        </w:rPr>
      </w:pPr>
      <w:r>
        <w:rPr>
          <w:rFonts w:ascii="Arial" w:hAnsi="Arial"/>
          <w:b/>
          <w:sz w:val="22"/>
        </w:rPr>
        <w:t>&lt;3 artikla koskee vain tekoälyjärjestelmiä, joissa käytetään tekniikoita, joihin sisältyy mallien kouluttaminen datan avulla. Lisäksi 3 artiklassa edellytetään, että toimittajalla (tai sen alihankkijoilla) on täysi pääsy datajoukkoihin. Jos datajoukot ovat yksinomaan julkisen organisaation hallussa, on tehtävä muita järjestelyjä.&gt;</w:t>
      </w:r>
      <w:r>
        <w:rPr>
          <w:rFonts w:ascii="Arial" w:hAnsi="Arial"/>
          <w:sz w:val="22"/>
        </w:rPr>
        <w:t xml:space="preserve"> Data ja datahallinto</w:t>
      </w:r>
    </w:p>
    <w:p w14:paraId="44476D27" w14:textId="77777777" w:rsidR="00592294" w:rsidRPr="00BD0EE8" w:rsidRDefault="00592294" w:rsidP="00592294">
      <w:pPr>
        <w:pStyle w:val="doLijstnummering7"/>
        <w:numPr>
          <w:ilvl w:val="0"/>
          <w:numId w:val="0"/>
        </w:numPr>
        <w:ind w:left="851"/>
        <w:rPr>
          <w:rFonts w:ascii="Arial" w:hAnsi="Arial" w:cs="Arial"/>
          <w:sz w:val="22"/>
          <w:szCs w:val="22"/>
        </w:rPr>
      </w:pPr>
    </w:p>
    <w:p w14:paraId="03333AC0" w14:textId="7B5A894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Toimittaja varmistaa, että tekoälyjärjestelmän kehittämisessä, mukaan lukien sen koulutuksessa, validoinnissa ja testauksessa, käytettäviin datajoukkoihin on sovellettu ja sovelletaan myöhemmin tekoälyjärjestelmän käyttötarkoituksen kannalta asianmukaisia datanhallinta- ja hallinnointikäytäntöjä. Nämä toimenpiteet koskevat erityisesti:</w:t>
      </w:r>
    </w:p>
    <w:p w14:paraId="5F619976"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asiaankuuluvia suunnitteluvalintoja</w:t>
      </w:r>
    </w:p>
    <w:p w14:paraId="3E49292C" w14:textId="6962624B"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datan keruuprosesseja ja datan alkuperää sekä henkilötietojen osalta datankeruun alkuperäistä tarkoitusta</w:t>
      </w:r>
    </w:p>
    <w:p w14:paraId="17BD5DA5"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asiaankuuluvia tietojenkäsittelytoimia, kuten huomautusten ja tunnisteiden lisäämistä, puhdistusta, ajantasaistamista, rikastamista ja yhdistämistä</w:t>
      </w:r>
    </w:p>
    <w:p w14:paraId="56BE428E" w14:textId="0DB3B9D0"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oletusten muotoilua erityisesti niiden tietojen osalta, joita datan on tarkoitus mitata ja edustaa</w:t>
      </w:r>
    </w:p>
    <w:p w14:paraId="5C0C2397"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tarvittavien datajoukkojen saatavuuden, määrän ja soveltuvuuden arviointia</w:t>
      </w:r>
    </w:p>
    <w:p w14:paraId="58BE482C" w14:textId="73E98AE6"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sellaisten mahdollisten vinoutumien selvittämistä, jotka todennäköisesti vaikuttavat ihmisten terveyteen ja turvallisuuteen, vaikuttavat kielteisesti perusoikeuksiin tai johtavat unionin oikeudessa kiellettyyn syrjintään, erityisesti silloin, kun tuotokset vaikuttavat tulevien toimintojen syöttötietoihin</w:t>
      </w:r>
    </w:p>
    <w:p w14:paraId="16E3A48A" w14:textId="618296FC"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asianmukaisia toimenpiteitä f alakohdan mukaisesti havaittujen mahdollisten vinoutumien havaitsemiseksi, ehkäisemiseksi ja lieventämiseksi</w:t>
      </w:r>
    </w:p>
    <w:p w14:paraId="362C12D5" w14:textId="69E71E15"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sellaisten merkityksellisten puuttuvien tai puutteellisten tietojen tunnistamista, jotka estävät MCC-AI-Light-lausekkeisiin sisältyvien vaatimusten täyttämisen ja sitä, miten nämä puutteet voidaan korjata.</w:t>
      </w:r>
    </w:p>
    <w:p w14:paraId="53DB40E8" w14:textId="629083BE"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Toimittaja varmistaa, että tekoälyjärjestelmän kehittämisessä käytettävät datajoukot ovat </w:t>
      </w:r>
      <w:r>
        <w:rPr>
          <w:rFonts w:ascii="Arial" w:hAnsi="Arial"/>
          <w:sz w:val="22"/>
          <w:bdr w:val="none" w:sz="0" w:space="0" w:color="auto" w:frame="1"/>
        </w:rPr>
        <w:t xml:space="preserve">merkityksellisiä, riittävän edustavia </w:t>
      </w:r>
      <w:r>
        <w:rPr>
          <w:rFonts w:ascii="Arial" w:hAnsi="Arial"/>
          <w:sz w:val="22"/>
        </w:rPr>
        <w:t>sekä</w:t>
      </w:r>
      <w:r>
        <w:rPr>
          <w:rFonts w:ascii="Arial" w:hAnsi="Arial"/>
          <w:sz w:val="22"/>
          <w:bdr w:val="none" w:sz="0" w:space="0" w:color="auto" w:frame="1"/>
        </w:rPr>
        <w:t xml:space="preserve"> mahdollisimman virheettömiä ja täydellisiä käyttötarkoitukseensa nähden. Toimittaja varmistaa, että datajoukoilla on asianmukaiset tilastolliset ominaisuudet, tarvittaessa myös niiden henkilöiden tai henkilöryhmien osalta, joihin tekoälyjärjestelmää on tarkoitus käyttää. Nämä datajoukkojen ominaisuudet voidaan saavuttaa yksittäisten datajoukkojen tai niiden yhdistelmän tasolla.</w:t>
      </w:r>
    </w:p>
    <w:p w14:paraId="1D55E1B8" w14:textId="1B8F9DCA"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Toimittaja varmistaa, että tekoälyjärjestelmän kehittämisessä käytettävissä datajoukoissa </w:t>
      </w:r>
      <w:r>
        <w:rPr>
          <w:rFonts w:ascii="Arial" w:hAnsi="Arial"/>
          <w:sz w:val="22"/>
          <w:bdr w:val="none" w:sz="0" w:space="0" w:color="auto" w:frame="1"/>
        </w:rPr>
        <w:t>otetaan käyttötarkoituksen tai kohtuudella ennakoitavissa olevan väärinkäytön edellyttämässä laajuudessa huomioon ne ominaisuudet tai osatekijät, jotka ovat ominaisia sille maantieteelliselle, kontekstuaaliselle käyttäytymiseen liittyvälle tai toiminnalliselle ympäristölle, jossa tekoälyjärjestelmää on tarkoitus käyttää.</w:t>
      </w:r>
    </w:p>
    <w:p w14:paraId="02C116BB"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Tämän artiklan mukaisia velvoitteita ei sovelleta ainoastaan tekoälyjärjestelmän kehittämiseen ennen toimitusta, vaan myös sellaiseen datajoukkojen käyttöön toimittajan toimesta, joka voi vaikuttaa tekoälyjärjestelmän toimintaan milloin tahansa sopimuksen voimassaoloaikana.</w:t>
      </w:r>
    </w:p>
    <w:p w14:paraId="4491B0F7" w14:textId="77777777" w:rsidR="00592294" w:rsidRPr="00BD0EE8" w:rsidRDefault="00592294" w:rsidP="000F1F04">
      <w:pPr>
        <w:rPr>
          <w:rFonts w:ascii="Arial" w:hAnsi="Arial"/>
          <w:sz w:val="22"/>
        </w:rPr>
      </w:pPr>
    </w:p>
    <w:p w14:paraId="243ED3F1" w14:textId="77777777" w:rsidR="00592294" w:rsidRPr="00BD0EE8" w:rsidRDefault="00592294" w:rsidP="000F1F04">
      <w:pPr>
        <w:pStyle w:val="doLijstnummering7"/>
        <w:rPr>
          <w:rFonts w:ascii="Arial" w:hAnsi="Arial" w:cs="Arial"/>
          <w:sz w:val="22"/>
          <w:szCs w:val="22"/>
        </w:rPr>
      </w:pPr>
      <w:r>
        <w:rPr>
          <w:rFonts w:ascii="Arial" w:hAnsi="Arial"/>
          <w:sz w:val="22"/>
        </w:rPr>
        <w:t>Tekninen dokumentaatio ja käyttöohjeet</w:t>
      </w:r>
    </w:p>
    <w:p w14:paraId="195597B9" w14:textId="77777777" w:rsidR="00592294" w:rsidRPr="00BD0EE8" w:rsidRDefault="00592294" w:rsidP="00592294">
      <w:pPr>
        <w:pStyle w:val="doLijstnummering7"/>
        <w:numPr>
          <w:ilvl w:val="0"/>
          <w:numId w:val="0"/>
        </w:numPr>
        <w:ind w:left="851"/>
        <w:rPr>
          <w:rFonts w:ascii="Arial" w:hAnsi="Arial" w:cs="Arial"/>
          <w:sz w:val="22"/>
          <w:szCs w:val="22"/>
        </w:rPr>
      </w:pPr>
    </w:p>
    <w:p w14:paraId="03AA5F84"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Kun toimittaja toimittaa tekoälyjärjestelmän, </w:t>
      </w:r>
      <w:r>
        <w:rPr>
          <w:rFonts w:ascii="Arial" w:hAnsi="Arial"/>
          <w:sz w:val="22"/>
          <w:bdr w:val="none" w:sz="0" w:space="0" w:color="auto" w:frame="1"/>
        </w:rPr>
        <w:t xml:space="preserve">toimitukseen </w:t>
      </w:r>
      <w:r>
        <w:rPr>
          <w:rFonts w:ascii="Arial" w:hAnsi="Arial"/>
          <w:sz w:val="22"/>
        </w:rPr>
        <w:t>sisältyy teknisen dokumentaation ja käyttöohjeiden luovuttaminen.</w:t>
      </w:r>
    </w:p>
    <w:p w14:paraId="3A1EED1F" w14:textId="6684C8CE"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lastRenderedPageBreak/>
        <w:t xml:space="preserve">Julkisen organisaation tai kolmannen osapuolen on voitava teknisen dokumentaation perusteella arvioida, onko tekoälyjärjestelmä MCC-AI-Light-lausekkeissa vahvistettujen vaatimusten mukainen ja vähintään </w:t>
      </w:r>
      <w:r>
        <w:rPr>
          <w:rFonts w:ascii="Arial" w:hAnsi="Arial"/>
          <w:b/>
          <w:sz w:val="22"/>
        </w:rPr>
        <w:t>liitteessä C</w:t>
      </w:r>
      <w:r>
        <w:rPr>
          <w:rFonts w:ascii="Arial" w:hAnsi="Arial"/>
          <w:sz w:val="22"/>
        </w:rPr>
        <w:t xml:space="preserve"> kuvattujen ehtojen mukainen. </w:t>
      </w:r>
    </w:p>
    <w:p w14:paraId="4F7B9182"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Käyttöohjeissa on annettava </w:t>
      </w:r>
      <w:r>
        <w:rPr>
          <w:rFonts w:ascii="Arial" w:hAnsi="Arial"/>
          <w:color w:val="000000"/>
          <w:sz w:val="22"/>
          <w:shd w:val="clear" w:color="auto" w:fill="FFFFFF"/>
        </w:rPr>
        <w:t xml:space="preserve">ytimekkäitä, täydellisiä, paikkansapitäviä ja selkeitä tietoja, jotka ovat julkisen organisaation kannalta olennaisia, esteettömiä ja ymmärrettäviä. Käyttöohjeiden on täytettävä vähintään </w:t>
      </w:r>
      <w:r>
        <w:rPr>
          <w:rFonts w:ascii="Arial" w:hAnsi="Arial"/>
          <w:b/>
          <w:color w:val="000000"/>
          <w:sz w:val="22"/>
          <w:shd w:val="clear" w:color="auto" w:fill="FFFFFF"/>
        </w:rPr>
        <w:t>liitteessä D</w:t>
      </w:r>
      <w:r>
        <w:rPr>
          <w:rFonts w:ascii="Arial" w:hAnsi="Arial"/>
          <w:color w:val="000000"/>
          <w:sz w:val="22"/>
          <w:shd w:val="clear" w:color="auto" w:fill="FFFFFF"/>
        </w:rPr>
        <w:t xml:space="preserve"> esitetyt ehdot.</w:t>
      </w:r>
    </w:p>
    <w:p w14:paraId="5289FA7F" w14:textId="27004A09"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rPr>
        <w:t>Toimittajan on päivitettävä nämä asiakirjat ainakin jokaisen merkittävän muutoksen yhteydessä sopimuksen voimassaoloaikana ja asetettava ne sen jälkeen julkisen organisaation saataville.</w:t>
      </w:r>
    </w:p>
    <w:p w14:paraId="125BC4EA" w14:textId="23874853"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&lt;Valinnainen&gt;</w:t>
      </w:r>
      <w:r>
        <w:rPr>
          <w:rFonts w:ascii="Arial" w:hAnsi="Arial"/>
          <w:sz w:val="22"/>
        </w:rPr>
        <w:t xml:space="preserve"> Tekninen dokumentaatio ja käyttöohjeet on laadittava englanniksi.</w:t>
      </w:r>
    </w:p>
    <w:p w14:paraId="659DF243" w14:textId="7CDD0E52"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&lt;Valinnainen&gt;</w:t>
      </w:r>
      <w:r>
        <w:rPr>
          <w:rFonts w:ascii="Arial" w:hAnsi="Arial"/>
          <w:sz w:val="22"/>
        </w:rPr>
        <w:t xml:space="preserve"> Julkisella organisaatiolla on oikeus tehdä teknisestä dokumentaatiosta ja käyttöohjeista kopioita siinä määrin kuin se on tarpeen julkisen organisaation sisäistä käyttöä varten, sanotun kuitenkaan rajoittamatta 6 ja 11 artiklan säännösten soveltamista.</w:t>
      </w:r>
    </w:p>
    <w:p w14:paraId="7763E973" w14:textId="77777777" w:rsidR="00592294" w:rsidRPr="00BD0EE8" w:rsidRDefault="00592294" w:rsidP="00592294">
      <w:pPr>
        <w:pStyle w:val="doLijstnummering7"/>
        <w:numPr>
          <w:ilvl w:val="0"/>
          <w:numId w:val="0"/>
        </w:numPr>
        <w:ind w:left="851"/>
        <w:rPr>
          <w:rFonts w:ascii="Arial" w:hAnsi="Arial" w:cs="Arial"/>
          <w:sz w:val="22"/>
          <w:szCs w:val="22"/>
        </w:rPr>
      </w:pPr>
    </w:p>
    <w:p w14:paraId="4EFFDD4F" w14:textId="77777777" w:rsidR="00592294" w:rsidRPr="00BD0EE8" w:rsidRDefault="00592294" w:rsidP="000F1F04">
      <w:pPr>
        <w:pStyle w:val="doLijstnummering7"/>
        <w:rPr>
          <w:rFonts w:ascii="Arial" w:hAnsi="Arial" w:cs="Arial"/>
          <w:sz w:val="22"/>
          <w:szCs w:val="22"/>
        </w:rPr>
      </w:pPr>
      <w:r>
        <w:rPr>
          <w:rFonts w:ascii="Arial" w:hAnsi="Arial"/>
          <w:sz w:val="22"/>
        </w:rPr>
        <w:t>Tietojen säilyttäminen</w:t>
      </w:r>
    </w:p>
    <w:p w14:paraId="48D9F558" w14:textId="77777777" w:rsidR="00592294" w:rsidRPr="00BD0EE8" w:rsidRDefault="00592294" w:rsidP="00592294">
      <w:pPr>
        <w:pStyle w:val="doLijstnummering7"/>
        <w:numPr>
          <w:ilvl w:val="0"/>
          <w:numId w:val="0"/>
        </w:numPr>
        <w:ind w:left="851"/>
        <w:rPr>
          <w:rFonts w:ascii="Arial" w:hAnsi="Arial" w:cs="Arial"/>
          <w:sz w:val="22"/>
          <w:szCs w:val="22"/>
        </w:rPr>
      </w:pPr>
    </w:p>
    <w:p w14:paraId="6CA5FC0B" w14:textId="7D7BAAD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Toimittajan tulee varmistaa, että tekoälyjärjestelmässä mahdollistetaan teknisesti tapahtumien automaattinen tallentaminen (”lokitiedot”) järjestelmän koko elinkaaren ajan. </w:t>
      </w:r>
    </w:p>
    <w:p w14:paraId="36C33259" w14:textId="70AF2F47" w:rsidR="00592294" w:rsidRPr="00BD0EE8" w:rsidRDefault="00592294" w:rsidP="00592294">
      <w:pPr>
        <w:pStyle w:val="doLijstnummering7"/>
        <w:numPr>
          <w:ilvl w:val="1"/>
          <w:numId w:val="6"/>
        </w:numPr>
        <w:rPr>
          <w:rFonts w:ascii="Arial" w:hAnsi="Arial" w:cs="Arial"/>
          <w:sz w:val="22"/>
          <w:szCs w:val="22"/>
        </w:rPr>
      </w:pPr>
      <w:proofErr w:type="spellStart"/>
      <w:r>
        <w:rPr>
          <w:rFonts w:ascii="Arial" w:hAnsi="Arial"/>
          <w:sz w:val="22"/>
        </w:rPr>
        <w:t>Lokitusvalmiuksilla</w:t>
      </w:r>
      <w:proofErr w:type="spellEnd"/>
      <w:r>
        <w:rPr>
          <w:rFonts w:ascii="Arial" w:hAnsi="Arial"/>
          <w:sz w:val="22"/>
        </w:rPr>
        <w:t xml:space="preserve"> on varmistettava sellainen tekoälyjärjestelmän toiminnan jäljitettävyyden taso, joka on oikeassa suhteessa järjestelmän käyttötarkoitukseen ja </w:t>
      </w:r>
      <w:r>
        <w:rPr>
          <w:rFonts w:ascii="Arial" w:hAnsi="Arial"/>
          <w:sz w:val="22"/>
          <w:bdr w:val="none" w:sz="0" w:space="0" w:color="auto" w:frame="1"/>
        </w:rPr>
        <w:t>kohtuudella ennakoitavissa olevaan väärinkäyttöön</w:t>
      </w:r>
      <w:r>
        <w:rPr>
          <w:rFonts w:ascii="Arial" w:hAnsi="Arial"/>
          <w:sz w:val="22"/>
        </w:rPr>
        <w:t xml:space="preserve">. Niiden on mahdollistettava tapahtumien tallentaminen, kun tapahtumat ovat merkityksellisiä havaittaessa tilanteita, jotka voivat </w:t>
      </w:r>
    </w:p>
    <w:p w14:paraId="796F6003"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 xml:space="preserve">johtaa siihen, että tekoälyjärjestelmä aiheuttaa riskin ihmisten terveydelle tai turvallisuudelle tai perusoikeuksien suojelulle tai </w:t>
      </w:r>
    </w:p>
    <w:p w14:paraId="40C35192"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johtaa merkittävään muutokseen.</w:t>
      </w:r>
    </w:p>
    <w:p w14:paraId="201D18E5" w14:textId="443A01F0" w:rsidR="00592294" w:rsidRPr="00BD0EE8" w:rsidRDefault="00592294" w:rsidP="00592294">
      <w:pPr>
        <w:pStyle w:val="doLijstnummering7"/>
        <w:numPr>
          <w:ilvl w:val="1"/>
          <w:numId w:val="6"/>
        </w:numPr>
        <w:rPr>
          <w:rFonts w:ascii="Arial" w:hAnsi="Arial" w:cs="Arial"/>
          <w:sz w:val="22"/>
          <w:szCs w:val="22"/>
        </w:rPr>
      </w:pPr>
      <w:r>
        <w:rPr>
          <w:rFonts w:ascii="Arial" w:hAnsi="Arial"/>
          <w:b/>
          <w:sz w:val="22"/>
        </w:rPr>
        <w:t>&lt;Valinnainen&gt;</w:t>
      </w:r>
      <w:r>
        <w:rPr>
          <w:rFonts w:ascii="Arial" w:hAnsi="Arial"/>
          <w:sz w:val="22"/>
        </w:rPr>
        <w:t xml:space="preserve"> Toimittaja antaa julkiselle organisaatiolle pääsyn tekoälyjärjestelmän automaattisesti luomiin lokitietoihin reaaliaikaisesti.</w:t>
      </w:r>
    </w:p>
    <w:p w14:paraId="1750CE47" w14:textId="77777777" w:rsidR="00592294" w:rsidRPr="00A20CA4" w:rsidRDefault="00592294" w:rsidP="00592294">
      <w:pPr>
        <w:pStyle w:val="doLijstnummering7"/>
        <w:numPr>
          <w:ilvl w:val="1"/>
          <w:numId w:val="6"/>
        </w:numPr>
        <w:rPr>
          <w:rFonts w:ascii="Arial" w:hAnsi="Arial" w:cs="Arial"/>
          <w:sz w:val="22"/>
          <w:szCs w:val="22"/>
        </w:rPr>
      </w:pPr>
      <w:r>
        <w:rPr>
          <w:rFonts w:ascii="Arial" w:hAnsi="Arial"/>
          <w:sz w:val="22"/>
        </w:rPr>
        <w:t>Toimittajan on säilytettävä tekoälyjärjestelmän automaattisesti tuottamat lokitiedot sopimuksen voimassaolon ajan, siltä osin kuin tällaiset lokitiedot ovat sopimuksen nojalla sen määräysvallassa. Sopimuksen voimassaolon päätyttyä toimittaja toimittaa viipymättä julkiselle organisaatiolle nämä lokitiedot.</w:t>
      </w:r>
    </w:p>
    <w:p w14:paraId="12063F68" w14:textId="77777777" w:rsidR="00592294" w:rsidRPr="00BD0EE8" w:rsidRDefault="00592294" w:rsidP="00592294">
      <w:pPr>
        <w:pStyle w:val="doLijstnummering7"/>
        <w:numPr>
          <w:ilvl w:val="0"/>
          <w:numId w:val="0"/>
        </w:numPr>
        <w:ind w:left="1560" w:hanging="851"/>
        <w:rPr>
          <w:rFonts w:ascii="Arial" w:hAnsi="Arial" w:cs="Arial"/>
          <w:sz w:val="22"/>
          <w:szCs w:val="22"/>
        </w:rPr>
      </w:pPr>
    </w:p>
    <w:p w14:paraId="14BB2272" w14:textId="77777777" w:rsidR="00592294" w:rsidRPr="00BD0EE8" w:rsidRDefault="00592294" w:rsidP="000F1F04">
      <w:pPr>
        <w:pStyle w:val="doLijstnummering7"/>
        <w:rPr>
          <w:rFonts w:ascii="Arial" w:hAnsi="Arial" w:cs="Arial"/>
          <w:sz w:val="22"/>
          <w:szCs w:val="22"/>
        </w:rPr>
      </w:pPr>
      <w:r>
        <w:rPr>
          <w:rFonts w:ascii="Arial" w:hAnsi="Arial"/>
          <w:sz w:val="22"/>
        </w:rPr>
        <w:t>Tekoälyjärjestelmän avoimuus</w:t>
      </w:r>
    </w:p>
    <w:p w14:paraId="6A252296" w14:textId="77777777" w:rsidR="00592294" w:rsidRPr="00BD0EE8" w:rsidRDefault="00592294" w:rsidP="00592294">
      <w:pPr>
        <w:pStyle w:val="doLijstnummering7"/>
        <w:numPr>
          <w:ilvl w:val="0"/>
          <w:numId w:val="0"/>
        </w:numPr>
        <w:ind w:left="851"/>
        <w:rPr>
          <w:rFonts w:ascii="Arial" w:hAnsi="Arial" w:cs="Arial"/>
          <w:sz w:val="22"/>
          <w:szCs w:val="22"/>
        </w:rPr>
      </w:pPr>
    </w:p>
    <w:p w14:paraId="2DACD705" w14:textId="30F779B3" w:rsidR="00592294" w:rsidRPr="00BD0EE8" w:rsidRDefault="00592294" w:rsidP="00592294">
      <w:pPr>
        <w:pStyle w:val="doLijstnummering7"/>
        <w:numPr>
          <w:ilvl w:val="1"/>
          <w:numId w:val="6"/>
        </w:numPr>
        <w:rPr>
          <w:rFonts w:ascii="Arial" w:hAnsi="Arial" w:cs="Arial"/>
          <w:sz w:val="22"/>
          <w:szCs w:val="22"/>
        </w:rPr>
      </w:pPr>
      <w:r>
        <w:rPr>
          <w:rFonts w:ascii="Arial" w:hAnsi="Arial"/>
          <w:color w:val="000000"/>
          <w:sz w:val="22"/>
          <w:shd w:val="clear" w:color="auto" w:fill="FFFFFF"/>
        </w:rPr>
        <w:t xml:space="preserve">Toimittaja varmistaa, että tekoälyjärjestelmä on suunniteltu ja kehitetty ja sitä suunnitellaan ja kehitetään siten, että tekoälyjärjestelmän toiminta on riittävän avointa, jotta julkinen organisaatio </w:t>
      </w:r>
      <w:r>
        <w:rPr>
          <w:rFonts w:ascii="Arial" w:hAnsi="Arial"/>
          <w:sz w:val="22"/>
        </w:rPr>
        <w:t>pystyy tulkitsemaan järjestelmän tuotoksia ja käyttämään niitä asianmukaisesti</w:t>
      </w:r>
      <w:r>
        <w:rPr>
          <w:rFonts w:ascii="Arial" w:hAnsi="Arial"/>
          <w:color w:val="000000"/>
          <w:sz w:val="22"/>
          <w:shd w:val="clear" w:color="auto" w:fill="FFFFFF"/>
        </w:rPr>
        <w:t>.</w:t>
      </w:r>
    </w:p>
    <w:p w14:paraId="7586769D" w14:textId="6B541199" w:rsidR="009F65B8" w:rsidRPr="00BD0EE8" w:rsidRDefault="003A4BBD" w:rsidP="009F65B8">
      <w:pPr>
        <w:pStyle w:val="doLijstnummering7"/>
        <w:numPr>
          <w:ilvl w:val="1"/>
          <w:numId w:val="6"/>
        </w:numPr>
        <w:rPr>
          <w:rFonts w:ascii="Arial" w:hAnsi="Arial" w:cs="Arial"/>
          <w:sz w:val="22"/>
          <w:szCs w:val="22"/>
        </w:rPr>
      </w:pPr>
      <w:r>
        <w:rPr>
          <w:rFonts w:ascii="Arial" w:hAnsi="Arial"/>
          <w:color w:val="000000"/>
          <w:sz w:val="22"/>
          <w:shd w:val="clear" w:color="auto" w:fill="FFFFFF"/>
        </w:rPr>
        <w:t xml:space="preserve">Tekoälyjärjestelmän mukana on oltava käyttöohjeet asianmukaisessa digitaalisessa tai muussa muodossa, ja niissä on annettava ytimekkäitä, täydellisiä, </w:t>
      </w:r>
      <w:r>
        <w:rPr>
          <w:rFonts w:ascii="Arial" w:hAnsi="Arial"/>
          <w:color w:val="000000"/>
          <w:sz w:val="22"/>
          <w:shd w:val="clear" w:color="auto" w:fill="FFFFFF"/>
        </w:rPr>
        <w:lastRenderedPageBreak/>
        <w:t>paikkansapitäviä ja selkeitä tietoja, jotka ovat julkisen organisaation kannalta olennaisia, esteettömiä ja ymmärrettäviä.</w:t>
      </w:r>
    </w:p>
    <w:p w14:paraId="42816E61" w14:textId="77777777" w:rsidR="009F65B8" w:rsidRPr="00BD0EE8" w:rsidRDefault="009F65B8" w:rsidP="009F65B8">
      <w:pPr>
        <w:pStyle w:val="doLijstnummering7"/>
        <w:numPr>
          <w:ilvl w:val="1"/>
          <w:numId w:val="6"/>
        </w:numPr>
        <w:rPr>
          <w:rFonts w:ascii="Arial" w:hAnsi="Arial" w:cs="Arial"/>
          <w:sz w:val="22"/>
          <w:szCs w:val="22"/>
        </w:rPr>
      </w:pPr>
      <w:r>
        <w:rPr>
          <w:rFonts w:ascii="Arial" w:hAnsi="Arial"/>
          <w:sz w:val="22"/>
        </w:rPr>
        <w:t>Käyttöohjeiden on sisällettävä ainakin seuraavat:</w:t>
      </w:r>
    </w:p>
    <w:p w14:paraId="7A745720" w14:textId="77777777"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toimittajan ja tarvittaessa tämän valtuutetun edustajan henkilöllisyys ja yhteystiedot</w:t>
      </w:r>
    </w:p>
    <w:p w14:paraId="5C3F694C" w14:textId="32AB28BD"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tekoälyjärjestelmän ominaisuudet, valmiudet ja suorituskyvyn rajoitukset, mukaan lukien:</w:t>
      </w:r>
    </w:p>
    <w:p w14:paraId="07B7806C"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käyttötarkoitus</w:t>
      </w:r>
    </w:p>
    <w:p w14:paraId="25C673B9" w14:textId="14198663"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tarkkuuden, mukaan lukien sen mittarit, vakauden ja kyberturvallisuuden taso, johon nähden tekoälyjärjestelmä on testattu ja validoitu ja jota voidaan odottaa, sekä kaikki tunnetut ja ennakoitavissa olevat olosuhteet, joilla voi olla vaikutusta kyseiseen tarkkuuden, vakauden ja kyberturvallisuuden odotettuun tasoon</w:t>
      </w:r>
    </w:p>
    <w:p w14:paraId="4952346F" w14:textId="517BC534"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kaikki tunnetut tai ennakoitavissa olevat olosuhteet, jotka liittyvät tekoälyjärjestelmän käyttöön sen käyttötarkoituksen mukaisesti tai kohtuudella ennakoitavissa olevissa väärinkäyttöolosuhteissa ja jotka voivat aiheuttaa terveyteen ja turvallisuuteen tai perusoikeuksiin kohdistuvia riskejä</w:t>
      </w:r>
    </w:p>
    <w:p w14:paraId="71B250F3"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tapauksen mukaan tekoälyjärjestelmän tekniset valmiudet ja ominaisuudet, jotta voidaan antaa tietoja, jotka ovat merkityksellisiä sen tuotoksen selittämiseksi</w:t>
      </w:r>
    </w:p>
    <w:p w14:paraId="60D8772E"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tarvittaessa tekoälyjärjestelmän käyttäytyminen niiden henkilöiden tai henkilöryhmien osalta, joihin järjestelmää on tarkoitus käyttää</w:t>
      </w:r>
    </w:p>
    <w:p w14:paraId="6B61181E" w14:textId="13A759B8"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tarvittaessa syöttötietoja koskevat spesifikaatiot tai muut käytettyjä koulutus-, validointi- ja testausdatajoukkoja koskevat olennaiset tiedot ottaen huomioon tekoälyjärjestelmän suunniteltu käyttötarkoitus</w:t>
      </w:r>
    </w:p>
    <w:p w14:paraId="06E73322" w14:textId="6B46AC54"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tapauksen mukaan tiedot, joiden avulla julkinen organisaatio voi tulkita tekoälyjärjestelmän tuotoksia ja käyttää niitä asianmukaisesti.</w:t>
      </w:r>
    </w:p>
    <w:p w14:paraId="6EA1591E" w14:textId="32132C02" w:rsidR="009F65B8" w:rsidRDefault="009F65B8" w:rsidP="009F65B8">
      <w:pPr>
        <w:pStyle w:val="doLijstnummering7"/>
        <w:numPr>
          <w:ilvl w:val="2"/>
          <w:numId w:val="6"/>
        </w:numPr>
        <w:rPr>
          <w:rFonts w:ascii="Arial" w:hAnsi="Arial" w:cs="Arial"/>
          <w:sz w:val="22"/>
          <w:szCs w:val="22"/>
        </w:rPr>
      </w:pPr>
      <w:r>
        <w:rPr>
          <w:rFonts w:ascii="Arial" w:hAnsi="Arial"/>
          <w:sz w:val="22"/>
        </w:rPr>
        <w:t>tekoälyjärjestelmän ja sen suorituskyvyn muutokset, jotka tarjoaja on määritellyt ennalta ensimmäisen vaatimustenmukaisuuden arvioinnin yhteydessä, jos sellaisia on</w:t>
      </w:r>
    </w:p>
    <w:p w14:paraId="3D015AD4" w14:textId="77777777" w:rsidR="00414279" w:rsidRDefault="00414279" w:rsidP="00414279">
      <w:pPr>
        <w:pStyle w:val="doLijstnummering7"/>
        <w:numPr>
          <w:ilvl w:val="2"/>
          <w:numId w:val="6"/>
        </w:numPr>
        <w:rPr>
          <w:rFonts w:ascii="Arial" w:hAnsi="Arial" w:cs="Arial"/>
          <w:sz w:val="22"/>
          <w:szCs w:val="22"/>
        </w:rPr>
      </w:pPr>
      <w:r>
        <w:rPr>
          <w:rFonts w:ascii="Arial" w:hAnsi="Arial"/>
          <w:sz w:val="22"/>
        </w:rPr>
        <w:t>ihmisen suorittamat valvontatoimenpiteet, mukaan lukien tekniset toimenpiteet, jotka on otettu käyttöön, jotta käyttöönottajien olisi helpompi tulkita tekoälyjärjestelmän tuotoksia</w:t>
      </w:r>
    </w:p>
    <w:p w14:paraId="5714FFBB" w14:textId="77777777" w:rsidR="00414279" w:rsidRPr="00414279" w:rsidRDefault="00414279" w:rsidP="00414279">
      <w:pPr>
        <w:pStyle w:val="doLijstnummering7"/>
        <w:numPr>
          <w:ilvl w:val="2"/>
          <w:numId w:val="6"/>
        </w:numPr>
        <w:rPr>
          <w:rFonts w:ascii="Arial" w:hAnsi="Arial" w:cs="Arial"/>
          <w:sz w:val="22"/>
          <w:szCs w:val="22"/>
        </w:rPr>
      </w:pPr>
      <w:r>
        <w:rPr>
          <w:rFonts w:ascii="Arial" w:hAnsi="Arial"/>
          <w:sz w:val="22"/>
        </w:rPr>
        <w:t>tarvittavat laskenta- ja laiteresurssit, tekoälyjärjestelmän odotettu käyttöikä ja kaikki tarvittavat ylläpito- ja huoltotoimet, mukaan lukien niiden aikavälit, joilla varmistetaan tekoälyjärjestelmän asianmukainen toiminta, mukaan lukien ohjelmistopäivitykset</w:t>
      </w:r>
    </w:p>
    <w:p w14:paraId="5BA38C5D" w14:textId="77777777" w:rsidR="00414279" w:rsidRPr="00414279" w:rsidRDefault="00414279" w:rsidP="00414279">
      <w:pPr>
        <w:pStyle w:val="doLijstnummering7"/>
        <w:numPr>
          <w:ilvl w:val="2"/>
          <w:numId w:val="6"/>
        </w:numPr>
        <w:rPr>
          <w:rFonts w:ascii="Arial" w:hAnsi="Arial" w:cs="Arial"/>
          <w:sz w:val="22"/>
          <w:szCs w:val="22"/>
        </w:rPr>
      </w:pPr>
      <w:r>
        <w:rPr>
          <w:rFonts w:ascii="Arial" w:hAnsi="Arial"/>
          <w:sz w:val="22"/>
        </w:rPr>
        <w:t xml:space="preserve">tarpeen mukaan kuvaus tekoälyjärjestelmään sisältyvistä mekanismeista, joiden avulla käyttöönottajat voivat asianmukaisesti kerätä, tallentaa ja tulkita lokitietoja, riittävän avoimuuden varmistamiseksi ennen tekoälyjärjestelmän toimittamista. </w:t>
      </w:r>
    </w:p>
    <w:p w14:paraId="2C4CA70D" w14:textId="77777777" w:rsidR="00414279" w:rsidRPr="00414279" w:rsidRDefault="00414279" w:rsidP="000968D7">
      <w:pPr>
        <w:pStyle w:val="doLijstnummering7"/>
        <w:numPr>
          <w:ilvl w:val="1"/>
          <w:numId w:val="6"/>
        </w:numPr>
        <w:rPr>
          <w:rFonts w:ascii="Arial" w:hAnsi="Arial" w:cs="Arial"/>
          <w:sz w:val="22"/>
          <w:szCs w:val="22"/>
        </w:rPr>
      </w:pPr>
      <w:r>
        <w:rPr>
          <w:rFonts w:ascii="Arial" w:hAnsi="Arial"/>
          <w:sz w:val="22"/>
        </w:rPr>
        <w:t>Asianmukaisen läpinäkyvyyden varmistamiseksi toimittajan on ennen tekoälyjärjestelmän toimitusta toteutettava vähintään liitteessä E kuvatut tekniset ja organisatoriset toimenpiteet.</w:t>
      </w:r>
    </w:p>
    <w:p w14:paraId="13B15A58" w14:textId="77777777" w:rsidR="00414279" w:rsidRPr="00414279" w:rsidRDefault="00414279" w:rsidP="000968D7">
      <w:pPr>
        <w:pStyle w:val="doLijstnummering7"/>
        <w:numPr>
          <w:ilvl w:val="0"/>
          <w:numId w:val="0"/>
        </w:numPr>
        <w:ind w:left="1418"/>
        <w:rPr>
          <w:rFonts w:ascii="Arial" w:hAnsi="Arial" w:cs="Arial"/>
          <w:sz w:val="22"/>
          <w:szCs w:val="22"/>
        </w:rPr>
      </w:pPr>
    </w:p>
    <w:p w14:paraId="08302803" w14:textId="77777777" w:rsidR="00414279" w:rsidRPr="00414279" w:rsidRDefault="00414279" w:rsidP="000968D7">
      <w:pPr>
        <w:pStyle w:val="doLijstnummering7"/>
        <w:numPr>
          <w:ilvl w:val="0"/>
          <w:numId w:val="0"/>
        </w:numPr>
        <w:ind w:left="1418"/>
        <w:rPr>
          <w:rFonts w:ascii="Arial" w:hAnsi="Arial" w:cs="Arial"/>
          <w:sz w:val="22"/>
          <w:szCs w:val="22"/>
        </w:rPr>
      </w:pPr>
    </w:p>
    <w:p w14:paraId="4DAC295D" w14:textId="77777777" w:rsidR="00592294" w:rsidRPr="00BD0EE8" w:rsidRDefault="00592294" w:rsidP="000F1F04">
      <w:pPr>
        <w:pStyle w:val="doLijstnummering7"/>
        <w:rPr>
          <w:rFonts w:ascii="Arial" w:hAnsi="Arial" w:cs="Arial"/>
          <w:sz w:val="22"/>
          <w:szCs w:val="22"/>
        </w:rPr>
      </w:pPr>
      <w:r>
        <w:rPr>
          <w:rFonts w:ascii="Arial" w:hAnsi="Arial"/>
          <w:sz w:val="22"/>
        </w:rPr>
        <w:t>Ihmisen suorittama valvonta</w:t>
      </w:r>
    </w:p>
    <w:p w14:paraId="60BBA675" w14:textId="77777777" w:rsidR="00592294" w:rsidRPr="00BD0EE8" w:rsidRDefault="00592294" w:rsidP="00592294">
      <w:pPr>
        <w:pStyle w:val="doLijstnummering7"/>
        <w:numPr>
          <w:ilvl w:val="0"/>
          <w:numId w:val="0"/>
        </w:numPr>
        <w:ind w:left="851"/>
        <w:rPr>
          <w:rFonts w:ascii="Arial" w:hAnsi="Arial" w:cs="Arial"/>
          <w:sz w:val="22"/>
          <w:szCs w:val="22"/>
        </w:rPr>
      </w:pPr>
    </w:p>
    <w:p w14:paraId="19EDAFE5" w14:textId="4CEFCBF5"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Toimittaja varmistaa, että tekoälyjärjestelmä on suunniteltu ja kehitetty ja sitä suunnitellaan ja kehitetään siten, että luonnolliset henkilöt voivat valvoa sitä tehokkaasti sen käyttöaikana, </w:t>
      </w:r>
      <w:r>
        <w:rPr>
          <w:rFonts w:ascii="Arial" w:hAnsi="Arial"/>
          <w:sz w:val="22"/>
        </w:rPr>
        <w:t>mukaan lukien asianmukaisten käyttöliittymävälineiden käyttö</w:t>
      </w:r>
      <w:r>
        <w:rPr>
          <w:rFonts w:ascii="Arial" w:hAnsi="Arial"/>
          <w:sz w:val="22"/>
          <w:bdr w:val="none" w:sz="0" w:space="0" w:color="auto" w:frame="1"/>
        </w:rPr>
        <w:t>.</w:t>
      </w:r>
    </w:p>
    <w:p w14:paraId="294CC08F" w14:textId="344D4CAE" w:rsidR="000D00A9" w:rsidRPr="00BD0EE8" w:rsidRDefault="000D00A9" w:rsidP="000D00A9">
      <w:pPr>
        <w:pStyle w:val="doLijstnummering7"/>
        <w:numPr>
          <w:ilvl w:val="1"/>
          <w:numId w:val="6"/>
        </w:numPr>
        <w:rPr>
          <w:rFonts w:ascii="Arial" w:hAnsi="Arial" w:cs="Arial"/>
          <w:sz w:val="22"/>
          <w:szCs w:val="22"/>
        </w:rPr>
      </w:pPr>
      <w:r>
        <w:rPr>
          <w:rFonts w:ascii="Arial" w:hAnsi="Arial"/>
          <w:sz w:val="22"/>
        </w:rPr>
        <w:t>Ihmisen suorittamalla valvonnalla on pyrittävä ehkäisemään tai minimoimaan terveydelle, turvallisuudelle tai perusoikeuksille aiheutuvat riskit, joita voi syntyä, kun tekoälyjärjestelmää käytetään käyttötarkoituksensa mukaisesti tai kohtuudella ennakoitavissa olevissa väärinkäytön olosuhteissa, jos tällaiset riskit jatkuvat huolimatta muiden tässä jaksossa vahvistettujen vaatimusten soveltamisesta.</w:t>
      </w:r>
    </w:p>
    <w:p w14:paraId="7A5A6534" w14:textId="14C32E2F" w:rsidR="000D00A9" w:rsidRPr="00BD0EE8" w:rsidRDefault="000D00A9" w:rsidP="000D00A9">
      <w:pPr>
        <w:pStyle w:val="doLijstnummering7"/>
        <w:numPr>
          <w:ilvl w:val="1"/>
          <w:numId w:val="6"/>
        </w:numPr>
        <w:rPr>
          <w:rFonts w:ascii="Arial" w:hAnsi="Arial" w:cs="Arial"/>
          <w:sz w:val="22"/>
          <w:szCs w:val="22"/>
        </w:rPr>
      </w:pPr>
      <w:r>
        <w:rPr>
          <w:rFonts w:ascii="Arial" w:hAnsi="Arial"/>
          <w:sz w:val="22"/>
        </w:rPr>
        <w:t>Valvontatoimenpiteiden on oltava oikeassa suhteessa tekoälyjärjestelmän riskeihin, itsenäisyyden tasoon ja käyttöympäristöön, ja ne on varmistettava jommallakummalla tai molemmilla seuraavista toimenpidetyypeistä:</w:t>
      </w:r>
    </w:p>
    <w:p w14:paraId="1DB2160E" w14:textId="77777777" w:rsidR="00B61CD1" w:rsidRPr="00B61CD1" w:rsidRDefault="00592294" w:rsidP="00B61CD1">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Toimittaja varmistaa, että ennen toimitusta tekoälyjärjestelmään on sisällytettävä asianmukaiset toimenpiteet, jotka toteutetaan ihmisen suorittaman valvonnan varmistamiseksi. Näillä toimenpiteillä on varmistettava, että ne luonnolliset henkilöt, joiden tehtäväksi ihmisen suorittama valvonta on annettu, voivat asianmukaisesti ja oikeasuhteisesti</w:t>
      </w:r>
    </w:p>
    <w:p w14:paraId="4E81B26A" w14:textId="5404E47C" w:rsidR="00592294" w:rsidRPr="00BD0EE8" w:rsidRDefault="00592294" w:rsidP="00B61CD1">
      <w:pPr>
        <w:pStyle w:val="doLijstnummering7"/>
        <w:numPr>
          <w:ilvl w:val="0"/>
          <w:numId w:val="0"/>
        </w:numPr>
        <w:ind w:left="709"/>
        <w:rPr>
          <w:rFonts w:ascii="Arial" w:hAnsi="Arial" w:cs="Arial"/>
          <w:sz w:val="22"/>
          <w:szCs w:val="22"/>
        </w:rPr>
      </w:pPr>
    </w:p>
    <w:p w14:paraId="60A67E9F" w14:textId="402F4F5B"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 xml:space="preserve">ymmärtää riittävällä tavalla </w:t>
      </w:r>
      <w:r>
        <w:rPr>
          <w:rFonts w:ascii="Arial" w:hAnsi="Arial"/>
          <w:sz w:val="22"/>
          <w:bdr w:val="none" w:sz="0" w:space="0" w:color="auto" w:frame="1"/>
        </w:rPr>
        <w:t>tekoälyjärjestelmään liittyvät valmiudet ja rajoitukset ja seurata sen toimintaa tarpeen mukaan, jotta poikkeavuuksien, toimintahäiriöiden ja odottamattoman toiminnan merkit voidaan havaita ja niihin voidaan puuttua</w:t>
      </w:r>
    </w:p>
    <w:p w14:paraId="6E548C1A" w14:textId="535BB165"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pysyä tietoisina mahdollisesta taipumuksesta luottaa automaattisesti tai liiallisesti tekoälyjärjestelmän tuottamiin tuloksiin (”automaatiovinouma”), erityisesti silloin, jos tekoälyjärjestelmää käytetään tietojen tai suositusten antamiseen luonnollisten henkilöiden tekemiä päätöksiä varten</w:t>
      </w:r>
    </w:p>
    <w:p w14:paraId="3C8FA254" w14:textId="64335048"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tulkita oikein tekoälyjärjestelmän tuotoksia ottaen esimerkiksi erityisesti huomioon järjestelmän ominaisuudet sekä käytettävissä olevat tulkintavälineet ja -menetelmät</w:t>
      </w:r>
    </w:p>
    <w:p w14:paraId="6D53451B" w14:textId="1F9BD0FF"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päättää missä tahansa erityistilanteessa, että tekoälyjärjestelmää ei käytetä, tai muutoin jättää huomiotta, korjata tai peruuttaa tekoälyjärjestelmän tuotokset</w:t>
      </w:r>
    </w:p>
    <w:p w14:paraId="2E8F1FC9" w14:textId="30F3FC34" w:rsidR="00592294" w:rsidRPr="00BD0EE8" w:rsidRDefault="00592294" w:rsidP="00592294">
      <w:pPr>
        <w:pStyle w:val="doLijstnummering7"/>
        <w:numPr>
          <w:ilvl w:val="2"/>
          <w:numId w:val="6"/>
        </w:numPr>
        <w:rPr>
          <w:rFonts w:ascii="Arial" w:hAnsi="Arial"/>
          <w:sz w:val="22"/>
          <w:bdr w:val="none" w:sz="0" w:space="0" w:color="auto" w:frame="1"/>
        </w:rPr>
      </w:pPr>
      <w:r>
        <w:rPr>
          <w:rFonts w:ascii="Arial" w:hAnsi="Arial"/>
          <w:sz w:val="22"/>
          <w:bdr w:val="none" w:sz="0" w:space="0" w:color="auto" w:frame="1"/>
        </w:rPr>
        <w:t>puuttua tekoälyjärjestelmän toimintaan tai pysäyttää järjestelmän pysäytyspainikkeella tai vastaavalla menettelyllä, jonka avulla järjestelmä voidaan pysäyttää turvalliseen tilaan.</w:t>
      </w:r>
    </w:p>
    <w:p w14:paraId="43C328FA" w14:textId="45DFFE1C"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&lt;Valinnainen&gt;</w:t>
      </w:r>
      <w:r>
        <w:rPr>
          <w:rFonts w:ascii="Arial" w:hAnsi="Arial"/>
          <w:sz w:val="22"/>
        </w:rPr>
        <w:t xml:space="preserve"> Ihmisen suorittaman asianmukaisen valvonnan varmistamiseksi toimittajan on toteutettava vähintään </w:t>
      </w:r>
      <w:r>
        <w:rPr>
          <w:rFonts w:ascii="Arial" w:hAnsi="Arial"/>
          <w:b/>
          <w:sz w:val="22"/>
        </w:rPr>
        <w:t>liitteessä F</w:t>
      </w:r>
      <w:r>
        <w:rPr>
          <w:rFonts w:ascii="Arial" w:hAnsi="Arial"/>
          <w:sz w:val="22"/>
        </w:rPr>
        <w:t xml:space="preserve"> kuvatut tekniset ja organisatoriset toimenpiteet ennen tekoälyjärjestelmän toimitusta</w:t>
      </w:r>
      <w:r>
        <w:rPr>
          <w:rFonts w:ascii="Arial" w:hAnsi="Arial"/>
          <w:b/>
          <w:sz w:val="22"/>
        </w:rPr>
        <w:t>.</w:t>
      </w:r>
    </w:p>
    <w:p w14:paraId="20A82561" w14:textId="77777777" w:rsidR="00987CDE" w:rsidRPr="00BD0EE8" w:rsidRDefault="00987CDE" w:rsidP="004169B9">
      <w:pPr>
        <w:pStyle w:val="doLijstnummering7"/>
        <w:numPr>
          <w:ilvl w:val="0"/>
          <w:numId w:val="0"/>
        </w:numPr>
        <w:ind w:left="709"/>
        <w:rPr>
          <w:rFonts w:ascii="Arial" w:hAnsi="Arial" w:cs="Arial"/>
          <w:sz w:val="22"/>
          <w:szCs w:val="22"/>
        </w:rPr>
      </w:pPr>
    </w:p>
    <w:p w14:paraId="3107D92F" w14:textId="77777777" w:rsidR="00592294" w:rsidRPr="00BD0EE8" w:rsidRDefault="00592294" w:rsidP="00592294">
      <w:pPr>
        <w:pStyle w:val="doLijstnummering7"/>
        <w:numPr>
          <w:ilvl w:val="0"/>
          <w:numId w:val="0"/>
        </w:numPr>
        <w:ind w:left="851"/>
        <w:rPr>
          <w:rFonts w:ascii="Arial" w:hAnsi="Arial" w:cs="Arial"/>
          <w:sz w:val="22"/>
          <w:szCs w:val="22"/>
        </w:rPr>
      </w:pPr>
    </w:p>
    <w:p w14:paraId="1523BC2A" w14:textId="77777777" w:rsidR="00592294" w:rsidRPr="00BD0EE8" w:rsidRDefault="00592294" w:rsidP="000F1F04">
      <w:pPr>
        <w:pStyle w:val="doLijstnummering7"/>
        <w:rPr>
          <w:rFonts w:ascii="Arial" w:hAnsi="Arial" w:cs="Arial"/>
          <w:sz w:val="22"/>
          <w:szCs w:val="22"/>
        </w:rPr>
      </w:pPr>
      <w:r>
        <w:rPr>
          <w:rFonts w:ascii="Arial" w:hAnsi="Arial"/>
          <w:sz w:val="22"/>
        </w:rPr>
        <w:t>Tarkkuus, vakaus ja kyberturvallisuus</w:t>
      </w:r>
    </w:p>
    <w:p w14:paraId="16F653CD" w14:textId="77777777" w:rsidR="00592294" w:rsidRPr="00BD0EE8" w:rsidRDefault="00592294" w:rsidP="00592294">
      <w:pPr>
        <w:pStyle w:val="doLijstnummering7"/>
        <w:numPr>
          <w:ilvl w:val="0"/>
          <w:numId w:val="0"/>
        </w:numPr>
        <w:ind w:left="851"/>
        <w:rPr>
          <w:rFonts w:ascii="Arial" w:hAnsi="Arial" w:cs="Arial"/>
          <w:sz w:val="22"/>
          <w:szCs w:val="22"/>
        </w:rPr>
      </w:pPr>
    </w:p>
    <w:p w14:paraId="02F9B053" w14:textId="019A00E0"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Toimittaja varmistaa, että tekoälyjärjestelmä on suunniteltu ja kehitetty </w:t>
      </w:r>
      <w:r>
        <w:rPr>
          <w:rFonts w:ascii="Arial" w:hAnsi="Arial"/>
          <w:sz w:val="22"/>
        </w:rPr>
        <w:t xml:space="preserve">ja sitä suunnitellaan ja kehitetään siten, että se saavuttaa asianmukaisen tarkkuuden, vakauden, turvallisuuden ja kyberturvallisuuden tason ja toimii tässä suhteessa johdonmukaisesti. </w:t>
      </w:r>
    </w:p>
    <w:p w14:paraId="3FEE1341"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Tekoälyjärjestelmän tarkkuustasot ja niihin liittyvät tarkkuusmittarit on kuvattu </w:t>
      </w:r>
      <w:r>
        <w:rPr>
          <w:rFonts w:ascii="Arial" w:hAnsi="Arial"/>
          <w:b/>
          <w:sz w:val="22"/>
          <w:bdr w:val="none" w:sz="0" w:space="0" w:color="auto" w:frame="1"/>
        </w:rPr>
        <w:t>liitteessä G</w:t>
      </w:r>
      <w:r>
        <w:rPr>
          <w:rFonts w:ascii="Arial" w:hAnsi="Arial"/>
          <w:sz w:val="22"/>
          <w:bdr w:val="none" w:sz="0" w:space="0" w:color="auto" w:frame="1"/>
        </w:rPr>
        <w:t>.</w:t>
      </w:r>
    </w:p>
    <w:p w14:paraId="2B6579D0" w14:textId="1780795B" w:rsidR="00592294" w:rsidRPr="00BD0EE8" w:rsidRDefault="000F1F04" w:rsidP="00592294">
      <w:pPr>
        <w:pStyle w:val="doLijstnummering7"/>
        <w:numPr>
          <w:ilvl w:val="1"/>
          <w:numId w:val="6"/>
        </w:numPr>
        <w:rPr>
          <w:rFonts w:ascii="Arial" w:hAnsi="Arial" w:cs="Arial"/>
          <w:sz w:val="22"/>
          <w:szCs w:val="22"/>
        </w:rPr>
      </w:pPr>
      <w:r>
        <w:rPr>
          <w:rFonts w:ascii="Arial" w:hAnsi="Arial"/>
          <w:sz w:val="22"/>
        </w:rPr>
        <w:t xml:space="preserve">Asianmukaisen vakauden, turvallisuuden ja kyberturvallisuuden tason varmistamiseksi toimittajan on toteutettava vähintään </w:t>
      </w:r>
      <w:r>
        <w:rPr>
          <w:rFonts w:ascii="Arial" w:hAnsi="Arial"/>
          <w:b/>
          <w:sz w:val="22"/>
        </w:rPr>
        <w:t>liitteessä H</w:t>
      </w:r>
      <w:r>
        <w:rPr>
          <w:rFonts w:ascii="Arial" w:hAnsi="Arial"/>
          <w:sz w:val="22"/>
        </w:rPr>
        <w:t xml:space="preserve"> kuvatut tekniset ja organisatoriset toimenpiteet ennen tekoälyjärjestelmän toimitusta. </w:t>
      </w:r>
    </w:p>
    <w:p w14:paraId="02B8F3D0" w14:textId="77777777" w:rsidR="001657E8" w:rsidRPr="00BD0EE8" w:rsidRDefault="001657E8" w:rsidP="000F1F04">
      <w:pPr>
        <w:pStyle w:val="doLijstnummering7"/>
        <w:numPr>
          <w:ilvl w:val="0"/>
          <w:numId w:val="0"/>
        </w:numPr>
        <w:ind w:left="709"/>
        <w:rPr>
          <w:rFonts w:ascii="Arial" w:hAnsi="Arial" w:cs="Arial"/>
          <w:sz w:val="22"/>
          <w:szCs w:val="22"/>
        </w:rPr>
      </w:pPr>
    </w:p>
    <w:p w14:paraId="6EFED8D5" w14:textId="77777777" w:rsidR="00BA16C1" w:rsidRPr="00BD0EE8" w:rsidRDefault="00BA16C1" w:rsidP="00BA16C1">
      <w:pPr>
        <w:pStyle w:val="doLijstnummering7"/>
        <w:numPr>
          <w:ilvl w:val="0"/>
          <w:numId w:val="0"/>
        </w:numPr>
        <w:ind w:left="709"/>
        <w:rPr>
          <w:rFonts w:ascii="Arial" w:hAnsi="Arial" w:cs="Arial"/>
          <w:sz w:val="22"/>
          <w:szCs w:val="22"/>
        </w:rPr>
      </w:pPr>
    </w:p>
    <w:p w14:paraId="41D14D07" w14:textId="77777777" w:rsidR="00BA16C1" w:rsidRPr="00BD0EE8" w:rsidRDefault="00BA16C1" w:rsidP="006B28C0">
      <w:pPr>
        <w:pStyle w:val="doLijstnummering7"/>
        <w:tabs>
          <w:tab w:val="clear" w:pos="851"/>
        </w:tabs>
        <w:ind w:left="1418" w:hanging="1418"/>
        <w:rPr>
          <w:rFonts w:ascii="Arial" w:hAnsi="Arial" w:cs="Arial"/>
          <w:sz w:val="22"/>
          <w:szCs w:val="22"/>
        </w:rPr>
      </w:pPr>
      <w:r>
        <w:rPr>
          <w:rFonts w:ascii="Arial" w:hAnsi="Arial"/>
          <w:sz w:val="22"/>
        </w:rPr>
        <w:t>Vaatimustenmukaisuus</w:t>
      </w:r>
    </w:p>
    <w:p w14:paraId="1584E3E1" w14:textId="77777777" w:rsidR="00BA16C1" w:rsidRPr="00BD0EE8" w:rsidRDefault="00BA16C1" w:rsidP="00BA16C1">
      <w:pPr>
        <w:pStyle w:val="doLijstnummering7"/>
        <w:numPr>
          <w:ilvl w:val="0"/>
          <w:numId w:val="0"/>
        </w:numPr>
        <w:ind w:left="851"/>
        <w:rPr>
          <w:rFonts w:ascii="Arial" w:hAnsi="Arial" w:cs="Arial"/>
          <w:sz w:val="22"/>
          <w:szCs w:val="22"/>
        </w:rPr>
      </w:pPr>
    </w:p>
    <w:p w14:paraId="2626FC84" w14:textId="76C352E3" w:rsidR="00BA16C1" w:rsidRPr="00BD0EE8" w:rsidRDefault="00BA16C1" w:rsidP="00BA16C1">
      <w:pPr>
        <w:pStyle w:val="doLijstnummering7"/>
        <w:numPr>
          <w:ilvl w:val="1"/>
          <w:numId w:val="6"/>
        </w:numPr>
        <w:rPr>
          <w:rFonts w:ascii="Arial" w:hAnsi="Arial" w:cs="Arial"/>
          <w:b/>
          <w:bCs/>
          <w:iCs/>
          <w:sz w:val="22"/>
          <w:szCs w:val="22"/>
        </w:rPr>
      </w:pPr>
      <w:r>
        <w:rPr>
          <w:rFonts w:ascii="Arial" w:hAnsi="Arial"/>
          <w:sz w:val="22"/>
          <w:bdr w:val="none" w:sz="0" w:space="0" w:color="auto" w:frame="1"/>
        </w:rPr>
        <w:t>Toimittajan on varmistettava, että tekoälyjärjestelmä</w:t>
      </w:r>
      <w:r>
        <w:rPr>
          <w:rFonts w:ascii="Arial" w:hAnsi="Arial"/>
          <w:sz w:val="22"/>
        </w:rPr>
        <w:t xml:space="preserve"> täyttää</w:t>
      </w:r>
      <w:r>
        <w:rPr>
          <w:rFonts w:ascii="Arial" w:hAnsi="Arial"/>
          <w:sz w:val="22"/>
          <w:bdr w:val="none" w:sz="0" w:space="0" w:color="auto" w:frame="1"/>
        </w:rPr>
        <w:t xml:space="preserve"> MCC-AI-Light-lausekkeissa vahvistetut vaatimukset tekoälyjärjestelmän toimituksesta sopimuksen voimassaolon päättymiseen saakka.</w:t>
      </w:r>
    </w:p>
    <w:p w14:paraId="40B21C42" w14:textId="4D7419F0"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Toimittajien on asetettava julkisen organisaation ensimmäisestä pyynnöstä julkisen organisaation saataville kaikki tiedot, jotka ovat tarpeen sen osoittamiseksi, että MCC-AI-Light-lausekkeita on noudatettu.</w:t>
      </w:r>
    </w:p>
    <w:p w14:paraId="0BF2F4AF" w14:textId="7A13EC3E"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Jos tekoälyjärjestelmän toimittaja katsoo tai sillä on syytä uskoa sopimuksen voimassaoloaikana, että tekoälyjärjestelmä ei ole MCC-AI-Light-lausekkeiden mukainen, toimittajan on joko vastauksena julkisen organisaation esittämään huomautukseen tai muuten välittömästi toteutettava tarvittavat korjaavat toimenpiteet kyseisen järjestelmän saattamiseksi vaatimusten mukaiseksi. Toimittajan on ilmoitettava asiasta julkiselle organisaatiolle.</w:t>
      </w:r>
    </w:p>
    <w:p w14:paraId="02A195D9" w14:textId="77777777" w:rsidR="00BA16C1" w:rsidRPr="00BD0EE8" w:rsidRDefault="00BA16C1" w:rsidP="00BA16C1">
      <w:pPr>
        <w:pStyle w:val="doLijstnummering7"/>
        <w:numPr>
          <w:ilvl w:val="0"/>
          <w:numId w:val="0"/>
        </w:numPr>
        <w:ind w:left="709"/>
        <w:rPr>
          <w:rFonts w:ascii="Arial" w:hAnsi="Arial" w:cs="Arial"/>
          <w:sz w:val="22"/>
          <w:szCs w:val="22"/>
        </w:rPr>
      </w:pPr>
    </w:p>
    <w:p w14:paraId="0BFE691F" w14:textId="695B017B" w:rsidR="00592294" w:rsidRPr="00B61CD1" w:rsidRDefault="00027B87" w:rsidP="00592294">
      <w:pPr>
        <w:pStyle w:val="doLijstnummering7"/>
        <w:rPr>
          <w:rFonts w:ascii="Arial" w:hAnsi="Arial" w:cs="Arial"/>
          <w:noProof/>
          <w:sz w:val="22"/>
          <w:szCs w:val="22"/>
        </w:rPr>
      </w:pPr>
      <w:r>
        <w:rPr>
          <w:rFonts w:ascii="Arial" w:hAnsi="Arial"/>
          <w:sz w:val="22"/>
        </w:rPr>
        <w:t>Perusoikeusvaikutusten arviointi</w:t>
      </w:r>
    </w:p>
    <w:p w14:paraId="3A138216" w14:textId="77777777" w:rsidR="00592294" w:rsidRPr="00B61CD1" w:rsidRDefault="00592294" w:rsidP="00592294">
      <w:pPr>
        <w:pStyle w:val="doLijstnummering7"/>
        <w:numPr>
          <w:ilvl w:val="0"/>
          <w:numId w:val="0"/>
        </w:numPr>
        <w:ind w:left="709"/>
        <w:rPr>
          <w:rFonts w:ascii="Arial" w:hAnsi="Arial" w:cs="Arial"/>
          <w:noProof/>
          <w:sz w:val="22"/>
          <w:szCs w:val="22"/>
        </w:rPr>
      </w:pPr>
    </w:p>
    <w:p w14:paraId="19725CD4" w14:textId="77777777" w:rsidR="00592294" w:rsidRPr="00B61CD1" w:rsidRDefault="00592294" w:rsidP="00592294">
      <w:pPr>
        <w:pStyle w:val="doLijstnummering7"/>
        <w:numPr>
          <w:ilvl w:val="0"/>
          <w:numId w:val="0"/>
        </w:numPr>
        <w:ind w:left="709"/>
        <w:rPr>
          <w:rFonts w:ascii="Arial" w:hAnsi="Arial" w:cs="Arial"/>
          <w:noProof/>
          <w:sz w:val="22"/>
          <w:szCs w:val="22"/>
        </w:rPr>
      </w:pPr>
      <w:r>
        <w:rPr>
          <w:rFonts w:ascii="Arial" w:hAnsi="Arial"/>
          <w:sz w:val="22"/>
        </w:rPr>
        <w:t>Toimittajan on julkisen organisaation ensimmäisestä pyynnöstä tehtävä yhteistyötä julkisen organisaation kanssa, kun organisaatio arvioi tekoälyjärjestelmän käytön mahdollisia vaikutuksia perusoikeuksiin.</w:t>
      </w:r>
    </w:p>
    <w:p w14:paraId="535FE936" w14:textId="77777777" w:rsidR="00592294" w:rsidRPr="00BD0EE8" w:rsidRDefault="00592294" w:rsidP="00592294">
      <w:pPr>
        <w:pStyle w:val="doLijstnummering7"/>
        <w:numPr>
          <w:ilvl w:val="0"/>
          <w:numId w:val="0"/>
        </w:numPr>
        <w:ind w:left="1418"/>
        <w:rPr>
          <w:rFonts w:ascii="Arial" w:hAnsi="Arial" w:cs="Arial"/>
          <w:sz w:val="22"/>
          <w:szCs w:val="22"/>
        </w:rPr>
      </w:pPr>
    </w:p>
    <w:p w14:paraId="21829F4D" w14:textId="77777777" w:rsidR="00BA16C1" w:rsidRPr="00BD0EE8" w:rsidRDefault="00BA16C1" w:rsidP="00BA16C1">
      <w:pPr>
        <w:pStyle w:val="doLijstnummering7"/>
        <w:tabs>
          <w:tab w:val="clear" w:pos="851"/>
        </w:tabs>
        <w:ind w:left="1418" w:hanging="1418"/>
        <w:rPr>
          <w:rFonts w:ascii="Arial" w:hAnsi="Arial" w:cs="Arial"/>
          <w:sz w:val="22"/>
          <w:szCs w:val="22"/>
        </w:rPr>
      </w:pPr>
      <w:r>
        <w:rPr>
          <w:rFonts w:ascii="Arial" w:hAnsi="Arial"/>
          <w:sz w:val="22"/>
        </w:rPr>
        <w:t xml:space="preserve">Velvollisuus selittää tekoälyjärjestelmän toiminta yksilötasolla </w:t>
      </w:r>
    </w:p>
    <w:p w14:paraId="2B2608EB" w14:textId="77777777" w:rsidR="00BA16C1" w:rsidRPr="00BD0EE8" w:rsidRDefault="00BA16C1" w:rsidP="00BA16C1">
      <w:pPr>
        <w:pStyle w:val="doLijstnummering7"/>
        <w:numPr>
          <w:ilvl w:val="0"/>
          <w:numId w:val="0"/>
        </w:numPr>
        <w:ind w:left="851"/>
        <w:rPr>
          <w:rFonts w:ascii="Arial" w:hAnsi="Arial" w:cs="Arial"/>
          <w:sz w:val="22"/>
          <w:szCs w:val="22"/>
        </w:rPr>
      </w:pPr>
    </w:p>
    <w:p w14:paraId="6D30DED5" w14:textId="42898881" w:rsidR="00DB24E3" w:rsidRPr="00BD0EE8" w:rsidRDefault="00DB24E3" w:rsidP="000F1F04">
      <w:pPr>
        <w:pStyle w:val="doLijstnummering7"/>
        <w:numPr>
          <w:ilvl w:val="1"/>
          <w:numId w:val="20"/>
        </w:numPr>
        <w:rPr>
          <w:rFonts w:ascii="Arial" w:hAnsi="Arial" w:cs="Arial"/>
          <w:sz w:val="22"/>
          <w:szCs w:val="22"/>
        </w:rPr>
      </w:pPr>
      <w:r>
        <w:rPr>
          <w:rFonts w:ascii="Arial" w:hAnsi="Arial"/>
          <w:sz w:val="22"/>
        </w:rPr>
        <w:t>Sopimuksen 6 artiklassa kuvattujen velvoitteiden lisäksi toimittajan on julkisen organisaation ensimmäisestä pyynnöstä autettava julkista organisaatiota antamaan selkeä ja merkityksellinen selitys tekoälyjärjestelmän roolista päätöksentekomenettelyssä. Tässä merkityksellisessä selityksessä olisi annettava tietoja erityisesti (mutta ei yksinomaan) niiden päätösten pääkohdista, jotka koskevat henkilöitä, joihin vaikutukset kohdistuvat ja joihin sovelletaan tekoälyjärjestelmän tuotoksiin perustuvia julkisen organisaation päätöksiä.</w:t>
      </w:r>
    </w:p>
    <w:p w14:paraId="06E18BD1" w14:textId="7FBD770E"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 xml:space="preserve">Sopimuksen 11 artiklan 1 kohdassa kuvattu velvoite sisältää kaikkien tarvittavien teknisten ja muiden tietojen toimittamisen julkiselle organisaatiolle, jotta voidaan selittää, miten tekoälyjärjestelmä on tuottanut tietyn tuotoksen, ja tarjota henkilöille, </w:t>
      </w:r>
      <w:r>
        <w:rPr>
          <w:rFonts w:ascii="Arial" w:hAnsi="Arial"/>
          <w:sz w:val="22"/>
        </w:rPr>
        <w:lastRenderedPageBreak/>
        <w:t>joihin vaikutukset kohdistuvat, mahdollisuus tarkastaa tapa, jolla tekoälyjärjestelmä tuottanut tietyn tuotoksen. Toimittaja myöntää täten julkiselle organisaatiolle oikeuden käyttää, jakaa ja julkistaa näitä tietoja, jos ja siinä määrin kuin on tarpeen tiedottaa niistä asianomaisille henkilöille.</w:t>
      </w:r>
    </w:p>
    <w:p w14:paraId="15BD7CE9" w14:textId="6D2D7EAA" w:rsidR="00DB24E3" w:rsidRPr="00BD0EE8" w:rsidRDefault="00FD0514" w:rsidP="00DB24E3">
      <w:pPr>
        <w:pStyle w:val="doLijstnummering7"/>
        <w:numPr>
          <w:ilvl w:val="1"/>
          <w:numId w:val="6"/>
        </w:numPr>
        <w:rPr>
          <w:rFonts w:ascii="Arial" w:hAnsi="Arial" w:cs="Arial"/>
          <w:sz w:val="22"/>
          <w:szCs w:val="22"/>
        </w:rPr>
      </w:pPr>
      <w:r>
        <w:rPr>
          <w:rFonts w:ascii="Arial" w:hAnsi="Arial"/>
          <w:b/>
          <w:sz w:val="22"/>
        </w:rPr>
        <w:t>&lt;Valinnainen&gt;</w:t>
      </w:r>
      <w:r>
        <w:rPr>
          <w:rFonts w:ascii="Arial" w:hAnsi="Arial"/>
          <w:sz w:val="22"/>
        </w:rPr>
        <w:t xml:space="preserve"> Sopimuksen 11 artiklan 1 ja 2 kohdassa tarkoitettuihin velvoitteisiin kuuluvat tekoälyjärjestelmän lähdekoodi, tekoälyjärjestelmän kehittämisessä käytetyt tekniset eritelmät, datajoukot, tekniset tiedot siitä, miten tekoälyjärjestelmän kehittämisessä käytetyt datajoukot on hankittu ja miten niitä on muokattu, tiedot käytetystä kehittämismenetelmästä ja toteutetusta kehittämisprosessista, tietyn mallin ja sen parametrien valinnan perustelut sekä tiedot tekoälyjärjestelmän suorituskyvystä.</w:t>
      </w:r>
    </w:p>
    <w:p w14:paraId="216DC206" w14:textId="77777777" w:rsidR="00BA16C1" w:rsidRPr="00BD0EE8" w:rsidRDefault="00BA16C1" w:rsidP="00BA16C1">
      <w:pPr>
        <w:pStyle w:val="doLijstnummering7"/>
        <w:numPr>
          <w:ilvl w:val="0"/>
          <w:numId w:val="0"/>
        </w:numPr>
        <w:ind w:left="709"/>
        <w:rPr>
          <w:rFonts w:ascii="Arial" w:hAnsi="Arial" w:cs="Arial"/>
          <w:b/>
          <w:bCs/>
          <w:iCs/>
          <w:sz w:val="22"/>
          <w:szCs w:val="22"/>
        </w:rPr>
      </w:pPr>
    </w:p>
    <w:p w14:paraId="0AB92FAF" w14:textId="77777777" w:rsidR="00BA16C1" w:rsidRPr="00BD0EE8" w:rsidRDefault="00BA16C1" w:rsidP="00BA16C1">
      <w:pPr>
        <w:rPr>
          <w:rFonts w:ascii="Arial" w:hAnsi="Arial" w:cs="Arial"/>
          <w:b/>
          <w:sz w:val="26"/>
          <w:szCs w:val="26"/>
        </w:rPr>
      </w:pPr>
      <w:r>
        <w:rPr>
          <w:rFonts w:ascii="Arial" w:hAnsi="Arial"/>
          <w:b/>
          <w:sz w:val="26"/>
        </w:rPr>
        <w:t>C jakso – Oikeudet datajoukkojen käyttöön</w:t>
      </w:r>
    </w:p>
    <w:p w14:paraId="7D66F555" w14:textId="77777777" w:rsidR="00BA16C1" w:rsidRPr="00BD0EE8" w:rsidRDefault="00BA16C1" w:rsidP="00BA16C1">
      <w:pPr>
        <w:rPr>
          <w:rFonts w:ascii="Arial" w:hAnsi="Arial" w:cs="Arial"/>
          <w:b/>
          <w:i/>
          <w:sz w:val="22"/>
          <w:szCs w:val="22"/>
        </w:rPr>
      </w:pPr>
    </w:p>
    <w:p w14:paraId="71DEB6E3" w14:textId="77777777" w:rsidR="00BA16C1" w:rsidRPr="00BD0EE8" w:rsidRDefault="00BA16C1" w:rsidP="00BA16C1">
      <w:pPr>
        <w:pStyle w:val="doLijstnummering7"/>
        <w:rPr>
          <w:rFonts w:ascii="Arial" w:hAnsi="Arial" w:cs="Arial"/>
          <w:sz w:val="22"/>
          <w:szCs w:val="22"/>
        </w:rPr>
      </w:pPr>
      <w:r>
        <w:rPr>
          <w:rFonts w:ascii="Arial" w:hAnsi="Arial"/>
          <w:sz w:val="22"/>
        </w:rPr>
        <w:t>Oikeudet julkisen organisaation datajoukkoihin</w:t>
      </w:r>
    </w:p>
    <w:p w14:paraId="081B09CB" w14:textId="77777777" w:rsidR="00BA16C1" w:rsidRPr="00BD0EE8" w:rsidRDefault="00BA16C1" w:rsidP="00BA16C1">
      <w:pPr>
        <w:pStyle w:val="doLijstnummering7"/>
        <w:numPr>
          <w:ilvl w:val="0"/>
          <w:numId w:val="0"/>
        </w:numPr>
        <w:ind w:left="709"/>
        <w:rPr>
          <w:rFonts w:ascii="Arial" w:hAnsi="Arial" w:cs="Arial"/>
          <w:sz w:val="22"/>
          <w:szCs w:val="22"/>
        </w:rPr>
      </w:pPr>
    </w:p>
    <w:p w14:paraId="105376CF" w14:textId="69D400E1"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Kaikki julkisen organisaation datajoukkoihin liittyvät oikeudet, teollis- ja tekijänoikeudet mukaan luettuina, kuuluvat julkiselle organisaatiolle tai julkisen organisaation nimeämälle kolmannelle osapuolelle. </w:t>
      </w:r>
    </w:p>
    <w:p w14:paraId="6D01904E" w14:textId="0532A6C9"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Toimittajalla ei ole oikeutta käyttää julkisen organisaation datajoukkoja mihinkään muuhun tarkoitukseen kuin sopimuksen täyttämiseen, ellei liitteessä B toisin määrätä.</w:t>
      </w:r>
    </w:p>
    <w:p w14:paraId="7009E782" w14:textId="29462D23"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Jollei liitteessä B toisin määrätä, toimittajan on julkisen organisaation ensimmäisestä pyynnöstä tuhottava julkisen organisaation datajoukot. Jos julkinen organisaatio vaatii, toimittajan on esitettävä toteuttamiskelpoiset todisteet julkisen organisaation datajoukkojen tuhoamisesta.</w:t>
      </w:r>
    </w:p>
    <w:p w14:paraId="47036B13" w14:textId="77777777" w:rsidR="00BA16C1" w:rsidRPr="00BD0EE8" w:rsidRDefault="00BA16C1" w:rsidP="00BA16C1">
      <w:pPr>
        <w:pStyle w:val="doLijstnummering7"/>
        <w:numPr>
          <w:ilvl w:val="0"/>
          <w:numId w:val="0"/>
        </w:numPr>
        <w:ind w:left="709"/>
        <w:rPr>
          <w:rFonts w:ascii="Arial" w:hAnsi="Arial" w:cs="Arial"/>
          <w:sz w:val="22"/>
          <w:szCs w:val="22"/>
        </w:rPr>
      </w:pPr>
    </w:p>
    <w:p w14:paraId="692F93B0" w14:textId="040D843C" w:rsidR="00BA16C1" w:rsidRPr="00BD0EE8" w:rsidRDefault="00BA16C1" w:rsidP="00BA16C1">
      <w:pPr>
        <w:pStyle w:val="doLijstnummering7"/>
        <w:rPr>
          <w:rFonts w:ascii="Arial" w:hAnsi="Arial" w:cs="Arial"/>
          <w:sz w:val="22"/>
          <w:szCs w:val="22"/>
        </w:rPr>
      </w:pPr>
      <w:r>
        <w:rPr>
          <w:rFonts w:ascii="Arial" w:hAnsi="Arial"/>
          <w:sz w:val="22"/>
        </w:rPr>
        <w:t>Oikeudet toimittajan datajoukkoihin tai kolmannen osapuolen datajoukkoihin</w:t>
      </w:r>
    </w:p>
    <w:p w14:paraId="6141B455"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0B00236" w14:textId="159697B7"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Kaikki toimittajan datajoukkoihin ja kolmannen osapuolen datajoukkoihin liittyvät oikeudet, mukaan lukien teollis- ja tekijänoikeudet, kuuluvat toimittajalle tai kolmannelle osapuolelle. </w:t>
      </w:r>
    </w:p>
    <w:p w14:paraId="6B51A995" w14:textId="369220A0"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Toimittaja myöntää julkiselle organisaatiolle toimittajan datajoukkojen ja kolmannen osapuolen datajoukkojen käyttöön ei-yksinomaisen oikeuden, joka on joka tapauksessa riittävä sopimuksen määräysten, MCC-AI-Light-lausekkeet mukaan lukien, täytäntöönpanemiseksi, jollei liitteessä B toisin määrätä.</w:t>
      </w:r>
    </w:p>
    <w:p w14:paraId="36E39C69" w14:textId="163FA901" w:rsidR="00BA16C1" w:rsidRPr="00BD0EE8" w:rsidRDefault="00FD0514" w:rsidP="00BA16C1">
      <w:pPr>
        <w:pStyle w:val="doLijstnummering7"/>
        <w:numPr>
          <w:ilvl w:val="1"/>
          <w:numId w:val="6"/>
        </w:numPr>
        <w:rPr>
          <w:rFonts w:ascii="Arial" w:hAnsi="Arial" w:cs="Arial"/>
          <w:sz w:val="22"/>
          <w:szCs w:val="22"/>
        </w:rPr>
      </w:pPr>
      <w:r>
        <w:rPr>
          <w:rFonts w:ascii="Arial" w:hAnsi="Arial"/>
          <w:b/>
          <w:sz w:val="22"/>
        </w:rPr>
        <w:t xml:space="preserve">&lt;Valinnainen&gt; </w:t>
      </w:r>
      <w:r>
        <w:rPr>
          <w:rFonts w:ascii="Arial" w:hAnsi="Arial"/>
          <w:sz w:val="22"/>
        </w:rPr>
        <w:t xml:space="preserve">Sopimuksen 13 artiklan 2 kohdassa kuvattuun käyttöoikeuteen sisältyy oikeus käyttää toimittajan ja kolmannen osapuolen datajoukkoja tekoälyjärjestelmän, mukaan lukien sen uusien versioiden, jatkokehittämiseen julkisen organisaation tai kolmannen osapuolen toimesta. </w:t>
      </w:r>
    </w:p>
    <w:p w14:paraId="54F4358B"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7B707B0" w14:textId="667910BE" w:rsidR="00BA16C1" w:rsidRPr="00BD0EE8" w:rsidRDefault="00DB24E3" w:rsidP="00BA16C1">
      <w:pPr>
        <w:pStyle w:val="doLijstnummering7"/>
        <w:rPr>
          <w:rFonts w:ascii="Arial" w:hAnsi="Arial" w:cs="Arial"/>
          <w:sz w:val="22"/>
          <w:szCs w:val="22"/>
        </w:rPr>
      </w:pPr>
      <w:r>
        <w:rPr>
          <w:rFonts w:ascii="Arial" w:hAnsi="Arial"/>
          <w:sz w:val="22"/>
        </w:rPr>
        <w:t>Datajoukkojen luovuttaminen</w:t>
      </w:r>
    </w:p>
    <w:p w14:paraId="03AEBDE3"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61B763DC" w14:textId="2151F1EC"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Toimittaja luovuttaa julkisen organisaation ensimmäisestä pyynnöstä julkiselle organisaatiolle julkisen organisaation datajoukkojen viimeisimmän version.</w:t>
      </w:r>
    </w:p>
    <w:p w14:paraId="537EEA2E" w14:textId="63371311"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lastRenderedPageBreak/>
        <w:t xml:space="preserve">Toimittaja luovuttaa julkisen organisaation ensimmäisestä pyynnöstä julkiselle organisaatiolle toimittajan datajoukkojen ja kolmannen osapuolen datajoukkojen viimeisimmän version, jollei liitteessä B toisin määrätä. </w:t>
      </w:r>
    </w:p>
    <w:p w14:paraId="46EAB8D5" w14:textId="4154907B"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Toimittajan on luovutettava datajoukot julkiselle organisaatiolle yleisessä tiedostomuodossa, jonka julkinen organisaatio nimeää. </w:t>
      </w:r>
      <w:r>
        <w:rPr>
          <w:rFonts w:ascii="Arial" w:hAnsi="Arial"/>
          <w:b/>
          <w:sz w:val="22"/>
        </w:rPr>
        <w:t>&lt;Valinnainen&gt; Datajoukot palautetaan seuraavassa muodossa: [tiedostomuoto]</w:t>
      </w:r>
    </w:p>
    <w:p w14:paraId="35C1A037" w14:textId="77777777" w:rsidR="00BA16C1" w:rsidRPr="00BD0EE8" w:rsidRDefault="00BA16C1" w:rsidP="00BA16C1">
      <w:pPr>
        <w:rPr>
          <w:rFonts w:ascii="Arial" w:hAnsi="Arial" w:cs="Arial"/>
          <w:b/>
          <w:i/>
          <w:sz w:val="22"/>
          <w:szCs w:val="22"/>
        </w:rPr>
      </w:pPr>
    </w:p>
    <w:p w14:paraId="602C39D7" w14:textId="77777777" w:rsidR="00DB24E3" w:rsidRPr="00BD0EE8" w:rsidRDefault="00DB24E3" w:rsidP="00DB24E3">
      <w:pPr>
        <w:pStyle w:val="doLijstnummering7"/>
        <w:rPr>
          <w:rFonts w:ascii="Arial" w:hAnsi="Arial" w:cs="Arial"/>
          <w:sz w:val="22"/>
          <w:szCs w:val="22"/>
        </w:rPr>
      </w:pPr>
      <w:r>
        <w:rPr>
          <w:rFonts w:ascii="Arial" w:hAnsi="Arial"/>
          <w:sz w:val="22"/>
        </w:rPr>
        <w:t>Korvaukset</w:t>
      </w:r>
    </w:p>
    <w:p w14:paraId="1BB3E179" w14:textId="77777777" w:rsidR="00DB24E3" w:rsidRPr="00BD0EE8" w:rsidRDefault="00DB24E3" w:rsidP="00DB24E3">
      <w:pPr>
        <w:pStyle w:val="doLijstnummering7"/>
        <w:numPr>
          <w:ilvl w:val="0"/>
          <w:numId w:val="0"/>
        </w:numPr>
        <w:ind w:left="851"/>
        <w:rPr>
          <w:rFonts w:ascii="Arial" w:hAnsi="Arial" w:cs="Arial"/>
          <w:sz w:val="22"/>
          <w:szCs w:val="22"/>
        </w:rPr>
      </w:pPr>
    </w:p>
    <w:p w14:paraId="5EDD95CE" w14:textId="62417051"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 xml:space="preserve">Toimittaja maksaa julkiselle organisaatiolle korvauksen kaikista kolmansien osapuolten, myös valvojien, esittämistä vaatimuksista, jotka koskevat teollis- ja tekijänoikeuksien, tietosuojaoikeuksien tai vastaavien oikeuksien rikkomista liittyen tekoälyjärjestelmän, toimittajan datajoukkojen ja/tai kolmannen osapuolen datajoukkojen käyttöön julkisen organisaation toimesta. </w:t>
      </w:r>
    </w:p>
    <w:p w14:paraId="75C8D82C" w14:textId="77777777"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 xml:space="preserve">Julkinen organisaatio maksaa toimittajalle korvauksen kaikista kolmansien osapuolten, myös valvojien, esittämistä vaatimuksista, jotka koskevat niiden teollis- ja tekijänoikeuksien, yksityisyyden suojan tai vastaavien oikeuksien rikkomista liittyen julkisen organisaation datajoukkojen käyttöön. </w:t>
      </w:r>
    </w:p>
    <w:p w14:paraId="351A161B" w14:textId="77777777" w:rsidR="00DB24E3" w:rsidRPr="00BD0EE8" w:rsidRDefault="00DB24E3" w:rsidP="00BA16C1">
      <w:pPr>
        <w:rPr>
          <w:rFonts w:ascii="Arial" w:hAnsi="Arial" w:cs="Arial"/>
          <w:b/>
          <w:i/>
          <w:sz w:val="22"/>
          <w:szCs w:val="22"/>
        </w:rPr>
      </w:pPr>
    </w:p>
    <w:p w14:paraId="44CEE90B" w14:textId="77777777" w:rsidR="00BA16C1" w:rsidRPr="00BD0EE8" w:rsidRDefault="00BA16C1" w:rsidP="00BA16C1">
      <w:pPr>
        <w:rPr>
          <w:rFonts w:ascii="Arial" w:hAnsi="Arial" w:cs="Arial"/>
          <w:b/>
          <w:i/>
          <w:sz w:val="22"/>
          <w:szCs w:val="22"/>
        </w:rPr>
      </w:pPr>
    </w:p>
    <w:p w14:paraId="50CF1FAA" w14:textId="77777777" w:rsidR="00BA16C1" w:rsidRPr="00BD0EE8" w:rsidRDefault="00BA16C1" w:rsidP="00BA16C1">
      <w:pPr>
        <w:rPr>
          <w:rFonts w:ascii="Arial" w:hAnsi="Arial" w:cs="Arial"/>
          <w:sz w:val="22"/>
          <w:szCs w:val="22"/>
        </w:rPr>
      </w:pPr>
    </w:p>
    <w:p w14:paraId="34FEA057" w14:textId="77777777" w:rsidR="00BA16C1" w:rsidRPr="00BD0EE8" w:rsidRDefault="00BA16C1" w:rsidP="00BA16C1">
      <w:pPr>
        <w:rPr>
          <w:rFonts w:ascii="Arial" w:hAnsi="Arial" w:cs="Arial"/>
          <w:sz w:val="22"/>
          <w:szCs w:val="22"/>
        </w:rPr>
      </w:pPr>
    </w:p>
    <w:p w14:paraId="2759EC71" w14:textId="77777777" w:rsidR="00BA16C1" w:rsidRPr="00BD0EE8" w:rsidRDefault="00BA16C1" w:rsidP="00BA16C1">
      <w:pPr>
        <w:spacing w:after="210"/>
        <w:jc w:val="both"/>
        <w:rPr>
          <w:rFonts w:ascii="Arial" w:hAnsi="Arial" w:cs="Arial"/>
          <w:sz w:val="22"/>
          <w:szCs w:val="22"/>
        </w:rPr>
      </w:pPr>
    </w:p>
    <w:p w14:paraId="3FD085CA" w14:textId="77777777" w:rsidR="00DB24E3" w:rsidRPr="00BD0EE8" w:rsidRDefault="00DB24E3">
      <w:pPr>
        <w:rPr>
          <w:rFonts w:ascii="Arial" w:hAnsi="Arial" w:cs="Arial"/>
          <w:b/>
          <w:bCs/>
          <w:sz w:val="26"/>
          <w:szCs w:val="26"/>
        </w:rPr>
      </w:pPr>
      <w:r>
        <w:br w:type="page"/>
      </w:r>
    </w:p>
    <w:p w14:paraId="3DA96EF3" w14:textId="77777777" w:rsidR="00BA16C1" w:rsidRPr="00BD0EE8" w:rsidRDefault="00BA16C1" w:rsidP="00587A6A">
      <w:pPr>
        <w:spacing w:after="360"/>
        <w:jc w:val="both"/>
        <w:rPr>
          <w:rFonts w:ascii="Arial" w:hAnsi="Arial" w:cs="Arial"/>
          <w:b/>
          <w:bCs/>
          <w:sz w:val="26"/>
          <w:szCs w:val="26"/>
        </w:rPr>
      </w:pPr>
      <w:r>
        <w:rPr>
          <w:rFonts w:ascii="Arial" w:hAnsi="Arial"/>
          <w:b/>
          <w:sz w:val="26"/>
        </w:rPr>
        <w:lastRenderedPageBreak/>
        <w:t>Liite A – Tekoälyjärjestelmä ja käyttötarkoitus</w:t>
      </w:r>
    </w:p>
    <w:p w14:paraId="28122E94" w14:textId="77777777" w:rsidR="00BA16C1" w:rsidRPr="00BD0EE8" w:rsidRDefault="00BA16C1" w:rsidP="00BA16C1">
      <w:pPr>
        <w:spacing w:after="210"/>
        <w:jc w:val="both"/>
        <w:rPr>
          <w:rFonts w:ascii="Arial" w:hAnsi="Arial" w:cs="Arial"/>
          <w:bCs/>
          <w:sz w:val="22"/>
          <w:szCs w:val="22"/>
        </w:rPr>
      </w:pPr>
      <w:r>
        <w:rPr>
          <w:rFonts w:ascii="Arial" w:hAnsi="Arial"/>
          <w:sz w:val="22"/>
          <w:u w:val="single"/>
        </w:rPr>
        <w:t>Tekoälyjärjestelmän kuvaus</w:t>
      </w:r>
    </w:p>
    <w:p w14:paraId="5C91B67C" w14:textId="52E34C0A" w:rsidR="00BA16C1" w:rsidRPr="00BD0EE8" w:rsidRDefault="00BA16C1" w:rsidP="00BA16C1">
      <w:pPr>
        <w:spacing w:after="210"/>
        <w:jc w:val="both"/>
        <w:rPr>
          <w:rFonts w:ascii="Arial" w:hAnsi="Arial" w:cs="Arial"/>
          <w:bCs/>
          <w:sz w:val="22"/>
          <w:szCs w:val="22"/>
        </w:rPr>
      </w:pPr>
      <w:r>
        <w:rPr>
          <w:rFonts w:ascii="Arial" w:hAnsi="Arial"/>
          <w:sz w:val="22"/>
        </w:rPr>
        <w:t xml:space="preserve">MCC-AI-Light-lausekkeiden soveltamisalaan kuuluvat seuraavat järjestelmät tai järjestelmien komponentit: </w:t>
      </w:r>
    </w:p>
    <w:p w14:paraId="5D12A144" w14:textId="77777777" w:rsidR="00BA16C1" w:rsidRPr="00BD0EE8" w:rsidRDefault="00BA16C1" w:rsidP="00BA16C1">
      <w:pPr>
        <w:spacing w:after="210"/>
        <w:jc w:val="both"/>
        <w:rPr>
          <w:rFonts w:ascii="Arial" w:hAnsi="Arial" w:cs="Arial"/>
          <w:i/>
          <w:sz w:val="22"/>
          <w:szCs w:val="22"/>
        </w:rPr>
      </w:pPr>
      <w:r>
        <w:rPr>
          <w:rFonts w:ascii="Arial" w:hAnsi="Arial"/>
          <w:i/>
          <w:sz w:val="22"/>
        </w:rPr>
        <w:t>Toimittakaa tekoälyjärjestelmän tai -järjestelmien kuvaus. Kyseessä voi olla myös algoritminen järjestelmä, jota ei voida pitää tekoälysäädöksen mukaisena tekoälyjärjestelmänä.</w:t>
      </w:r>
    </w:p>
    <w:p w14:paraId="2EC18EF6" w14:textId="77777777" w:rsidR="00BA16C1" w:rsidRPr="00BD0EE8" w:rsidRDefault="00BA16C1" w:rsidP="00BA16C1">
      <w:pPr>
        <w:spacing w:after="210"/>
        <w:jc w:val="both"/>
        <w:rPr>
          <w:rFonts w:ascii="Arial" w:hAnsi="Arial" w:cs="Arial"/>
          <w:sz w:val="22"/>
          <w:szCs w:val="22"/>
          <w:u w:val="single"/>
        </w:rPr>
      </w:pPr>
      <w:r>
        <w:rPr>
          <w:rFonts w:ascii="Arial" w:hAnsi="Arial"/>
          <w:sz w:val="22"/>
          <w:u w:val="single"/>
        </w:rPr>
        <w:t>Käyttötarkoitus</w:t>
      </w:r>
    </w:p>
    <w:p w14:paraId="5296445D" w14:textId="77777777" w:rsidR="00BA16C1" w:rsidRPr="00BD0EE8" w:rsidRDefault="00BA16C1" w:rsidP="00BA16C1">
      <w:pPr>
        <w:spacing w:after="210"/>
        <w:jc w:val="both"/>
        <w:rPr>
          <w:rFonts w:ascii="Arial" w:hAnsi="Arial" w:cs="Arial"/>
          <w:bCs/>
          <w:sz w:val="22"/>
          <w:szCs w:val="22"/>
        </w:rPr>
      </w:pPr>
      <w:r>
        <w:rPr>
          <w:rFonts w:ascii="Arial" w:hAnsi="Arial"/>
          <w:i/>
          <w:sz w:val="22"/>
        </w:rPr>
        <w:t>Kuvailkaa tekoälyjärjestelmän käyttötarkoitusta.</w:t>
      </w:r>
      <w:r>
        <w:rPr>
          <w:rFonts w:ascii="Arial" w:hAnsi="Arial"/>
          <w:sz w:val="22"/>
        </w:rPr>
        <w:br w:type="page"/>
      </w:r>
    </w:p>
    <w:p w14:paraId="69C98B2F"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 xml:space="preserve">Liite B – Datajoukot </w:t>
      </w:r>
    </w:p>
    <w:p w14:paraId="73ED7D63" w14:textId="7CBC5E98" w:rsidR="00BA16C1" w:rsidRPr="00BD0EE8" w:rsidRDefault="00BA16C1" w:rsidP="00BA16C1">
      <w:pPr>
        <w:spacing w:after="210"/>
        <w:jc w:val="both"/>
        <w:rPr>
          <w:rFonts w:ascii="Arial" w:hAnsi="Arial" w:cs="Arial"/>
          <w:i/>
          <w:iCs/>
          <w:color w:val="000000"/>
          <w:sz w:val="22"/>
          <w:szCs w:val="22"/>
          <w:shd w:val="clear" w:color="auto" w:fill="FFFFFF"/>
        </w:rPr>
      </w:pPr>
      <w:r>
        <w:rPr>
          <w:rFonts w:ascii="Arial" w:hAnsi="Arial"/>
          <w:i/>
          <w:sz w:val="22"/>
        </w:rPr>
        <w:t xml:space="preserve">Kuvailkaa datajoukkoja, joita käytetään tekoälyjärjestelmän </w:t>
      </w:r>
      <w:r>
        <w:rPr>
          <w:rFonts w:ascii="Arial" w:hAnsi="Arial"/>
          <w:i/>
          <w:color w:val="000000"/>
          <w:sz w:val="22"/>
          <w:shd w:val="clear" w:color="auto" w:fill="FFFFFF"/>
        </w:rPr>
        <w:t>koulutuksessa (tarvittaessa), validoinnissa ja testauksessa. Tehkää ero julkisen organisaation datajoukkojen, toimittajan datajoukkojen ja kolmansien osapuolten datajoukkojen välille. Kuvailkaa julkisen organisaation datajoukkojen osalta tarkoitukset, joihin toimittaja voi käyttää datajoukkoja (muu kuin sopimuksen täytäntöönpano), ja ilmoittakaa, onko toimittajan tuhottava datajoukko sopimuksen voimassaolon päättyessä. Kuvatkaa toimittajan datajoukkojen ja kolmannen osapuolen datajoukkojen osalta tarkoitukset, joihin julkinen organisaatio voi käyttää datajoukkoja, sekä se, onko toimittaja velvollinen luovuttamaan datajoukot.</w:t>
      </w:r>
    </w:p>
    <w:p w14:paraId="78F02DB5" w14:textId="48FA1FF4" w:rsidR="00BA16C1" w:rsidRPr="00BD0EE8" w:rsidRDefault="003772EE" w:rsidP="00BA16C1">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Julkisen organisaation datajoukot</w:t>
      </w:r>
    </w:p>
    <w:p w14:paraId="31166494" w14:textId="77777777" w:rsidR="00BA16C1" w:rsidRPr="00BD0EE8" w:rsidRDefault="00BA16C1" w:rsidP="00BA16C1">
      <w:pPr>
        <w:spacing w:after="210"/>
        <w:jc w:val="both"/>
        <w:rPr>
          <w:rFonts w:ascii="Arial" w:hAnsi="Arial" w:cs="Arial"/>
          <w:sz w:val="22"/>
          <w:szCs w:val="22"/>
        </w:rPr>
      </w:pPr>
      <w:r>
        <w:rPr>
          <w:rFonts w:ascii="Arial" w:hAnsi="Arial"/>
          <w:sz w:val="22"/>
        </w:rPr>
        <w:t xml:space="preserve">Julkinen organisaatio toimittaa toimittajalle sopimuksen mukaisesti seuraavat datajoukot tai ne on tarkoitus luoda tai kerätä osana sopimusta: </w:t>
      </w:r>
    </w:p>
    <w:tbl>
      <w:tblPr>
        <w:tblStyle w:val="TableGrid"/>
        <w:tblW w:w="9129" w:type="dxa"/>
        <w:tblLook w:val="04A0" w:firstRow="1" w:lastRow="0" w:firstColumn="1" w:lastColumn="0" w:noHBand="0" w:noVBand="1"/>
      </w:tblPr>
      <w:tblGrid>
        <w:gridCol w:w="2851"/>
        <w:gridCol w:w="2717"/>
        <w:gridCol w:w="3561"/>
      </w:tblGrid>
      <w:tr w:rsidR="00BA16C1" w:rsidRPr="00BD0EE8" w14:paraId="47DF1D8E" w14:textId="77777777" w:rsidTr="00587A6A">
        <w:tc>
          <w:tcPr>
            <w:tcW w:w="2851" w:type="dxa"/>
          </w:tcPr>
          <w:p w14:paraId="431D43ED" w14:textId="77777777" w:rsidR="00BA16C1" w:rsidRPr="00BD0EE8" w:rsidRDefault="00BA16C1" w:rsidP="00ED3296">
            <w:pPr>
              <w:spacing w:after="210"/>
              <w:jc w:val="center"/>
              <w:rPr>
                <w:rFonts w:ascii="Arial" w:hAnsi="Arial" w:cs="Arial"/>
                <w:b/>
                <w:sz w:val="22"/>
                <w:szCs w:val="22"/>
              </w:rPr>
            </w:pPr>
            <w:r>
              <w:rPr>
                <w:rFonts w:ascii="Arial" w:hAnsi="Arial"/>
                <w:b/>
                <w:sz w:val="22"/>
              </w:rPr>
              <w:t>Datajoukon kuvaus</w:t>
            </w:r>
          </w:p>
        </w:tc>
        <w:tc>
          <w:tcPr>
            <w:tcW w:w="2717" w:type="dxa"/>
          </w:tcPr>
          <w:p w14:paraId="54C3C3D9" w14:textId="77777777" w:rsidR="00BA16C1" w:rsidRPr="00BD0EE8" w:rsidRDefault="00BA16C1" w:rsidP="00ED3296">
            <w:pPr>
              <w:spacing w:after="210"/>
              <w:jc w:val="center"/>
              <w:rPr>
                <w:rFonts w:ascii="Arial" w:hAnsi="Arial" w:cs="Arial"/>
                <w:b/>
                <w:sz w:val="22"/>
                <w:szCs w:val="22"/>
              </w:rPr>
            </w:pPr>
            <w:r>
              <w:rPr>
                <w:rFonts w:ascii="Arial" w:hAnsi="Arial"/>
                <w:b/>
                <w:sz w:val="22"/>
              </w:rPr>
              <w:t>Toimittajan käyttöoikeudet</w:t>
            </w:r>
          </w:p>
        </w:tc>
        <w:tc>
          <w:tcPr>
            <w:tcW w:w="3561" w:type="dxa"/>
          </w:tcPr>
          <w:p w14:paraId="753D331F" w14:textId="77777777" w:rsidR="00BA16C1" w:rsidRPr="00BD0EE8" w:rsidRDefault="00BA16C1" w:rsidP="00ED3296">
            <w:pPr>
              <w:spacing w:after="210"/>
              <w:jc w:val="center"/>
              <w:rPr>
                <w:rFonts w:ascii="Arial" w:hAnsi="Arial" w:cs="Arial"/>
                <w:b/>
                <w:sz w:val="22"/>
                <w:szCs w:val="22"/>
              </w:rPr>
            </w:pPr>
            <w:r>
              <w:rPr>
                <w:rFonts w:ascii="Arial" w:hAnsi="Arial"/>
                <w:b/>
                <w:sz w:val="22"/>
              </w:rPr>
              <w:t>Velvoite tuhota datajoukko sopimuksen voimassaolon päättyessä</w:t>
            </w:r>
          </w:p>
        </w:tc>
      </w:tr>
      <w:tr w:rsidR="00BA16C1" w:rsidRPr="00BD0EE8" w14:paraId="63C4126B" w14:textId="77777777" w:rsidTr="00587A6A">
        <w:tc>
          <w:tcPr>
            <w:tcW w:w="2851" w:type="dxa"/>
          </w:tcPr>
          <w:p w14:paraId="557D9CA3" w14:textId="77777777" w:rsidR="00BA16C1" w:rsidRPr="00BD0EE8" w:rsidRDefault="00BA16C1" w:rsidP="00ED3296">
            <w:pPr>
              <w:spacing w:after="210"/>
              <w:jc w:val="both"/>
              <w:rPr>
                <w:rFonts w:ascii="Arial" w:hAnsi="Arial" w:cs="Arial"/>
                <w:i/>
                <w:sz w:val="22"/>
                <w:szCs w:val="22"/>
              </w:rPr>
            </w:pPr>
          </w:p>
        </w:tc>
        <w:tc>
          <w:tcPr>
            <w:tcW w:w="2717" w:type="dxa"/>
          </w:tcPr>
          <w:p w14:paraId="4EEF0111" w14:textId="77777777" w:rsidR="00BA16C1" w:rsidRPr="00BD0EE8" w:rsidRDefault="00BA16C1" w:rsidP="00ED3296">
            <w:pPr>
              <w:spacing w:after="210"/>
              <w:jc w:val="both"/>
              <w:rPr>
                <w:rFonts w:ascii="Arial" w:hAnsi="Arial" w:cs="Arial"/>
                <w:i/>
                <w:sz w:val="22"/>
                <w:szCs w:val="22"/>
              </w:rPr>
            </w:pPr>
          </w:p>
        </w:tc>
        <w:tc>
          <w:tcPr>
            <w:tcW w:w="3561" w:type="dxa"/>
          </w:tcPr>
          <w:p w14:paraId="4208B993" w14:textId="77777777" w:rsidR="00BA16C1" w:rsidRPr="00BD0EE8" w:rsidRDefault="00BA16C1" w:rsidP="00ED3296">
            <w:pPr>
              <w:spacing w:after="210"/>
              <w:jc w:val="both"/>
              <w:rPr>
                <w:rFonts w:ascii="Arial" w:hAnsi="Arial" w:cs="Arial"/>
                <w:sz w:val="22"/>
                <w:szCs w:val="22"/>
              </w:rPr>
            </w:pPr>
            <w:r>
              <w:rPr>
                <w:rFonts w:ascii="Arial" w:hAnsi="Arial"/>
                <w:sz w:val="22"/>
              </w:rPr>
              <w:t>Kyllä/ei</w:t>
            </w:r>
          </w:p>
        </w:tc>
      </w:tr>
      <w:tr w:rsidR="00BA16C1" w:rsidRPr="00BD0EE8" w14:paraId="5D18413C" w14:textId="77777777" w:rsidTr="00587A6A">
        <w:tc>
          <w:tcPr>
            <w:tcW w:w="2851" w:type="dxa"/>
          </w:tcPr>
          <w:p w14:paraId="740380CA" w14:textId="77777777" w:rsidR="00BA16C1" w:rsidRPr="00BD0EE8" w:rsidRDefault="00BA16C1" w:rsidP="00ED3296">
            <w:pPr>
              <w:spacing w:after="210"/>
              <w:jc w:val="both"/>
              <w:rPr>
                <w:rFonts w:ascii="Arial" w:hAnsi="Arial" w:cs="Arial"/>
                <w:i/>
                <w:sz w:val="22"/>
                <w:szCs w:val="22"/>
              </w:rPr>
            </w:pPr>
          </w:p>
        </w:tc>
        <w:tc>
          <w:tcPr>
            <w:tcW w:w="2717" w:type="dxa"/>
          </w:tcPr>
          <w:p w14:paraId="4570B121" w14:textId="77777777" w:rsidR="00BA16C1" w:rsidRPr="00BD0EE8" w:rsidRDefault="00BA16C1" w:rsidP="00ED3296">
            <w:pPr>
              <w:spacing w:after="210"/>
              <w:jc w:val="both"/>
              <w:rPr>
                <w:rFonts w:ascii="Arial" w:hAnsi="Arial" w:cs="Arial"/>
                <w:i/>
                <w:sz w:val="22"/>
                <w:szCs w:val="22"/>
              </w:rPr>
            </w:pPr>
          </w:p>
        </w:tc>
        <w:tc>
          <w:tcPr>
            <w:tcW w:w="3561" w:type="dxa"/>
          </w:tcPr>
          <w:p w14:paraId="0F4820A0" w14:textId="77777777" w:rsidR="00BA16C1" w:rsidRPr="00BD0EE8" w:rsidRDefault="00BA16C1" w:rsidP="00ED3296">
            <w:pPr>
              <w:spacing w:after="210"/>
              <w:jc w:val="both"/>
              <w:rPr>
                <w:rFonts w:ascii="Arial" w:hAnsi="Arial" w:cs="Arial"/>
                <w:i/>
                <w:sz w:val="22"/>
                <w:szCs w:val="22"/>
              </w:rPr>
            </w:pPr>
            <w:r>
              <w:rPr>
                <w:rFonts w:ascii="Arial" w:hAnsi="Arial"/>
                <w:sz w:val="22"/>
              </w:rPr>
              <w:t>Kyllä/ei</w:t>
            </w:r>
          </w:p>
        </w:tc>
      </w:tr>
      <w:tr w:rsidR="00BA16C1" w:rsidRPr="00BD0EE8" w14:paraId="12F9CF8B" w14:textId="77777777" w:rsidTr="00587A6A">
        <w:tc>
          <w:tcPr>
            <w:tcW w:w="2851" w:type="dxa"/>
          </w:tcPr>
          <w:p w14:paraId="068B93F6" w14:textId="77777777" w:rsidR="00BA16C1" w:rsidRPr="00BD0EE8" w:rsidRDefault="00BA16C1" w:rsidP="00ED3296">
            <w:pPr>
              <w:spacing w:after="210"/>
              <w:jc w:val="both"/>
              <w:rPr>
                <w:rFonts w:ascii="Arial" w:hAnsi="Arial" w:cs="Arial"/>
                <w:i/>
                <w:sz w:val="22"/>
                <w:szCs w:val="22"/>
              </w:rPr>
            </w:pPr>
          </w:p>
        </w:tc>
        <w:tc>
          <w:tcPr>
            <w:tcW w:w="2717" w:type="dxa"/>
          </w:tcPr>
          <w:p w14:paraId="33B7ECD4" w14:textId="77777777" w:rsidR="00BA16C1" w:rsidRPr="00BD0EE8" w:rsidRDefault="00BA16C1" w:rsidP="00ED3296">
            <w:pPr>
              <w:spacing w:after="210"/>
              <w:jc w:val="both"/>
              <w:rPr>
                <w:rFonts w:ascii="Arial" w:hAnsi="Arial" w:cs="Arial"/>
                <w:i/>
                <w:sz w:val="22"/>
                <w:szCs w:val="22"/>
              </w:rPr>
            </w:pPr>
          </w:p>
        </w:tc>
        <w:tc>
          <w:tcPr>
            <w:tcW w:w="3561" w:type="dxa"/>
          </w:tcPr>
          <w:p w14:paraId="32055E27" w14:textId="77777777" w:rsidR="00BA16C1" w:rsidRPr="00BD0EE8" w:rsidRDefault="00BA16C1" w:rsidP="00ED3296">
            <w:pPr>
              <w:spacing w:after="210"/>
              <w:jc w:val="both"/>
              <w:rPr>
                <w:rFonts w:ascii="Arial" w:hAnsi="Arial" w:cs="Arial"/>
                <w:i/>
                <w:sz w:val="22"/>
                <w:szCs w:val="22"/>
              </w:rPr>
            </w:pPr>
            <w:r>
              <w:rPr>
                <w:rFonts w:ascii="Arial" w:hAnsi="Arial"/>
                <w:sz w:val="22"/>
              </w:rPr>
              <w:t>Kyllä/ei</w:t>
            </w:r>
          </w:p>
        </w:tc>
      </w:tr>
      <w:tr w:rsidR="00BA16C1" w:rsidRPr="00BD0EE8" w14:paraId="687765A2" w14:textId="77777777" w:rsidTr="00587A6A">
        <w:tc>
          <w:tcPr>
            <w:tcW w:w="2851" w:type="dxa"/>
          </w:tcPr>
          <w:p w14:paraId="149BC504" w14:textId="77777777" w:rsidR="00BA16C1" w:rsidRPr="00BD0EE8" w:rsidRDefault="00BA16C1" w:rsidP="00ED3296">
            <w:pPr>
              <w:spacing w:after="210"/>
              <w:jc w:val="both"/>
              <w:rPr>
                <w:rFonts w:ascii="Arial" w:hAnsi="Arial" w:cs="Arial"/>
                <w:i/>
                <w:sz w:val="22"/>
                <w:szCs w:val="22"/>
              </w:rPr>
            </w:pPr>
          </w:p>
        </w:tc>
        <w:tc>
          <w:tcPr>
            <w:tcW w:w="2717" w:type="dxa"/>
          </w:tcPr>
          <w:p w14:paraId="36E1E2CD" w14:textId="77777777" w:rsidR="00BA16C1" w:rsidRPr="00BD0EE8" w:rsidRDefault="00BA16C1" w:rsidP="00ED3296">
            <w:pPr>
              <w:spacing w:after="210"/>
              <w:jc w:val="both"/>
              <w:rPr>
                <w:rFonts w:ascii="Arial" w:hAnsi="Arial" w:cs="Arial"/>
                <w:i/>
                <w:sz w:val="22"/>
                <w:szCs w:val="22"/>
              </w:rPr>
            </w:pPr>
          </w:p>
        </w:tc>
        <w:tc>
          <w:tcPr>
            <w:tcW w:w="3561" w:type="dxa"/>
          </w:tcPr>
          <w:p w14:paraId="12C69CBB" w14:textId="77777777" w:rsidR="00BA16C1" w:rsidRPr="00BD0EE8" w:rsidRDefault="00BA16C1" w:rsidP="00ED3296">
            <w:pPr>
              <w:spacing w:after="210"/>
              <w:jc w:val="both"/>
              <w:rPr>
                <w:rFonts w:ascii="Arial" w:hAnsi="Arial" w:cs="Arial"/>
                <w:i/>
                <w:sz w:val="22"/>
                <w:szCs w:val="22"/>
              </w:rPr>
            </w:pPr>
            <w:r>
              <w:rPr>
                <w:rFonts w:ascii="Arial" w:hAnsi="Arial"/>
                <w:sz w:val="22"/>
              </w:rPr>
              <w:t>Kyllä/ei</w:t>
            </w:r>
          </w:p>
        </w:tc>
      </w:tr>
    </w:tbl>
    <w:p w14:paraId="4782DE6E" w14:textId="77777777" w:rsidR="00BA16C1" w:rsidRPr="00BD0EE8" w:rsidRDefault="00BA16C1" w:rsidP="00BA16C1">
      <w:pPr>
        <w:spacing w:after="210"/>
        <w:jc w:val="both"/>
        <w:rPr>
          <w:rFonts w:ascii="Arial" w:hAnsi="Arial" w:cs="Arial"/>
          <w:i/>
          <w:sz w:val="22"/>
          <w:szCs w:val="22"/>
        </w:rPr>
      </w:pPr>
    </w:p>
    <w:p w14:paraId="029BEEFE" w14:textId="680B1119" w:rsidR="00BA16C1" w:rsidRPr="00BD0EE8" w:rsidRDefault="00BA16C1" w:rsidP="00BA16C1">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Toimittajan datajoukot ja kolmannen osapuolen datajoukot</w:t>
      </w:r>
    </w:p>
    <w:p w14:paraId="332C2F43" w14:textId="767CCCEE" w:rsidR="00BA16C1" w:rsidRPr="00BD0EE8" w:rsidRDefault="00BA16C1" w:rsidP="00BA16C1">
      <w:pPr>
        <w:spacing w:after="210"/>
        <w:jc w:val="both"/>
        <w:rPr>
          <w:rFonts w:ascii="Arial" w:hAnsi="Arial" w:cs="Arial"/>
          <w:sz w:val="22"/>
          <w:szCs w:val="22"/>
        </w:rPr>
      </w:pPr>
      <w:r>
        <w:rPr>
          <w:rFonts w:ascii="Arial" w:hAnsi="Arial"/>
          <w:sz w:val="22"/>
        </w:rPr>
        <w:t>Tekoälyjärjestelmän koulutuksessa (tarvittaessa), validoinnissa ja testauksessa käytetään tai käytettiin seuraavia toimittajan datajoukkoja ja kolmannen osapuolen datajoukkoja:</w:t>
      </w:r>
    </w:p>
    <w:tbl>
      <w:tblPr>
        <w:tblStyle w:val="TableGrid"/>
        <w:tblW w:w="9067" w:type="dxa"/>
        <w:tblLook w:val="04A0" w:firstRow="1" w:lastRow="0" w:firstColumn="1" w:lastColumn="0" w:noHBand="0" w:noVBand="1"/>
      </w:tblPr>
      <w:tblGrid>
        <w:gridCol w:w="2793"/>
        <w:gridCol w:w="2859"/>
        <w:gridCol w:w="3415"/>
      </w:tblGrid>
      <w:tr w:rsidR="00BA16C1" w:rsidRPr="00BD0EE8" w14:paraId="6926E938" w14:textId="77777777" w:rsidTr="00587A6A">
        <w:tc>
          <w:tcPr>
            <w:tcW w:w="2793" w:type="dxa"/>
          </w:tcPr>
          <w:p w14:paraId="411DDE88" w14:textId="77777777" w:rsidR="00BA16C1" w:rsidRPr="00BD0EE8" w:rsidRDefault="00BA16C1" w:rsidP="00ED3296">
            <w:pPr>
              <w:spacing w:after="210"/>
              <w:jc w:val="center"/>
              <w:rPr>
                <w:rFonts w:ascii="Arial" w:hAnsi="Arial" w:cs="Arial"/>
                <w:b/>
                <w:sz w:val="22"/>
                <w:szCs w:val="22"/>
              </w:rPr>
            </w:pPr>
            <w:r>
              <w:rPr>
                <w:rFonts w:ascii="Arial" w:hAnsi="Arial"/>
                <w:b/>
                <w:sz w:val="22"/>
              </w:rPr>
              <w:t>Datajoukon kuvaus</w:t>
            </w:r>
          </w:p>
        </w:tc>
        <w:tc>
          <w:tcPr>
            <w:tcW w:w="2859" w:type="dxa"/>
          </w:tcPr>
          <w:p w14:paraId="31EED2EF" w14:textId="77777777" w:rsidR="00BA16C1" w:rsidRPr="00BD0EE8" w:rsidRDefault="00BA16C1" w:rsidP="00ED3296">
            <w:pPr>
              <w:spacing w:after="210"/>
              <w:jc w:val="center"/>
              <w:rPr>
                <w:rFonts w:ascii="Arial" w:hAnsi="Arial" w:cs="Arial"/>
                <w:b/>
                <w:sz w:val="22"/>
                <w:szCs w:val="22"/>
              </w:rPr>
            </w:pPr>
            <w:r>
              <w:rPr>
                <w:rFonts w:ascii="Arial" w:hAnsi="Arial"/>
                <w:b/>
                <w:sz w:val="22"/>
              </w:rPr>
              <w:t>Julkisen organisaation käyttöoikeudet</w:t>
            </w:r>
          </w:p>
        </w:tc>
        <w:tc>
          <w:tcPr>
            <w:tcW w:w="3415" w:type="dxa"/>
          </w:tcPr>
          <w:p w14:paraId="321EF843" w14:textId="77777777" w:rsidR="00BA16C1" w:rsidRPr="00BD0EE8" w:rsidRDefault="00BA16C1" w:rsidP="00ED3296">
            <w:pPr>
              <w:spacing w:after="210"/>
              <w:jc w:val="center"/>
              <w:rPr>
                <w:rFonts w:ascii="Arial" w:hAnsi="Arial" w:cs="Arial"/>
                <w:b/>
                <w:sz w:val="22"/>
                <w:szCs w:val="22"/>
              </w:rPr>
            </w:pPr>
            <w:r>
              <w:rPr>
                <w:rFonts w:ascii="Arial" w:hAnsi="Arial"/>
                <w:b/>
                <w:sz w:val="22"/>
              </w:rPr>
              <w:t>Luovutusvelvollisuus</w:t>
            </w:r>
            <w:r>
              <w:rPr>
                <w:rStyle w:val="FootnoteReference"/>
                <w:rFonts w:ascii="Arial" w:hAnsi="Arial" w:cs="Arial"/>
                <w:b/>
                <w:sz w:val="22"/>
                <w:szCs w:val="22"/>
              </w:rPr>
              <w:footnoteReference w:id="2"/>
            </w:r>
          </w:p>
        </w:tc>
      </w:tr>
      <w:tr w:rsidR="00BA16C1" w:rsidRPr="00BD0EE8" w14:paraId="0869D9E6" w14:textId="77777777" w:rsidTr="00587A6A">
        <w:tc>
          <w:tcPr>
            <w:tcW w:w="2793" w:type="dxa"/>
          </w:tcPr>
          <w:p w14:paraId="14CE031B" w14:textId="77777777" w:rsidR="00BA16C1" w:rsidRPr="00BD0EE8" w:rsidRDefault="00BA16C1" w:rsidP="00ED3296">
            <w:pPr>
              <w:spacing w:after="210"/>
              <w:jc w:val="both"/>
              <w:rPr>
                <w:rFonts w:ascii="Arial" w:hAnsi="Arial" w:cs="Arial"/>
                <w:i/>
                <w:sz w:val="22"/>
                <w:szCs w:val="22"/>
              </w:rPr>
            </w:pPr>
          </w:p>
        </w:tc>
        <w:tc>
          <w:tcPr>
            <w:tcW w:w="2859" w:type="dxa"/>
          </w:tcPr>
          <w:p w14:paraId="3E59DCA7" w14:textId="77777777" w:rsidR="00BA16C1" w:rsidRPr="00BD0EE8" w:rsidRDefault="00BA16C1" w:rsidP="00ED3296">
            <w:pPr>
              <w:spacing w:after="210"/>
              <w:jc w:val="both"/>
              <w:rPr>
                <w:rFonts w:ascii="Arial" w:hAnsi="Arial" w:cs="Arial"/>
                <w:i/>
                <w:sz w:val="22"/>
                <w:szCs w:val="22"/>
              </w:rPr>
            </w:pPr>
          </w:p>
        </w:tc>
        <w:tc>
          <w:tcPr>
            <w:tcW w:w="3415" w:type="dxa"/>
          </w:tcPr>
          <w:p w14:paraId="1872D534" w14:textId="77777777" w:rsidR="00BA16C1" w:rsidRPr="00BD0EE8" w:rsidRDefault="00BA16C1" w:rsidP="00ED3296">
            <w:pPr>
              <w:spacing w:after="210"/>
              <w:jc w:val="both"/>
              <w:rPr>
                <w:rFonts w:ascii="Arial" w:hAnsi="Arial" w:cs="Arial"/>
                <w:i/>
                <w:sz w:val="22"/>
                <w:szCs w:val="22"/>
              </w:rPr>
            </w:pPr>
            <w:r>
              <w:rPr>
                <w:rFonts w:ascii="Arial" w:hAnsi="Arial"/>
                <w:sz w:val="22"/>
              </w:rPr>
              <w:t>Kyllä/ei</w:t>
            </w:r>
          </w:p>
        </w:tc>
      </w:tr>
      <w:tr w:rsidR="00BA16C1" w:rsidRPr="00BD0EE8" w14:paraId="1E851281" w14:textId="77777777" w:rsidTr="00587A6A">
        <w:tc>
          <w:tcPr>
            <w:tcW w:w="2793" w:type="dxa"/>
          </w:tcPr>
          <w:p w14:paraId="5FD91442" w14:textId="77777777" w:rsidR="00BA16C1" w:rsidRPr="00BD0EE8" w:rsidRDefault="00BA16C1" w:rsidP="00ED3296">
            <w:pPr>
              <w:spacing w:after="210"/>
              <w:jc w:val="both"/>
              <w:rPr>
                <w:rFonts w:ascii="Arial" w:hAnsi="Arial" w:cs="Arial"/>
                <w:i/>
                <w:sz w:val="22"/>
                <w:szCs w:val="22"/>
              </w:rPr>
            </w:pPr>
          </w:p>
        </w:tc>
        <w:tc>
          <w:tcPr>
            <w:tcW w:w="2859" w:type="dxa"/>
          </w:tcPr>
          <w:p w14:paraId="25EB21A9" w14:textId="77777777" w:rsidR="00BA16C1" w:rsidRPr="00BD0EE8" w:rsidRDefault="00BA16C1" w:rsidP="00ED3296">
            <w:pPr>
              <w:spacing w:after="210"/>
              <w:jc w:val="both"/>
              <w:rPr>
                <w:rFonts w:ascii="Arial" w:hAnsi="Arial" w:cs="Arial"/>
                <w:i/>
                <w:sz w:val="22"/>
                <w:szCs w:val="22"/>
              </w:rPr>
            </w:pPr>
          </w:p>
        </w:tc>
        <w:tc>
          <w:tcPr>
            <w:tcW w:w="3415" w:type="dxa"/>
          </w:tcPr>
          <w:p w14:paraId="487729A2" w14:textId="77777777" w:rsidR="00BA16C1" w:rsidRPr="00BD0EE8" w:rsidRDefault="00BA16C1" w:rsidP="00ED3296">
            <w:pPr>
              <w:spacing w:after="210"/>
              <w:jc w:val="both"/>
              <w:rPr>
                <w:rFonts w:ascii="Arial" w:hAnsi="Arial" w:cs="Arial"/>
                <w:i/>
                <w:sz w:val="22"/>
                <w:szCs w:val="22"/>
              </w:rPr>
            </w:pPr>
            <w:r>
              <w:rPr>
                <w:rFonts w:ascii="Arial" w:hAnsi="Arial"/>
                <w:sz w:val="22"/>
              </w:rPr>
              <w:t>Kyllä/ei</w:t>
            </w:r>
          </w:p>
        </w:tc>
      </w:tr>
      <w:tr w:rsidR="00BA16C1" w:rsidRPr="00BD0EE8" w14:paraId="2448074D" w14:textId="77777777" w:rsidTr="00587A6A">
        <w:tc>
          <w:tcPr>
            <w:tcW w:w="2793" w:type="dxa"/>
          </w:tcPr>
          <w:p w14:paraId="7223B2DB" w14:textId="77777777" w:rsidR="00BA16C1" w:rsidRPr="00BD0EE8" w:rsidRDefault="00BA16C1" w:rsidP="00ED3296">
            <w:pPr>
              <w:spacing w:after="210"/>
              <w:jc w:val="both"/>
              <w:rPr>
                <w:rFonts w:ascii="Arial" w:hAnsi="Arial" w:cs="Arial"/>
                <w:i/>
                <w:sz w:val="22"/>
                <w:szCs w:val="22"/>
              </w:rPr>
            </w:pPr>
          </w:p>
        </w:tc>
        <w:tc>
          <w:tcPr>
            <w:tcW w:w="2859" w:type="dxa"/>
          </w:tcPr>
          <w:p w14:paraId="5E916D26" w14:textId="77777777" w:rsidR="00BA16C1" w:rsidRPr="00BD0EE8" w:rsidRDefault="00BA16C1" w:rsidP="00ED3296">
            <w:pPr>
              <w:spacing w:after="210"/>
              <w:jc w:val="both"/>
              <w:rPr>
                <w:rFonts w:ascii="Arial" w:hAnsi="Arial" w:cs="Arial"/>
                <w:i/>
                <w:sz w:val="22"/>
                <w:szCs w:val="22"/>
              </w:rPr>
            </w:pPr>
          </w:p>
        </w:tc>
        <w:tc>
          <w:tcPr>
            <w:tcW w:w="3415" w:type="dxa"/>
          </w:tcPr>
          <w:p w14:paraId="0C1532BC" w14:textId="77777777" w:rsidR="00BA16C1" w:rsidRPr="00BD0EE8" w:rsidRDefault="00BA16C1" w:rsidP="00ED3296">
            <w:pPr>
              <w:spacing w:after="210"/>
              <w:jc w:val="both"/>
              <w:rPr>
                <w:rFonts w:ascii="Arial" w:hAnsi="Arial" w:cs="Arial"/>
                <w:i/>
                <w:sz w:val="22"/>
                <w:szCs w:val="22"/>
              </w:rPr>
            </w:pPr>
            <w:r>
              <w:rPr>
                <w:rFonts w:ascii="Arial" w:hAnsi="Arial"/>
                <w:sz w:val="22"/>
              </w:rPr>
              <w:t>Kyllä/ei</w:t>
            </w:r>
          </w:p>
        </w:tc>
      </w:tr>
      <w:tr w:rsidR="00BA16C1" w:rsidRPr="00BD0EE8" w14:paraId="0C17303F" w14:textId="77777777" w:rsidTr="00587A6A">
        <w:tc>
          <w:tcPr>
            <w:tcW w:w="2793" w:type="dxa"/>
          </w:tcPr>
          <w:p w14:paraId="7A4CE6DE" w14:textId="77777777" w:rsidR="00BA16C1" w:rsidRPr="00BD0EE8" w:rsidRDefault="00BA16C1" w:rsidP="00ED3296">
            <w:pPr>
              <w:spacing w:after="210"/>
              <w:jc w:val="both"/>
              <w:rPr>
                <w:rFonts w:ascii="Arial" w:hAnsi="Arial" w:cs="Arial"/>
                <w:i/>
                <w:sz w:val="22"/>
                <w:szCs w:val="22"/>
              </w:rPr>
            </w:pPr>
          </w:p>
        </w:tc>
        <w:tc>
          <w:tcPr>
            <w:tcW w:w="2859" w:type="dxa"/>
          </w:tcPr>
          <w:p w14:paraId="7341C0F1" w14:textId="77777777" w:rsidR="00BA16C1" w:rsidRPr="00BD0EE8" w:rsidRDefault="00BA16C1" w:rsidP="00ED3296">
            <w:pPr>
              <w:spacing w:after="210"/>
              <w:jc w:val="both"/>
              <w:rPr>
                <w:rFonts w:ascii="Arial" w:hAnsi="Arial" w:cs="Arial"/>
                <w:i/>
                <w:sz w:val="22"/>
                <w:szCs w:val="22"/>
              </w:rPr>
            </w:pPr>
          </w:p>
        </w:tc>
        <w:tc>
          <w:tcPr>
            <w:tcW w:w="3415" w:type="dxa"/>
          </w:tcPr>
          <w:p w14:paraId="3C93C5C7" w14:textId="77777777" w:rsidR="00BA16C1" w:rsidRPr="00BD0EE8" w:rsidRDefault="00BA16C1" w:rsidP="00ED3296">
            <w:pPr>
              <w:spacing w:after="210"/>
              <w:jc w:val="both"/>
              <w:rPr>
                <w:rFonts w:ascii="Arial" w:hAnsi="Arial" w:cs="Arial"/>
                <w:i/>
                <w:sz w:val="22"/>
                <w:szCs w:val="22"/>
              </w:rPr>
            </w:pPr>
            <w:r>
              <w:rPr>
                <w:rFonts w:ascii="Arial" w:hAnsi="Arial"/>
                <w:sz w:val="22"/>
              </w:rPr>
              <w:t>Kyllä/ei</w:t>
            </w:r>
          </w:p>
        </w:tc>
      </w:tr>
    </w:tbl>
    <w:p w14:paraId="70A2A944" w14:textId="77777777" w:rsidR="00BA16C1" w:rsidRPr="00BD0EE8" w:rsidRDefault="00BA16C1" w:rsidP="00BA16C1">
      <w:pPr>
        <w:spacing w:after="210"/>
        <w:jc w:val="both"/>
        <w:rPr>
          <w:rFonts w:ascii="Arial" w:hAnsi="Arial" w:cs="Arial"/>
          <w:sz w:val="22"/>
          <w:szCs w:val="22"/>
          <w:u w:val="single"/>
        </w:rPr>
      </w:pPr>
      <w:r>
        <w:br w:type="page"/>
      </w:r>
    </w:p>
    <w:p w14:paraId="2B448160"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Liite C – Tekninen dokumentaatio</w:t>
      </w:r>
    </w:p>
    <w:p w14:paraId="7E241A76" w14:textId="74E905CE" w:rsidR="008B0F7B" w:rsidRPr="00BD0EE8" w:rsidRDefault="008B0F7B" w:rsidP="000F1F04">
      <w:pPr>
        <w:spacing w:before="120" w:after="210"/>
        <w:jc w:val="both"/>
        <w:rPr>
          <w:rFonts w:ascii="Arial" w:hAnsi="Arial" w:cs="Arial"/>
          <w:sz w:val="22"/>
          <w:szCs w:val="22"/>
        </w:rPr>
      </w:pPr>
      <w:r>
        <w:rPr>
          <w:rFonts w:ascii="Arial" w:hAnsi="Arial"/>
          <w:sz w:val="22"/>
        </w:rPr>
        <w:t>Tekniseen dokumentaatioon on sisällyttävä vähintään seuraavat tiedot siltä osin kuin ne koskevat kyseistä tekoälyjärjestelmää:</w:t>
      </w:r>
    </w:p>
    <w:p w14:paraId="4A1811DC" w14:textId="77777777" w:rsidR="008B0F7B" w:rsidRPr="00BD0EE8" w:rsidRDefault="008B0F7B" w:rsidP="008B0F7B">
      <w:pPr>
        <w:pStyle w:val="doLijstnummering5"/>
        <w:rPr>
          <w:rFonts w:ascii="Arial" w:hAnsi="Arial" w:cs="Arial"/>
          <w:sz w:val="22"/>
          <w:szCs w:val="22"/>
        </w:rPr>
      </w:pPr>
      <w:r>
        <w:rPr>
          <w:rFonts w:ascii="Arial" w:hAnsi="Arial"/>
          <w:sz w:val="22"/>
        </w:rPr>
        <w:t>Tekoälyjärjestelmän yleinen kuvaus, mukaan lukien seuraavat tiedot:</w:t>
      </w:r>
    </w:p>
    <w:p w14:paraId="1871FB77" w14:textId="6DCFF36D"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järjestelmän käyttötarkoitus, toimittajan nimi ja järjestelmän versio, joka kuvastaa sen suhdetta aiempiin versioihin</w:t>
      </w:r>
    </w:p>
    <w:p w14:paraId="67C8D633" w14:textId="26A16E22"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tarvittaessa se, miten tekoälyjärjestelmä voi olla vuorovaikutuksessa tai miten sitä voidaan käyttää vuorovaikutukseen sellaisten laitteiden tai ohjelmistojen, mukaan lukien muiden tekoälyjärjestelmien, kanssa, jotka eivät ole osa itse tekoälyjärjestelmää </w:t>
      </w:r>
    </w:p>
    <w:p w14:paraId="1ECE57CB"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asianomaisten laiteohjelmistojen tai muiden ohjelmistojen versiot ja versiopäivitykseen liittyvät vaatimukset</w:t>
      </w:r>
    </w:p>
    <w:p w14:paraId="6D0AC47C"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kuvaus laitteistosta, jossa tekoälyjärjestelmää on tarkoitus käyttää</w:t>
      </w:r>
    </w:p>
    <w:p w14:paraId="5120BCA9"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jos tekoälyjärjestelmä on tuotteiden osa, valokuvat tai piirrokset, joista ilmenevät näiden tuotteiden ulkoiset ominaisuudet, merkinnät ja sisäinen kokoonpano</w:t>
      </w:r>
    </w:p>
    <w:p w14:paraId="6FF283B9" w14:textId="2190D29B"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julkiselle organisaatiolle tarjotun käyttöliittymän peruskuvaus</w:t>
      </w:r>
    </w:p>
    <w:p w14:paraId="45B4325D" w14:textId="1708A672"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käyttöohjeet käyttöönottajalle ja tarvittaessa käyttöliittymän peruskuvaus.</w:t>
      </w:r>
    </w:p>
    <w:p w14:paraId="2CFCF1D4" w14:textId="77777777" w:rsidR="008B0F7B" w:rsidRPr="00BD0EE8" w:rsidRDefault="008B0F7B" w:rsidP="008B0F7B">
      <w:pPr>
        <w:pStyle w:val="doLijstnummering5"/>
        <w:numPr>
          <w:ilvl w:val="0"/>
          <w:numId w:val="0"/>
        </w:numPr>
        <w:ind w:left="1702"/>
        <w:rPr>
          <w:rFonts w:ascii="Arial" w:hAnsi="Arial" w:cs="Arial"/>
          <w:sz w:val="22"/>
          <w:szCs w:val="22"/>
        </w:rPr>
      </w:pPr>
    </w:p>
    <w:p w14:paraId="7ED615E6" w14:textId="77777777" w:rsidR="008B0F7B" w:rsidRPr="00BD0EE8" w:rsidRDefault="008B0F7B" w:rsidP="008B0F7B">
      <w:pPr>
        <w:pStyle w:val="doLijstnummering5"/>
        <w:rPr>
          <w:rFonts w:ascii="Arial" w:hAnsi="Arial" w:cs="Arial"/>
          <w:sz w:val="22"/>
          <w:szCs w:val="22"/>
        </w:rPr>
      </w:pPr>
      <w:r>
        <w:rPr>
          <w:rFonts w:ascii="Arial" w:hAnsi="Arial"/>
          <w:sz w:val="22"/>
        </w:rPr>
        <w:t>Yksityiskohtainen kuvaus tekoälyjärjestelmän osista ja sen kehittämisprosessista, mukaan lukien seuraavat tiedot:</w:t>
      </w:r>
    </w:p>
    <w:p w14:paraId="7613081F"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tekoälyjärjestelmän kehittämisessä käytetyt menetelmät ja vaiheet, tarvittaessa myös turvautuminen kolmansien osapuolten tarjoamiin ennalta koulutettuihin järjestelmiin tai välineisiin ja se, miten toimittaja on käyttänyt, integroinut tai muuttanut niitä, mukaan lukien kuvaus mahdollisista lisensointi- tai muista sopimusjärjestelyistä, jotka liittyvät tällaisiin kolmannen osapuolen panoksiin</w:t>
      </w:r>
    </w:p>
    <w:p w14:paraId="532B78EF" w14:textId="538001DC"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järjestelmän rakennespesifikaatiot, erityisesti tekoälyjärjestelmän ja algoritmien yleinen logiikka; keskeiset rakenteelliset valinnat, mukaan lukien periaatteet ja tehdyt oletukset, myös niiden henkilöiden tai henkilöryhmien osalta, joihin järjestelmää on tarkoitus käyttää; tärkeimmät luokitusvalinnat; mihin nähden järjestelmä on suunniteltu optimoitumaan ja eri parametrien merkitys; kuvaus järjestelmän odotetusta tuotoksesta ja tuotoksen laadusta päätökset mahdollisista teknisiä ratkaisuja koskevista kompromisseista, joita on tehty MCC-AI-Light-lausekkeissa vahvistettujen vaatimusten noudattamiseksi</w:t>
      </w:r>
    </w:p>
    <w:p w14:paraId="45CB436A"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järjestelmäarkkitehtuurin kuvaus, jossa selitetään, miten ohjelmistokomponentit rakentuvat toisilleen tai ruokkivat toisiaan ja miten ne integroituvat yleiseen prosessointiin, tekoälyjärjestelmän kehittämiseen, kouluttamiseen, testaamiseen ja validointiin käytetyt laskentaresurssit</w:t>
      </w:r>
    </w:p>
    <w:p w14:paraId="21E60423" w14:textId="45928538"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tarvittaessa dataa koskevat vaatimukset sellaisten datalomakkeiden muodossa, joissa kuvataan koulutusmenetelmät ja -tekniikat sekä käytetyt koulutusdatajoukot, mukaan lukien yleinen kuvaus näistä datajoukoista, tiedot niiden alkuperästä, laajuudesta ja pääpiirteistä; se, kuinka data on </w:t>
      </w:r>
      <w:r>
        <w:rPr>
          <w:rFonts w:ascii="Arial" w:hAnsi="Arial"/>
          <w:sz w:val="22"/>
        </w:rPr>
        <w:lastRenderedPageBreak/>
        <w:t>hankittu ja valittu; merkintämenettelyt (esim. ohjattua oppimista varten), datan puhdistusmenetelmät (esim. poikkeamien havaitseminen)</w:t>
      </w:r>
    </w:p>
    <w:p w14:paraId="10398943" w14:textId="2772CA76"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MCC-AI-Light-lausekkeiden nojalla tarvittavien ihmisen suorittamien valvontatoimenpiteiden arviointi, mukaan lukien niiden teknisten toimenpiteiden arviointi, jotka ovat tarpeen, jotta julkisen organisaation on helpompi tulkita tekoälyjärjestelmien tuotoksia MCC-AI-Light-lausekkeiden mukaisesti</w:t>
      </w:r>
    </w:p>
    <w:p w14:paraId="0A537AF4" w14:textId="22DD2F4B"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tarvittaessa yksityiskohtainen kuvaus tekoälyjärjestelmän ja sen suorituskyvyn ennalta määritellyistä muutoksista sekä kaikki asiaankuuluvat tiedot teknisistä ratkaisuista, joilla varmistetaan, että tekoälyjärjestelmä on jatkuvasti MCC-AI-Light-lausekkeissa vahvistettujen asiaankuuluvien vaatimusten mukainen</w:t>
      </w:r>
    </w:p>
    <w:p w14:paraId="3FA08B2D" w14:textId="7A348263"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käytetyt validointi- ja testausmenettelyt, mukaan lukien tiedot käytetystä validointi- ja testausdatasta ja menettelyjen tärkeimmistä ominaisuuksista; mittarit, joita käytetään mittaamaan tarkkuutta, vakautta ja muiden MCC-AI-Light-lausekkeissa vahvistettujen asiaankuuluvien vaatimusten noudattamista sekä mahdollisia syrjiviä vaikutuksia testilokit ja kaikki vastuuhenkilöiden päiväämät ja allekirjoittamat testiraportit, myös 2.5 kohdassa tarkoitettujen ennalta määriteltyjen muutosten osalta</w:t>
      </w:r>
    </w:p>
    <w:p w14:paraId="0D082175"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käyttöön otetut kyberturvallisuustoimenpiteet.</w:t>
      </w:r>
    </w:p>
    <w:p w14:paraId="0BF82C65" w14:textId="77777777" w:rsidR="008B0F7B" w:rsidRPr="00BD0EE8" w:rsidRDefault="008B0F7B" w:rsidP="008B0F7B">
      <w:pPr>
        <w:pStyle w:val="doLijstnummering5"/>
        <w:numPr>
          <w:ilvl w:val="0"/>
          <w:numId w:val="0"/>
        </w:numPr>
        <w:ind w:left="1702"/>
        <w:rPr>
          <w:rFonts w:ascii="Arial" w:hAnsi="Arial" w:cs="Arial"/>
          <w:sz w:val="22"/>
          <w:szCs w:val="22"/>
        </w:rPr>
      </w:pPr>
    </w:p>
    <w:p w14:paraId="4ACBDC95" w14:textId="7C53BE54" w:rsidR="008B0F7B" w:rsidRPr="00BD0EE8" w:rsidRDefault="00081DBA" w:rsidP="000F1F04">
      <w:pPr>
        <w:pStyle w:val="doLijstnummering5"/>
        <w:rPr>
          <w:rFonts w:ascii="Arial" w:hAnsi="Arial" w:cs="Arial"/>
          <w:sz w:val="22"/>
          <w:szCs w:val="22"/>
        </w:rPr>
      </w:pPr>
      <w:r>
        <w:rPr>
          <w:rFonts w:ascii="Arial" w:hAnsi="Arial"/>
          <w:sz w:val="22"/>
        </w:rPr>
        <w:t>Yksityiskohtaiset tiedot tekoälyjärjestelmän seurannasta, toiminnasta ja valvonnasta, erityisesti seuraavien seikkojen osalta: sen suorituskykyyn liittyvät valmiudet ja rajoitukset, mukaan lukien tarkkuusaste niiden henkilöiden tai henkilöryhmien osalta, joihin järjestelmää on tarkoitus käyttää, sekä odotettu yleinen tarkkuus suhteessa suunniteltuun käyttötarkoitukseen, ennakoitavissa olevat tahattomat seuraukset ja riskin lähteet terveyden ja turvallisuuden, perusoikeuksien sekä syrjinnän suhteen ottaen huomioon tekoälyjärjestelmän suunniteltu käyttötarkoitus.</w:t>
      </w:r>
    </w:p>
    <w:p w14:paraId="09DA1B52" w14:textId="77777777" w:rsidR="008B0F7B" w:rsidRPr="00BD0EE8" w:rsidRDefault="008B0F7B" w:rsidP="008B0F7B">
      <w:pPr>
        <w:pStyle w:val="doLijstnummering5"/>
        <w:numPr>
          <w:ilvl w:val="0"/>
          <w:numId w:val="0"/>
        </w:numPr>
        <w:ind w:left="851"/>
        <w:rPr>
          <w:rFonts w:ascii="Arial" w:hAnsi="Arial" w:cs="Arial"/>
          <w:sz w:val="22"/>
          <w:szCs w:val="22"/>
        </w:rPr>
      </w:pPr>
    </w:p>
    <w:p w14:paraId="0F56CE71" w14:textId="35FE1F59" w:rsidR="008B0F7B" w:rsidRPr="00BD0EE8" w:rsidRDefault="00081DBA" w:rsidP="008B0F7B">
      <w:pPr>
        <w:pStyle w:val="doLijstnummering5"/>
        <w:rPr>
          <w:rFonts w:ascii="Arial" w:hAnsi="Arial" w:cs="Arial"/>
          <w:sz w:val="22"/>
          <w:szCs w:val="22"/>
        </w:rPr>
      </w:pPr>
      <w:r>
        <w:rPr>
          <w:rFonts w:ascii="Arial" w:hAnsi="Arial"/>
          <w:sz w:val="22"/>
        </w:rPr>
        <w:t>Kuvaus tekoälyjärjestelmän suorituskykymittareiden asianmukaisuudesta.</w:t>
      </w:r>
    </w:p>
    <w:p w14:paraId="103A7AA1" w14:textId="77777777" w:rsidR="008B0F7B" w:rsidRPr="00BD0EE8" w:rsidRDefault="008B0F7B" w:rsidP="008B0F7B">
      <w:pPr>
        <w:pStyle w:val="doLijstnummering5"/>
        <w:numPr>
          <w:ilvl w:val="0"/>
          <w:numId w:val="0"/>
        </w:numPr>
        <w:ind w:left="851"/>
        <w:rPr>
          <w:rFonts w:ascii="Arial" w:hAnsi="Arial" w:cs="Arial"/>
          <w:sz w:val="22"/>
          <w:szCs w:val="22"/>
        </w:rPr>
      </w:pPr>
    </w:p>
    <w:p w14:paraId="2E7F2118" w14:textId="493DFA62" w:rsidR="008B0F7B" w:rsidRPr="00BD0EE8" w:rsidRDefault="00081DBA" w:rsidP="008B0F7B">
      <w:pPr>
        <w:pStyle w:val="doLijstnummering5"/>
        <w:rPr>
          <w:rFonts w:ascii="Arial" w:hAnsi="Arial" w:cs="Arial"/>
          <w:sz w:val="22"/>
          <w:szCs w:val="22"/>
        </w:rPr>
      </w:pPr>
      <w:r>
        <w:rPr>
          <w:rFonts w:ascii="Arial" w:hAnsi="Arial"/>
          <w:sz w:val="22"/>
        </w:rPr>
        <w:t>Yksityiskohtainen kuvaus 2 artiklan mukaisesta riskinhallintajärjestelmästä.</w:t>
      </w:r>
    </w:p>
    <w:p w14:paraId="5E256ECF" w14:textId="77777777" w:rsidR="008B0F7B" w:rsidRPr="00BD0EE8" w:rsidRDefault="008B0F7B" w:rsidP="008B0F7B">
      <w:pPr>
        <w:pStyle w:val="doLijstnummering5"/>
        <w:numPr>
          <w:ilvl w:val="0"/>
          <w:numId w:val="0"/>
        </w:numPr>
        <w:ind w:left="851"/>
        <w:rPr>
          <w:rFonts w:ascii="Arial" w:hAnsi="Arial" w:cs="Arial"/>
          <w:sz w:val="22"/>
          <w:szCs w:val="22"/>
        </w:rPr>
      </w:pPr>
    </w:p>
    <w:p w14:paraId="5D18D3EA" w14:textId="04CD1524" w:rsidR="008B0F7B" w:rsidRPr="00BD0EE8" w:rsidRDefault="00081DBA" w:rsidP="008B0F7B">
      <w:pPr>
        <w:pStyle w:val="doLijstnummering5"/>
        <w:rPr>
          <w:rFonts w:ascii="Arial" w:hAnsi="Arial" w:cs="Arial"/>
          <w:sz w:val="22"/>
          <w:szCs w:val="22"/>
        </w:rPr>
      </w:pPr>
      <w:r>
        <w:rPr>
          <w:rFonts w:ascii="Arial" w:hAnsi="Arial"/>
          <w:sz w:val="22"/>
        </w:rPr>
        <w:t>Kuvaus toimittajan järjestelmän elinkaaren aikana järjestelmään tekemistä merkityksellisistä muutoksista.</w:t>
      </w:r>
      <w:r>
        <w:rPr>
          <w:rFonts w:ascii="Arial" w:hAnsi="Arial"/>
          <w:sz w:val="22"/>
        </w:rPr>
        <w:br w:type="page"/>
      </w:r>
    </w:p>
    <w:p w14:paraId="1C86943F" w14:textId="77777777" w:rsidR="00BA16C1" w:rsidRPr="00BD0EE8" w:rsidRDefault="00BA16C1" w:rsidP="00587A6A">
      <w:pPr>
        <w:spacing w:after="360"/>
        <w:rPr>
          <w:rFonts w:ascii="Arial" w:hAnsi="Arial" w:cs="Arial"/>
          <w:b/>
          <w:sz w:val="26"/>
          <w:szCs w:val="26"/>
        </w:rPr>
      </w:pPr>
      <w:r>
        <w:rPr>
          <w:rFonts w:ascii="Arial" w:hAnsi="Arial"/>
          <w:b/>
          <w:sz w:val="26"/>
        </w:rPr>
        <w:lastRenderedPageBreak/>
        <w:t>Liite D – Käyttöohjeet</w:t>
      </w:r>
    </w:p>
    <w:p w14:paraId="71F1FF5D" w14:textId="77777777" w:rsidR="008B0F7B" w:rsidRPr="00BD0EE8" w:rsidRDefault="008B0F7B" w:rsidP="008B0F7B">
      <w:pPr>
        <w:spacing w:after="210"/>
        <w:jc w:val="both"/>
        <w:rPr>
          <w:rFonts w:ascii="Arial" w:hAnsi="Arial" w:cs="Arial"/>
          <w:sz w:val="22"/>
          <w:szCs w:val="22"/>
        </w:rPr>
      </w:pPr>
      <w:r>
        <w:rPr>
          <w:rFonts w:ascii="Arial" w:hAnsi="Arial"/>
          <w:sz w:val="22"/>
        </w:rPr>
        <w:t>Käyttöohjeisiin on sisällyttävä vähintään seuraavat tiedot siltä osin kuin ne koskevat tekoälyjärjestelmää:</w:t>
      </w:r>
    </w:p>
    <w:p w14:paraId="6BDE81C0"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Toimittajan ja tarvittaessa tämän valtuutettujen edustajien henkilöllisyys ja yhteystiedot.</w:t>
      </w:r>
    </w:p>
    <w:p w14:paraId="5224A367" w14:textId="77777777" w:rsidR="008B0F7B" w:rsidRPr="00BD0EE8" w:rsidRDefault="008B0F7B" w:rsidP="008B0F7B">
      <w:pPr>
        <w:pStyle w:val="doLijstnummering5"/>
        <w:numPr>
          <w:ilvl w:val="0"/>
          <w:numId w:val="0"/>
        </w:numPr>
        <w:ind w:left="851"/>
        <w:rPr>
          <w:rFonts w:ascii="Arial" w:hAnsi="Arial" w:cs="Arial"/>
          <w:sz w:val="22"/>
          <w:szCs w:val="22"/>
        </w:rPr>
      </w:pPr>
    </w:p>
    <w:p w14:paraId="629D7B9C"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Tekoälyjärjestelmän ominaisuudet, valmiudet ja suorituskyvyn rajoitukset, mukaan lukien soveltuvin osin seuraavat:</w:t>
      </w:r>
    </w:p>
    <w:p w14:paraId="4E9BFDAB" w14:textId="77777777"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käyttötarkoitus</w:t>
      </w:r>
    </w:p>
    <w:p w14:paraId="515F5579" w14:textId="3E872E01"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sopimuksen 8 artiklassa tarkoitettu tarkkuuden, mukaan lukien sen mittarit, vakauden ja kyberturvallisuuden taso, johon nähden tekoälyjärjestelmä on testattu ja validoitu ja jota voidaan odottaa, sekä kaikki selkeästi tunnetut ja ennakoitavissa olevat olosuhteet, joilla voi olla vaikutusta kyseiseen tarkkuuden, vakauden ja kyberturvallisuuden odotettuun tasoon</w:t>
      </w:r>
    </w:p>
    <w:p w14:paraId="515EE051" w14:textId="7B0492AC"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kaikki tunnetut tai ennakoitavissa olevat olosuhteet, jotka liittyvät tekoälyjärjestelmän käyttöön sen käyttötarkoituksen mukaisesti tai kohtuudella ennakoitavissa olevissa väärinkäyttöolosuhteissa ja jotka voivat aiheuttaa terveyteen ja turvallisuuteen tai perusoikeuksiin kohdistuvia riskejä</w:t>
      </w:r>
    </w:p>
    <w:p w14:paraId="3FD069B4" w14:textId="2C84B3BA"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tapauksen mukaan tekoälyjärjestelmän tekniset valmiudet ja ominaisuudet, jotta voidaan antaa tietoja, jotka ovat merkityksellisiä sen tuotoksen selittämiseksi</w:t>
      </w:r>
      <w:r>
        <w:rPr>
          <w:rFonts w:ascii="Arial" w:hAnsi="Arial"/>
          <w:sz w:val="22"/>
        </w:rPr>
        <w:cr/>
      </w:r>
    </w:p>
    <w:p w14:paraId="3973F5E8" w14:textId="79EFAFF4"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tarvittaessa tekoälyjärjestelmän käyttäytyminen niiden henkilöiden tai henkilöryhmien osalta, joihin järjestelmää on tarkoitus käyttää</w:t>
      </w:r>
    </w:p>
    <w:p w14:paraId="30ADA51E" w14:textId="12DCC321" w:rsidR="008B0F7B" w:rsidRPr="00B61CD1" w:rsidRDefault="008B0F7B" w:rsidP="008B0F7B">
      <w:pPr>
        <w:pStyle w:val="doLijstnummering5"/>
        <w:numPr>
          <w:ilvl w:val="1"/>
          <w:numId w:val="10"/>
        </w:numPr>
        <w:rPr>
          <w:rFonts w:ascii="Arial" w:hAnsi="Arial" w:cs="Arial"/>
          <w:sz w:val="22"/>
          <w:szCs w:val="22"/>
        </w:rPr>
      </w:pPr>
      <w:r>
        <w:rPr>
          <w:rFonts w:ascii="Arial" w:hAnsi="Arial"/>
          <w:sz w:val="22"/>
        </w:rPr>
        <w:t>tarvittaessa syöttötietoja koskevat spesifikaatiot tai muut käytettyjä koulutus-, validointi- ja testausdatajoukkoja koskevat olennaiset tiedot ottaen huomioon tekoälyjärjestelmän suunniteltu käyttötarkoitus</w:t>
      </w:r>
    </w:p>
    <w:p w14:paraId="10479F6E" w14:textId="14618FE5" w:rsidR="008B0F7B" w:rsidRPr="00BD0EE8" w:rsidRDefault="00242812" w:rsidP="00B61CD1">
      <w:pPr>
        <w:pStyle w:val="doLijstnummering5"/>
        <w:numPr>
          <w:ilvl w:val="1"/>
          <w:numId w:val="10"/>
        </w:numPr>
        <w:rPr>
          <w:rFonts w:ascii="Arial" w:hAnsi="Arial" w:cs="Arial"/>
          <w:sz w:val="22"/>
          <w:szCs w:val="22"/>
        </w:rPr>
      </w:pPr>
      <w:r>
        <w:rPr>
          <w:rFonts w:ascii="Arial" w:hAnsi="Arial"/>
          <w:sz w:val="22"/>
        </w:rPr>
        <w:t>tapauksen mukaan tiedot, joiden avulla julkinen organisaatio voi tulkita tekoälyjärjestelmän tuotoksia ja käyttää niitä asianmukaisesti.</w:t>
      </w:r>
      <w:r>
        <w:rPr>
          <w:rFonts w:ascii="Arial" w:hAnsi="Arial"/>
          <w:sz w:val="22"/>
        </w:rPr>
        <w:cr/>
      </w:r>
    </w:p>
    <w:p w14:paraId="26BBFD87" w14:textId="373BC6D8"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 xml:space="preserve">Tekoälyjärjestelmän ja sen suorituskyvyn muutokset, jotka toimittaja on määritellyt ennalta, jos niitä on. </w:t>
      </w:r>
    </w:p>
    <w:p w14:paraId="14F9F139" w14:textId="77777777" w:rsidR="008B0F7B" w:rsidRPr="00BD0EE8" w:rsidRDefault="008B0F7B" w:rsidP="008B0F7B">
      <w:pPr>
        <w:pStyle w:val="doLijstnummering5"/>
        <w:numPr>
          <w:ilvl w:val="0"/>
          <w:numId w:val="0"/>
        </w:numPr>
        <w:ind w:left="851"/>
        <w:rPr>
          <w:rFonts w:ascii="Arial" w:hAnsi="Arial" w:cs="Arial"/>
          <w:sz w:val="22"/>
          <w:szCs w:val="22"/>
        </w:rPr>
      </w:pPr>
    </w:p>
    <w:p w14:paraId="53A7CEA1"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Sopimuksen 7 artiklassa tarkoitetut ihmisen suorittamat valvontatoimenpiteet, mukaan lukien tekniset toimenpiteet, jotka on otettu käyttöön, jotta julkisen organisaation olisi helpompi tulkita tekoälyjärjestelmän tuloksia.</w:t>
      </w:r>
    </w:p>
    <w:p w14:paraId="67AED5CC" w14:textId="77777777" w:rsidR="008B0F7B" w:rsidRPr="00BD0EE8" w:rsidRDefault="008B0F7B" w:rsidP="008B0F7B">
      <w:pPr>
        <w:pStyle w:val="doLijstnummering5"/>
        <w:numPr>
          <w:ilvl w:val="0"/>
          <w:numId w:val="0"/>
        </w:numPr>
        <w:ind w:left="851"/>
        <w:rPr>
          <w:rFonts w:ascii="Arial" w:hAnsi="Arial" w:cs="Arial"/>
          <w:sz w:val="22"/>
          <w:szCs w:val="22"/>
        </w:rPr>
      </w:pPr>
    </w:p>
    <w:p w14:paraId="394CCEBF" w14:textId="4792CC1E"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Tarvittavat laskenta- ja laiteresurssit, tekoälyjärjestelmän odotettu käyttöikä ja kaikki tarvittavat ylläpito- ja huoltotoimet, mukaan lukien niiden aikavälit, joilla varmistetaan tekoälyjärjestelmän asianmukainen toiminta, mukaan lukien ohjelmistopäivitykset.</w:t>
      </w:r>
    </w:p>
    <w:p w14:paraId="52A454D8" w14:textId="77777777" w:rsidR="008B0F7B" w:rsidRPr="00BD0EE8" w:rsidRDefault="008B0F7B" w:rsidP="008B0F7B">
      <w:pPr>
        <w:pStyle w:val="doLijstnummering5"/>
        <w:numPr>
          <w:ilvl w:val="0"/>
          <w:numId w:val="0"/>
        </w:numPr>
        <w:ind w:left="851"/>
        <w:rPr>
          <w:rFonts w:ascii="Arial" w:hAnsi="Arial" w:cs="Arial"/>
          <w:sz w:val="22"/>
          <w:szCs w:val="22"/>
        </w:rPr>
      </w:pPr>
    </w:p>
    <w:p w14:paraId="0557CC0C" w14:textId="1977B9EF" w:rsidR="00BA16C1" w:rsidRPr="00BD0EE8" w:rsidRDefault="008B0F7B" w:rsidP="000F1F04">
      <w:pPr>
        <w:pStyle w:val="doLijstnummering5"/>
        <w:rPr>
          <w:b/>
        </w:rPr>
      </w:pPr>
      <w:r>
        <w:rPr>
          <w:rFonts w:ascii="Arial" w:hAnsi="Arial"/>
          <w:sz w:val="22"/>
        </w:rPr>
        <w:lastRenderedPageBreak/>
        <w:t xml:space="preserve">Tarpeen mukaan kuvaus tekoälyjärjestelmään sisältyvistä mekanismeista, joiden avulla julkinen organisaatio voi asianmukaisesti kerätä, tallentaa ja tulkita lokitietoja MCC-AI-Light-lausekkeiden 5 artiklan mukaisesti. </w:t>
      </w:r>
      <w:r>
        <w:rPr>
          <w:rFonts w:ascii="Arial" w:hAnsi="Arial"/>
          <w:sz w:val="22"/>
        </w:rPr>
        <w:br w:type="page"/>
      </w:r>
    </w:p>
    <w:p w14:paraId="143B9937" w14:textId="77777777" w:rsidR="00587A6A" w:rsidRPr="00BD0EE8" w:rsidRDefault="00BA16C1" w:rsidP="00587A6A">
      <w:pPr>
        <w:spacing w:after="360"/>
        <w:jc w:val="both"/>
        <w:rPr>
          <w:rFonts w:ascii="Arial" w:hAnsi="Arial" w:cs="Arial"/>
          <w:b/>
          <w:sz w:val="26"/>
          <w:szCs w:val="26"/>
        </w:rPr>
      </w:pPr>
      <w:r>
        <w:rPr>
          <w:rFonts w:ascii="Arial" w:hAnsi="Arial"/>
          <w:b/>
          <w:sz w:val="26"/>
        </w:rPr>
        <w:lastRenderedPageBreak/>
        <w:t>Liite E – Toimenpiteet avoimuuden varmistamiseksi</w:t>
      </w:r>
    </w:p>
    <w:p w14:paraId="4D7196F1" w14:textId="2124BD33" w:rsidR="00BA16C1" w:rsidRPr="00BD0EE8" w:rsidRDefault="00BA16C1" w:rsidP="00BA16C1">
      <w:pPr>
        <w:spacing w:after="210"/>
        <w:jc w:val="both"/>
        <w:rPr>
          <w:rFonts w:ascii="Arial" w:hAnsi="Arial" w:cs="Arial"/>
          <w:i/>
          <w:sz w:val="22"/>
          <w:szCs w:val="22"/>
        </w:rPr>
      </w:pPr>
      <w:r>
        <w:rPr>
          <w:rFonts w:ascii="Arial" w:hAnsi="Arial"/>
          <w:i/>
          <w:sz w:val="22"/>
        </w:rPr>
        <w:t>Esittäkää tässä kuvaus teknisistä ja organisatorisista toimenpiteistä, jotka toimittajan on toteutettava avoimuuden varmistamiseksi MCC-AI-Light-lausekkeiden 6 artiklan mukaisesti.</w:t>
      </w:r>
    </w:p>
    <w:p w14:paraId="19B86BBA" w14:textId="77777777" w:rsidR="00BA16C1" w:rsidRPr="00BD0EE8" w:rsidRDefault="00BA16C1" w:rsidP="00BA16C1">
      <w:pPr>
        <w:spacing w:after="210"/>
        <w:jc w:val="both"/>
        <w:rPr>
          <w:rFonts w:ascii="Arial" w:hAnsi="Arial" w:cs="Arial"/>
          <w:b/>
          <w:sz w:val="22"/>
          <w:szCs w:val="22"/>
        </w:rPr>
      </w:pPr>
      <w:r>
        <w:br w:type="page"/>
      </w:r>
    </w:p>
    <w:p w14:paraId="53097FAF"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Liite F – Toimenpiteet ihmisen suorittaman valvonnan varmistamiseksi</w:t>
      </w:r>
    </w:p>
    <w:p w14:paraId="2E74307F" w14:textId="197B09EC" w:rsidR="00BA16C1" w:rsidRPr="00BD0EE8" w:rsidRDefault="00BA16C1" w:rsidP="00BA16C1">
      <w:pPr>
        <w:spacing w:after="210"/>
        <w:jc w:val="both"/>
        <w:rPr>
          <w:rFonts w:ascii="Arial" w:hAnsi="Arial" w:cs="Arial"/>
          <w:i/>
          <w:sz w:val="22"/>
          <w:szCs w:val="22"/>
        </w:rPr>
      </w:pPr>
      <w:r>
        <w:rPr>
          <w:rFonts w:ascii="Arial" w:hAnsi="Arial"/>
          <w:i/>
          <w:sz w:val="22"/>
        </w:rPr>
        <w:t>Esittäkää tässä kuvaus teknisistä ja organisatorisista toimenpiteistä, jotka toimittajan on toteutettava ihmisen suorittaman valvonnan varmistamiseksi MCC-AI-Light-lausekkeiden 7 artiklan mukaisesti.</w:t>
      </w:r>
    </w:p>
    <w:p w14:paraId="3A753C66" w14:textId="77777777" w:rsidR="00BA16C1" w:rsidRPr="00BD0EE8" w:rsidRDefault="00BA16C1" w:rsidP="00BA16C1">
      <w:pPr>
        <w:spacing w:after="210"/>
        <w:jc w:val="both"/>
        <w:rPr>
          <w:rFonts w:ascii="Arial" w:hAnsi="Arial" w:cs="Arial"/>
          <w:b/>
          <w:sz w:val="22"/>
          <w:szCs w:val="22"/>
        </w:rPr>
      </w:pPr>
      <w:r>
        <w:br w:type="page"/>
      </w:r>
    </w:p>
    <w:p w14:paraId="3E9ADABD"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Liite G – Tarkkuustasot</w:t>
      </w:r>
    </w:p>
    <w:p w14:paraId="55C65BA7" w14:textId="77777777" w:rsidR="00BA16C1" w:rsidRPr="00BD0EE8" w:rsidRDefault="00BA16C1" w:rsidP="00BA16C1">
      <w:pPr>
        <w:spacing w:after="210"/>
        <w:jc w:val="both"/>
        <w:rPr>
          <w:rFonts w:ascii="Arial" w:hAnsi="Arial" w:cs="Arial"/>
          <w:i/>
          <w:sz w:val="22"/>
          <w:szCs w:val="22"/>
        </w:rPr>
      </w:pPr>
      <w:r>
        <w:rPr>
          <w:rFonts w:ascii="Arial" w:hAnsi="Arial"/>
          <w:i/>
          <w:sz w:val="22"/>
        </w:rPr>
        <w:t>Kuvailkaa tässä vaadittavat tarkkuustasot.</w:t>
      </w:r>
    </w:p>
    <w:p w14:paraId="35B6EB16" w14:textId="77777777" w:rsidR="00BA16C1" w:rsidRPr="00BD0EE8" w:rsidRDefault="00BA16C1" w:rsidP="00BA16C1">
      <w:pPr>
        <w:spacing w:after="210"/>
        <w:jc w:val="both"/>
        <w:rPr>
          <w:rFonts w:ascii="Arial" w:hAnsi="Arial" w:cs="Arial"/>
          <w:i/>
          <w:sz w:val="22"/>
          <w:szCs w:val="22"/>
        </w:rPr>
      </w:pPr>
      <w:r>
        <w:br w:type="page"/>
      </w:r>
    </w:p>
    <w:p w14:paraId="45658787"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Liite H – Toimenpiteet vakauden, turvallisuuden ja kyberturvallisuuden asianmukaisen tason varmistamiseksi</w:t>
      </w:r>
    </w:p>
    <w:p w14:paraId="630D2C65" w14:textId="203865A6" w:rsidR="00BA16C1" w:rsidRPr="00BD0EE8" w:rsidRDefault="00BA16C1" w:rsidP="00BA16C1">
      <w:pPr>
        <w:spacing w:after="210"/>
        <w:jc w:val="both"/>
        <w:rPr>
          <w:rFonts w:ascii="Arial" w:hAnsi="Arial" w:cs="Arial"/>
          <w:i/>
          <w:sz w:val="22"/>
          <w:szCs w:val="22"/>
        </w:rPr>
      </w:pPr>
      <w:r>
        <w:rPr>
          <w:rFonts w:ascii="Arial" w:hAnsi="Arial"/>
          <w:i/>
          <w:sz w:val="22"/>
        </w:rPr>
        <w:t>Esittäkää tässä kuvaus teknisistä ja organisatorisista toimenpiteistä, jotka toimittajan on toteutettava vakauden, turvallisuuden ja kyberturvallisuuden asianmukaisen tason varmistamiseksi MCC-AI-Light-lausekkeiden 8 artiklan mukaisesti.</w:t>
      </w:r>
    </w:p>
    <w:p w14:paraId="0B6CFD2E" w14:textId="539AE133" w:rsidR="00BA16C1" w:rsidRPr="00BD0EE8" w:rsidRDefault="00BA16C1" w:rsidP="00BA16C1">
      <w:pPr>
        <w:spacing w:after="210"/>
        <w:jc w:val="both"/>
        <w:rPr>
          <w:rFonts w:ascii="Arial" w:hAnsi="Arial" w:cs="Arial"/>
          <w:i/>
          <w:sz w:val="22"/>
          <w:szCs w:val="22"/>
        </w:rPr>
      </w:pPr>
      <w:r>
        <w:rPr>
          <w:rFonts w:ascii="Arial" w:hAnsi="Arial"/>
          <w:i/>
          <w:sz w:val="22"/>
        </w:rPr>
        <w:t>Näillä toimenpiteillä on pystyttävä varmistamaan, että tekoälyjärjestelmä sietää mahdollisimman hyvin virheitä, vikoja tai epäjohdonmukaisuuksia, joita saattaa esiintyä järjestelmässä tai ympäristössä, jossa järjestelmä toimii, erityisesti siksi, että järjestelmät ovat vuorovaikutuksessa luonnollisten henkilöiden tai muiden järjestelmien kanssa.</w:t>
      </w:r>
    </w:p>
    <w:p w14:paraId="6F39830F" w14:textId="28EF8A3C" w:rsidR="00BA16C1" w:rsidRPr="00BD0EE8" w:rsidRDefault="00BA16C1" w:rsidP="00BA16C1">
      <w:pPr>
        <w:spacing w:after="210"/>
        <w:jc w:val="both"/>
        <w:rPr>
          <w:rFonts w:ascii="Arial" w:hAnsi="Arial" w:cs="Arial"/>
          <w:i/>
          <w:sz w:val="22"/>
          <w:szCs w:val="22"/>
        </w:rPr>
      </w:pPr>
      <w:r>
        <w:rPr>
          <w:rFonts w:ascii="Arial" w:hAnsi="Arial"/>
          <w:i/>
          <w:sz w:val="22"/>
        </w:rPr>
        <w:t xml:space="preserve">Tekoälyjärjestelmien on kestettävä asiaankuulumattomien ulkopuolisten tahojen yritykset </w:t>
      </w:r>
      <w:proofErr w:type="gramStart"/>
      <w:r>
        <w:rPr>
          <w:rFonts w:ascii="Arial" w:hAnsi="Arial"/>
          <w:i/>
          <w:sz w:val="22"/>
        </w:rPr>
        <w:t>muuttaa</w:t>
      </w:r>
      <w:proofErr w:type="gramEnd"/>
      <w:r>
        <w:rPr>
          <w:rFonts w:ascii="Arial" w:hAnsi="Arial"/>
          <w:i/>
          <w:sz w:val="22"/>
        </w:rPr>
        <w:t xml:space="preserve"> järjestelmän käyttöä, käyttäytymistä, tuloksia tai suorituskykyä hyödyntämällä järjestelmän haavoittuvuuksia. Teknisiin ratkaisuihin, joilla puututaan tekoälyn erityisiin haavoittuvuuksiin, voi tarvittaessa sisältyä toimenpiteitä, joilla ehkäistään, havaitaan, hallitaan, ratkaistaan ja rajoitetaan hyökkäyksiä, joilla pyritään manipuloimaan koulutusdatajoukkoa (”datamyrkytys”) tai koulutuksessa käytettäviä esikoulutettuja komponentteja (”mallimyrkytys”), syöttötietoja, joiden tarkoituksena on saada malli tekemään virhe (”ristiriitaiset esimerkit” tai ”mallin kiertäminen”), luottamuksellisuuteen kohdistuvia hyökkäyksiä tai mallin puutteita, joiden tuloksena saatettaisiin tehdä haitallisia päätöksiä.</w:t>
      </w:r>
    </w:p>
    <w:p w14:paraId="0C65BCE1" w14:textId="77777777" w:rsidR="00BA16C1" w:rsidRPr="00BD0EE8" w:rsidRDefault="00BA16C1" w:rsidP="00BA16C1">
      <w:pPr>
        <w:spacing w:after="210"/>
        <w:jc w:val="both"/>
        <w:rPr>
          <w:rFonts w:ascii="Arial" w:hAnsi="Arial" w:cs="Arial"/>
          <w:i/>
          <w:sz w:val="22"/>
          <w:szCs w:val="22"/>
        </w:rPr>
      </w:pPr>
    </w:p>
    <w:p w14:paraId="360BC2E7" w14:textId="77777777" w:rsidR="00BA16C1" w:rsidRPr="00BD0EE8" w:rsidRDefault="00BA16C1" w:rsidP="00BA16C1">
      <w:pPr>
        <w:spacing w:after="210"/>
        <w:jc w:val="both"/>
        <w:rPr>
          <w:rFonts w:ascii="Arial" w:hAnsi="Arial" w:cs="Arial"/>
          <w:b/>
          <w:sz w:val="22"/>
          <w:szCs w:val="22"/>
        </w:rPr>
      </w:pPr>
    </w:p>
    <w:p w14:paraId="7C40F679" w14:textId="77777777" w:rsidR="00BA16C1" w:rsidRPr="00BD0EE8" w:rsidRDefault="00BA16C1" w:rsidP="00BA16C1">
      <w:pPr>
        <w:spacing w:after="210"/>
        <w:jc w:val="both"/>
        <w:rPr>
          <w:rFonts w:ascii="Arial" w:hAnsi="Arial" w:cs="Arial"/>
          <w:b/>
          <w:sz w:val="22"/>
          <w:szCs w:val="22"/>
        </w:rPr>
      </w:pPr>
    </w:p>
    <w:p w14:paraId="633C8900" w14:textId="77777777" w:rsidR="000F6F09" w:rsidRPr="00BD0EE8" w:rsidRDefault="000F6F09" w:rsidP="000F6F09">
      <w:pPr>
        <w:rPr>
          <w:rFonts w:ascii="Arial" w:hAnsi="Arial" w:cs="Arial"/>
          <w:b/>
          <w:sz w:val="22"/>
          <w:szCs w:val="22"/>
        </w:rPr>
      </w:pPr>
    </w:p>
    <w:sectPr w:rsidR="000F6F09" w:rsidRPr="00BD0EE8" w:rsidSect="0065578B">
      <w:headerReference w:type="even" r:id="rId15"/>
      <w:headerReference w:type="default" r:id="rId16"/>
      <w:footerReference w:type="even" r:id="rId17"/>
      <w:footerReference w:type="default" r:id="rId18"/>
      <w:headerReference w:type="first" r:id="rId19"/>
      <w:footerReference w:type="first" r:id="rId20"/>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7E7F3C" w14:textId="77777777" w:rsidR="001A671B" w:rsidRDefault="001A671B" w:rsidP="000B1A35">
      <w:r>
        <w:separator/>
      </w:r>
    </w:p>
  </w:endnote>
  <w:endnote w:type="continuationSeparator" w:id="0">
    <w:p w14:paraId="1C845C6A" w14:textId="77777777" w:rsidR="001A671B" w:rsidRDefault="001A671B" w:rsidP="000B1A35">
      <w:r>
        <w:continuationSeparator/>
      </w:r>
    </w:p>
  </w:endnote>
  <w:endnote w:type="continuationNotice" w:id="1">
    <w:p w14:paraId="76B8421B" w14:textId="77777777" w:rsidR="001A671B" w:rsidRDefault="001A671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EndPr>
      <w:rPr>
        <w:rStyle w:val="PageNumber"/>
      </w:rPr>
    </w:sdtEndPr>
    <w:sdtContent>
      <w:p w14:paraId="6B3EBFF0" w14:textId="77777777" w:rsidR="000B1A35" w:rsidRDefault="000B1A35" w:rsidP="0067713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61564CE7" w14:textId="77777777" w:rsidR="000B1A35" w:rsidRDefault="000B1A35"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5E79C4F0" w14:textId="4FBC26E7" w:rsidR="000B1A35" w:rsidRPr="00B55AC3" w:rsidRDefault="000B1A35" w:rsidP="0067713C">
        <w:pPr>
          <w:pStyle w:val="Footer"/>
          <w:framePr w:wrap="none" w:vAnchor="text" w:hAnchor="margin" w:xAlign="right" w:y="1"/>
          <w:rPr>
            <w:rStyle w:val="PageNumber"/>
            <w:rFonts w:ascii="Arial" w:hAnsi="Arial" w:cs="Arial"/>
            <w:b/>
            <w:bCs/>
            <w:color w:val="104D54"/>
          </w:rPr>
        </w:pPr>
        <w:r>
          <w:rPr>
            <w:rStyle w:val="PageNumber"/>
            <w:rFonts w:ascii="Arial" w:hAnsi="Arial" w:cs="Arial"/>
            <w:b/>
            <w:color w:val="104D54"/>
          </w:rPr>
          <w:fldChar w:fldCharType="begin"/>
        </w:r>
        <w:r>
          <w:rPr>
            <w:rStyle w:val="PageNumber"/>
            <w:rFonts w:ascii="Arial" w:hAnsi="Arial" w:cs="Arial"/>
            <w:b/>
            <w:color w:val="104D54"/>
          </w:rPr>
          <w:instrText xml:space="preserve"> PAGE </w:instrText>
        </w:r>
        <w:r>
          <w:rPr>
            <w:rStyle w:val="PageNumber"/>
            <w:rFonts w:ascii="Arial" w:hAnsi="Arial" w:cs="Arial"/>
            <w:b/>
            <w:color w:val="104D54"/>
          </w:rPr>
          <w:fldChar w:fldCharType="separate"/>
        </w:r>
        <w:r>
          <w:rPr>
            <w:rStyle w:val="PageNumber"/>
            <w:rFonts w:ascii="Arial" w:hAnsi="Arial" w:cs="Arial"/>
            <w:b/>
            <w:color w:val="104D54"/>
          </w:rPr>
          <w:t>4</w:t>
        </w:r>
        <w:r>
          <w:rPr>
            <w:rStyle w:val="PageNumber"/>
            <w:rFonts w:ascii="Arial" w:hAnsi="Arial" w:cs="Arial"/>
            <w:b/>
            <w:color w:val="104D54"/>
          </w:rPr>
          <w:fldChar w:fldCharType="end"/>
        </w:r>
      </w:p>
    </w:sdtContent>
  </w:sdt>
  <w:p w14:paraId="008524F3" w14:textId="77777777" w:rsidR="000B1A35" w:rsidRPr="00B55AC3" w:rsidRDefault="000B1A35" w:rsidP="000B1A35">
    <w:pPr>
      <w:pStyle w:val="Footer"/>
      <w:ind w:right="360"/>
      <w:rPr>
        <w:rFonts w:ascii="Arial" w:hAnsi="Arial" w:cs="Arial"/>
        <w:b/>
        <w:bCs/>
        <w:color w:val="104D5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9E9D38" w14:textId="77777777" w:rsidR="0024535C" w:rsidRDefault="0024535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082C16" w14:textId="77777777" w:rsidR="001A671B" w:rsidRDefault="001A671B" w:rsidP="000B1A35">
      <w:r>
        <w:separator/>
      </w:r>
    </w:p>
  </w:footnote>
  <w:footnote w:type="continuationSeparator" w:id="0">
    <w:p w14:paraId="62BF8D73" w14:textId="77777777" w:rsidR="001A671B" w:rsidRDefault="001A671B" w:rsidP="000B1A35">
      <w:r>
        <w:continuationSeparator/>
      </w:r>
    </w:p>
  </w:footnote>
  <w:footnote w:type="continuationNotice" w:id="1">
    <w:p w14:paraId="13444E59" w14:textId="77777777" w:rsidR="001A671B" w:rsidRDefault="001A671B"/>
  </w:footnote>
  <w:footnote w:id="2">
    <w:p w14:paraId="71CB9891" w14:textId="150129FD" w:rsidR="00BA16C1" w:rsidRPr="00587A6A" w:rsidRDefault="00BA16C1" w:rsidP="00BA16C1">
      <w:pPr>
        <w:pStyle w:val="FootnoteText"/>
        <w:rPr>
          <w:rFonts w:ascii="Arial" w:hAnsi="Arial" w:cs="Arial"/>
          <w:sz w:val="18"/>
          <w:szCs w:val="18"/>
        </w:rPr>
      </w:pPr>
      <w:r>
        <w:rPr>
          <w:rStyle w:val="FootnoteReference"/>
          <w:rFonts w:ascii="Arial" w:hAnsi="Arial" w:cs="Arial"/>
          <w:sz w:val="18"/>
          <w:szCs w:val="18"/>
        </w:rPr>
        <w:footnoteRef/>
      </w:r>
      <w:r>
        <w:rPr>
          <w:rFonts w:ascii="Arial" w:hAnsi="Arial"/>
          <w:sz w:val="18"/>
        </w:rPr>
        <w:t xml:space="preserve"> </w:t>
      </w:r>
      <w:r>
        <w:tab/>
      </w:r>
      <w:r>
        <w:rPr>
          <w:rFonts w:ascii="Arial" w:hAnsi="Arial"/>
          <w:sz w:val="18"/>
        </w:rPr>
        <w:t>Toimittajan datajoukkojen ja kolmannen osapuolen datajoukkojen luovuttamista koskevan velvoitteen rajoittaminen ei rajoita 6 ja 11 artiklassa kuvattuja toimittajan velvollisuuksia.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4C59D" w14:textId="77777777" w:rsidR="0024535C" w:rsidRDefault="0024535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FCFD7" w14:textId="329C3D11" w:rsidR="00F237EA" w:rsidRDefault="00176E68">
    <w:pPr>
      <w:pStyle w:val="Header"/>
      <w:rPr>
        <w:rFonts w:ascii="Arial" w:hAnsi="Arial" w:cs="Arial"/>
        <w:b/>
        <w:bCs/>
        <w:color w:val="FFFFFF" w:themeColor="background1"/>
      </w:rPr>
    </w:pPr>
    <w:r>
      <w:rPr>
        <w:noProof/>
        <w:color w:val="FFFFFF" w:themeColor="background1"/>
        <w:u w:val="single"/>
      </w:rPr>
      <w:drawing>
        <wp:anchor distT="0" distB="0" distL="114300" distR="114300" simplePos="0" relativeHeight="251660288" behindDoc="1" locked="0" layoutInCell="1" allowOverlap="1" wp14:anchorId="33C77C43" wp14:editId="06F6EE29">
          <wp:simplePos x="0" y="0"/>
          <wp:positionH relativeFrom="column">
            <wp:posOffset>-914400</wp:posOffset>
          </wp:positionH>
          <wp:positionV relativeFrom="paragraph">
            <wp:posOffset>-450216</wp:posOffset>
          </wp:positionV>
          <wp:extent cx="7585656" cy="927135"/>
          <wp:effectExtent l="0" t="0" r="0" b="0"/>
          <wp:wrapNone/>
          <wp:docPr id="126458354" name="Picture 126458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r>
      <w:rPr>
        <w:color w:val="FFFFFF" w:themeColor="background1"/>
        <w:u w:val="single"/>
      </w:rPr>
      <w:t xml:space="preserve"> </w:t>
    </w:r>
    <w:hyperlink r:id="rId2" w:history="1">
      <w:r>
        <w:rPr>
          <w:rStyle w:val="Hyperlink"/>
          <w:rFonts w:ascii="Arial" w:hAnsi="Arial"/>
          <w:color w:val="FFFFFF" w:themeColor="background1"/>
          <w:sz w:val="20"/>
          <w:u w:val="single"/>
        </w:rPr>
        <w:t>Tekoälyn hankinta |</w:t>
      </w:r>
    </w:hyperlink>
    <w:hyperlink r:id="rId3" w:history="1">
      <w:r>
        <w:rPr>
          <w:rStyle w:val="Hyperlink"/>
          <w:rFonts w:ascii="Arial" w:hAnsi="Arial"/>
          <w:color w:val="FFFFFF" w:themeColor="background1"/>
          <w:sz w:val="20"/>
          <w:u w:val="single"/>
        </w:rPr>
        <w:t xml:space="preserve"> Julkisten ostajien yhteisö</w:t>
      </w:r>
    </w:hyperlink>
    <w:r>
      <w:tab/>
    </w:r>
    <w:r>
      <w:tab/>
    </w:r>
    <w:r>
      <w:rPr>
        <w:rFonts w:ascii="Arial" w:hAnsi="Arial"/>
        <w:b/>
        <w:color w:val="FFFFFF" w:themeColor="background1"/>
      </w:rPr>
      <w:t>MCC-AI-LIGHT</w:t>
    </w:r>
    <w:r w:rsidR="0024535C">
      <w:rPr>
        <w:rFonts w:ascii="Arial" w:hAnsi="Arial"/>
        <w:b/>
        <w:color w:val="FFFFFF" w:themeColor="background1"/>
      </w:rPr>
      <w:t>-lausekkeet</w:t>
    </w:r>
  </w:p>
  <w:p w14:paraId="1A055AFA" w14:textId="657C8F6A" w:rsidR="002403BC" w:rsidRDefault="002403BC">
    <w:pPr>
      <w:pStyle w:val="Header"/>
      <w:rPr>
        <w:rFonts w:ascii="Arial" w:hAnsi="Arial" w:cs="Arial"/>
        <w:b/>
        <w:bCs/>
        <w:color w:val="FFFFFF" w:themeColor="background1"/>
      </w:rPr>
    </w:pPr>
  </w:p>
  <w:p w14:paraId="5A7FE390" w14:textId="77777777" w:rsidR="000B1A35" w:rsidRPr="00663E0A" w:rsidRDefault="000B1A35">
    <w:pPr>
      <w:pStyle w:val="Header"/>
      <w:rPr>
        <w:color w:val="FFFFFF" w:themeColor="background1"/>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0DFCB" w14:textId="77777777" w:rsidR="000B1A35" w:rsidRDefault="000B1A35">
    <w:pPr>
      <w:pStyle w:val="Header"/>
    </w:pPr>
    <w:r>
      <w:rPr>
        <w:noProof/>
      </w:rPr>
      <w:drawing>
        <wp:anchor distT="0" distB="0" distL="114300" distR="114300" simplePos="0" relativeHeight="251659264" behindDoc="1" locked="0" layoutInCell="1" allowOverlap="1" wp14:anchorId="4A1B49E0" wp14:editId="13EDEBF2">
          <wp:simplePos x="0" y="0"/>
          <wp:positionH relativeFrom="column">
            <wp:posOffset>-914400</wp:posOffset>
          </wp:positionH>
          <wp:positionV relativeFrom="paragraph">
            <wp:posOffset>-421186</wp:posOffset>
          </wp:positionV>
          <wp:extent cx="7533182" cy="10656941"/>
          <wp:effectExtent l="0" t="0" r="0" b="0"/>
          <wp:wrapNone/>
          <wp:docPr id="1506667429" name="Picture 1506667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533182" cy="1065694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D632F2B0"/>
    <w:lvl w:ilvl="0">
      <w:start w:val="1"/>
      <w:numFmt w:val="decimal"/>
      <w:pStyle w:val="doLijstnummering7"/>
      <w:lvlText w:val="%1 artikla"/>
      <w:lvlJc w:val="left"/>
      <w:pPr>
        <w:tabs>
          <w:tab w:val="num" w:pos="851"/>
        </w:tabs>
        <w:ind w:left="851" w:hanging="851"/>
      </w:pPr>
      <w:rPr>
        <w:rFonts w:hint="default"/>
        <w:b w:val="0"/>
        <w:u w:val="single"/>
      </w:rPr>
    </w:lvl>
    <w:lvl w:ilvl="1">
      <w:start w:val="1"/>
      <w:numFmt w:val="decimal"/>
      <w:lvlText w:val="%1.%2."/>
      <w:lvlJc w:val="left"/>
      <w:pPr>
        <w:tabs>
          <w:tab w:val="num" w:pos="709"/>
        </w:tabs>
        <w:ind w:left="709" w:hanging="709"/>
      </w:pPr>
      <w:rPr>
        <w:rFonts w:ascii="Arial" w:hAnsi="Arial" w:cs="Arial" w:hint="default"/>
        <w:b w:val="0"/>
        <w:i w:val="0"/>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479EE3FA"/>
    <w:lvl w:ilvl="0">
      <w:start w:val="1"/>
      <w:numFmt w:val="decimal"/>
      <w:pStyle w:val="doLijstnummering5"/>
      <w:lvlText w:val="%1."/>
      <w:lvlJc w:val="left"/>
      <w:pPr>
        <w:tabs>
          <w:tab w:val="num" w:pos="851"/>
        </w:tabs>
        <w:ind w:left="851" w:hanging="851"/>
      </w:pPr>
      <w:rPr>
        <w:rFonts w:ascii="Arial" w:hAnsi="Arial" w:cs="Arial" w:hint="default"/>
        <w:b w:val="0"/>
        <w:bCs/>
        <w:sz w:val="22"/>
        <w:szCs w:val="22"/>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47372366">
    <w:abstractNumId w:val="3"/>
  </w:num>
  <w:num w:numId="2" w16cid:durableId="1455057341">
    <w:abstractNumId w:val="4"/>
  </w:num>
  <w:num w:numId="3" w16cid:durableId="1522668214">
    <w:abstractNumId w:val="8"/>
  </w:num>
  <w:num w:numId="4" w16cid:durableId="1184053088">
    <w:abstractNumId w:val="7"/>
  </w:num>
  <w:num w:numId="5" w16cid:durableId="1176337999">
    <w:abstractNumId w:val="0"/>
  </w:num>
  <w:num w:numId="6" w16cid:durableId="32268302">
    <w:abstractNumId w:val="1"/>
  </w:num>
  <w:num w:numId="7" w16cid:durableId="1738745719">
    <w:abstractNumId w:val="5"/>
  </w:num>
  <w:num w:numId="8" w16cid:durableId="1801878948">
    <w:abstractNumId w:val="2"/>
  </w:num>
  <w:num w:numId="9" w16cid:durableId="397017417">
    <w:abstractNumId w:val="6"/>
  </w:num>
  <w:num w:numId="10" w16cid:durableId="108222219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758020431">
    <w:abstractNumId w:val="1"/>
  </w:num>
  <w:num w:numId="12" w16cid:durableId="720444428">
    <w:abstractNumId w:val="1"/>
  </w:num>
  <w:num w:numId="13" w16cid:durableId="247731967">
    <w:abstractNumId w:val="1"/>
  </w:num>
  <w:num w:numId="14" w16cid:durableId="705563970">
    <w:abstractNumId w:val="1"/>
  </w:num>
  <w:num w:numId="15" w16cid:durableId="35090016">
    <w:abstractNumId w:val="1"/>
  </w:num>
  <w:num w:numId="16" w16cid:durableId="905067315">
    <w:abstractNumId w:val="1"/>
  </w:num>
  <w:num w:numId="17" w16cid:durableId="1768965762">
    <w:abstractNumId w:val="1"/>
  </w:num>
  <w:num w:numId="18" w16cid:durableId="1153791597">
    <w:abstractNumId w:val="1"/>
  </w:num>
  <w:num w:numId="19" w16cid:durableId="541794588">
    <w:abstractNumId w:val="1"/>
  </w:num>
  <w:num w:numId="20" w16cid:durableId="16500934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906068770">
    <w:abstractNumId w:val="1"/>
  </w:num>
  <w:num w:numId="22" w16cid:durableId="292172860">
    <w:abstractNumId w:val="1"/>
  </w:num>
  <w:num w:numId="23" w16cid:durableId="317929584">
    <w:abstractNumId w:val="1"/>
  </w:num>
  <w:num w:numId="24" w16cid:durableId="6719589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B1A35"/>
    <w:rsid w:val="00002575"/>
    <w:rsid w:val="00006004"/>
    <w:rsid w:val="0000691D"/>
    <w:rsid w:val="00007FF9"/>
    <w:rsid w:val="00027B87"/>
    <w:rsid w:val="00036997"/>
    <w:rsid w:val="00036BE2"/>
    <w:rsid w:val="00037398"/>
    <w:rsid w:val="00041544"/>
    <w:rsid w:val="00045093"/>
    <w:rsid w:val="00074176"/>
    <w:rsid w:val="00081A11"/>
    <w:rsid w:val="00081DBA"/>
    <w:rsid w:val="000968D7"/>
    <w:rsid w:val="00097747"/>
    <w:rsid w:val="000B1A35"/>
    <w:rsid w:val="000C30D6"/>
    <w:rsid w:val="000C3F8C"/>
    <w:rsid w:val="000C4BBB"/>
    <w:rsid w:val="000C6DBC"/>
    <w:rsid w:val="000D00A9"/>
    <w:rsid w:val="000D01FA"/>
    <w:rsid w:val="000D2695"/>
    <w:rsid w:val="000E5159"/>
    <w:rsid w:val="000F19C1"/>
    <w:rsid w:val="000F1F04"/>
    <w:rsid w:val="000F6F09"/>
    <w:rsid w:val="0010258B"/>
    <w:rsid w:val="00104CF1"/>
    <w:rsid w:val="00115AFB"/>
    <w:rsid w:val="0015639E"/>
    <w:rsid w:val="001657E8"/>
    <w:rsid w:val="00176170"/>
    <w:rsid w:val="00176E68"/>
    <w:rsid w:val="00197E80"/>
    <w:rsid w:val="001A1DB4"/>
    <w:rsid w:val="001A2C1E"/>
    <w:rsid w:val="001A671B"/>
    <w:rsid w:val="001A7E31"/>
    <w:rsid w:val="001B22EC"/>
    <w:rsid w:val="001B53BF"/>
    <w:rsid w:val="001B6D6B"/>
    <w:rsid w:val="001C026D"/>
    <w:rsid w:val="001C5152"/>
    <w:rsid w:val="001C60AD"/>
    <w:rsid w:val="001C71D1"/>
    <w:rsid w:val="001D565B"/>
    <w:rsid w:val="001D6FF9"/>
    <w:rsid w:val="001E363C"/>
    <w:rsid w:val="001E7393"/>
    <w:rsid w:val="0021250A"/>
    <w:rsid w:val="00220DD3"/>
    <w:rsid w:val="00221900"/>
    <w:rsid w:val="00232BFE"/>
    <w:rsid w:val="00233405"/>
    <w:rsid w:val="00233638"/>
    <w:rsid w:val="002403BC"/>
    <w:rsid w:val="00242812"/>
    <w:rsid w:val="00243816"/>
    <w:rsid w:val="0024535C"/>
    <w:rsid w:val="00252775"/>
    <w:rsid w:val="00261217"/>
    <w:rsid w:val="00265A67"/>
    <w:rsid w:val="002715F2"/>
    <w:rsid w:val="0027316C"/>
    <w:rsid w:val="00283995"/>
    <w:rsid w:val="0028753D"/>
    <w:rsid w:val="002A36B1"/>
    <w:rsid w:val="002A644D"/>
    <w:rsid w:val="002A7D9E"/>
    <w:rsid w:val="002B6F0E"/>
    <w:rsid w:val="002E4073"/>
    <w:rsid w:val="002F0892"/>
    <w:rsid w:val="002F32D4"/>
    <w:rsid w:val="003210B7"/>
    <w:rsid w:val="00322153"/>
    <w:rsid w:val="00335F43"/>
    <w:rsid w:val="00342F3C"/>
    <w:rsid w:val="003513E1"/>
    <w:rsid w:val="003603D9"/>
    <w:rsid w:val="00360601"/>
    <w:rsid w:val="003606E6"/>
    <w:rsid w:val="003638E6"/>
    <w:rsid w:val="00370488"/>
    <w:rsid w:val="00372781"/>
    <w:rsid w:val="003772EE"/>
    <w:rsid w:val="00383E04"/>
    <w:rsid w:val="003868C1"/>
    <w:rsid w:val="00395953"/>
    <w:rsid w:val="003A4BBD"/>
    <w:rsid w:val="003E5429"/>
    <w:rsid w:val="003E72D0"/>
    <w:rsid w:val="003F45EE"/>
    <w:rsid w:val="004019AA"/>
    <w:rsid w:val="004029BE"/>
    <w:rsid w:val="0040327A"/>
    <w:rsid w:val="00414279"/>
    <w:rsid w:val="0041678B"/>
    <w:rsid w:val="004169B9"/>
    <w:rsid w:val="00420DBF"/>
    <w:rsid w:val="0042196A"/>
    <w:rsid w:val="00426073"/>
    <w:rsid w:val="004349E2"/>
    <w:rsid w:val="00442824"/>
    <w:rsid w:val="00442E9E"/>
    <w:rsid w:val="004536D1"/>
    <w:rsid w:val="00455082"/>
    <w:rsid w:val="00463975"/>
    <w:rsid w:val="00467E4D"/>
    <w:rsid w:val="00471616"/>
    <w:rsid w:val="0048328A"/>
    <w:rsid w:val="00493BEA"/>
    <w:rsid w:val="004A17DE"/>
    <w:rsid w:val="004B3F91"/>
    <w:rsid w:val="004B7420"/>
    <w:rsid w:val="004C3A0D"/>
    <w:rsid w:val="004C7E31"/>
    <w:rsid w:val="004E1E9B"/>
    <w:rsid w:val="00504D64"/>
    <w:rsid w:val="0051019E"/>
    <w:rsid w:val="005112B8"/>
    <w:rsid w:val="00520188"/>
    <w:rsid w:val="005318C6"/>
    <w:rsid w:val="00542951"/>
    <w:rsid w:val="00564D65"/>
    <w:rsid w:val="00577D84"/>
    <w:rsid w:val="005848B9"/>
    <w:rsid w:val="00587A6A"/>
    <w:rsid w:val="00592294"/>
    <w:rsid w:val="00592734"/>
    <w:rsid w:val="005A3892"/>
    <w:rsid w:val="005A77D1"/>
    <w:rsid w:val="005D01D2"/>
    <w:rsid w:val="005D4004"/>
    <w:rsid w:val="005E0452"/>
    <w:rsid w:val="005F6386"/>
    <w:rsid w:val="00604B41"/>
    <w:rsid w:val="00610872"/>
    <w:rsid w:val="00631530"/>
    <w:rsid w:val="00644C6D"/>
    <w:rsid w:val="00647690"/>
    <w:rsid w:val="0065157E"/>
    <w:rsid w:val="0065578B"/>
    <w:rsid w:val="00663E0A"/>
    <w:rsid w:val="00671C56"/>
    <w:rsid w:val="00681F56"/>
    <w:rsid w:val="00685884"/>
    <w:rsid w:val="006873F3"/>
    <w:rsid w:val="0069530D"/>
    <w:rsid w:val="0069571E"/>
    <w:rsid w:val="006A54AF"/>
    <w:rsid w:val="006B0F35"/>
    <w:rsid w:val="006B28C0"/>
    <w:rsid w:val="006D5AA1"/>
    <w:rsid w:val="006F33F2"/>
    <w:rsid w:val="007034FF"/>
    <w:rsid w:val="00707B3E"/>
    <w:rsid w:val="0071325D"/>
    <w:rsid w:val="00714F61"/>
    <w:rsid w:val="00727DD8"/>
    <w:rsid w:val="007515F7"/>
    <w:rsid w:val="00753D62"/>
    <w:rsid w:val="00757F3C"/>
    <w:rsid w:val="00760F64"/>
    <w:rsid w:val="0077245C"/>
    <w:rsid w:val="007733BA"/>
    <w:rsid w:val="00777C2E"/>
    <w:rsid w:val="007811C5"/>
    <w:rsid w:val="00786D8F"/>
    <w:rsid w:val="00794C66"/>
    <w:rsid w:val="00796EBA"/>
    <w:rsid w:val="007A1C7B"/>
    <w:rsid w:val="007B0EC4"/>
    <w:rsid w:val="007B4344"/>
    <w:rsid w:val="007B43D2"/>
    <w:rsid w:val="007C587B"/>
    <w:rsid w:val="007E2E87"/>
    <w:rsid w:val="007F415F"/>
    <w:rsid w:val="007F5733"/>
    <w:rsid w:val="007F5AF0"/>
    <w:rsid w:val="00805C45"/>
    <w:rsid w:val="00817A94"/>
    <w:rsid w:val="00823FBD"/>
    <w:rsid w:val="00825E58"/>
    <w:rsid w:val="00847252"/>
    <w:rsid w:val="00852916"/>
    <w:rsid w:val="00855482"/>
    <w:rsid w:val="00863BB8"/>
    <w:rsid w:val="0087271F"/>
    <w:rsid w:val="00876ED4"/>
    <w:rsid w:val="00881CBB"/>
    <w:rsid w:val="00894AD3"/>
    <w:rsid w:val="00896A6B"/>
    <w:rsid w:val="00896F5A"/>
    <w:rsid w:val="008A5629"/>
    <w:rsid w:val="008B0AE9"/>
    <w:rsid w:val="008B0F7B"/>
    <w:rsid w:val="008B2A0A"/>
    <w:rsid w:val="008C7392"/>
    <w:rsid w:val="008E71A8"/>
    <w:rsid w:val="00900F32"/>
    <w:rsid w:val="0092617F"/>
    <w:rsid w:val="009262D9"/>
    <w:rsid w:val="00926F88"/>
    <w:rsid w:val="00931F81"/>
    <w:rsid w:val="009369A7"/>
    <w:rsid w:val="00945E8F"/>
    <w:rsid w:val="00952BCA"/>
    <w:rsid w:val="009542D2"/>
    <w:rsid w:val="009543CD"/>
    <w:rsid w:val="009575C8"/>
    <w:rsid w:val="009614B5"/>
    <w:rsid w:val="00971516"/>
    <w:rsid w:val="009717AA"/>
    <w:rsid w:val="00971CCA"/>
    <w:rsid w:val="00982CDF"/>
    <w:rsid w:val="009832AB"/>
    <w:rsid w:val="00987CDE"/>
    <w:rsid w:val="009950EF"/>
    <w:rsid w:val="0099610D"/>
    <w:rsid w:val="009A315D"/>
    <w:rsid w:val="009D1C05"/>
    <w:rsid w:val="009E1686"/>
    <w:rsid w:val="009E4AD9"/>
    <w:rsid w:val="009E7717"/>
    <w:rsid w:val="009E78A6"/>
    <w:rsid w:val="009F65B8"/>
    <w:rsid w:val="00A034DC"/>
    <w:rsid w:val="00A05758"/>
    <w:rsid w:val="00A10E62"/>
    <w:rsid w:val="00A11369"/>
    <w:rsid w:val="00A1507F"/>
    <w:rsid w:val="00A20CA4"/>
    <w:rsid w:val="00A21CC2"/>
    <w:rsid w:val="00A24CAA"/>
    <w:rsid w:val="00A3690B"/>
    <w:rsid w:val="00A40D8C"/>
    <w:rsid w:val="00A44F78"/>
    <w:rsid w:val="00A4676A"/>
    <w:rsid w:val="00A47018"/>
    <w:rsid w:val="00A5091D"/>
    <w:rsid w:val="00A50D4D"/>
    <w:rsid w:val="00A6218C"/>
    <w:rsid w:val="00A70B60"/>
    <w:rsid w:val="00A923CC"/>
    <w:rsid w:val="00A94946"/>
    <w:rsid w:val="00AA3063"/>
    <w:rsid w:val="00AB1857"/>
    <w:rsid w:val="00AB2829"/>
    <w:rsid w:val="00AB2ED3"/>
    <w:rsid w:val="00AB60DA"/>
    <w:rsid w:val="00AF0004"/>
    <w:rsid w:val="00AF141A"/>
    <w:rsid w:val="00AF6623"/>
    <w:rsid w:val="00B063EF"/>
    <w:rsid w:val="00B27DAA"/>
    <w:rsid w:val="00B33D0F"/>
    <w:rsid w:val="00B544B1"/>
    <w:rsid w:val="00B55AC3"/>
    <w:rsid w:val="00B5641B"/>
    <w:rsid w:val="00B579BE"/>
    <w:rsid w:val="00B61CD1"/>
    <w:rsid w:val="00B71F90"/>
    <w:rsid w:val="00BA16C1"/>
    <w:rsid w:val="00BA5A56"/>
    <w:rsid w:val="00BB1ECA"/>
    <w:rsid w:val="00BB7E2F"/>
    <w:rsid w:val="00BD060D"/>
    <w:rsid w:val="00BD0EE8"/>
    <w:rsid w:val="00BD5ED5"/>
    <w:rsid w:val="00BE2463"/>
    <w:rsid w:val="00BF1059"/>
    <w:rsid w:val="00C02E1C"/>
    <w:rsid w:val="00C17D99"/>
    <w:rsid w:val="00C2438E"/>
    <w:rsid w:val="00C36498"/>
    <w:rsid w:val="00C5181A"/>
    <w:rsid w:val="00C52417"/>
    <w:rsid w:val="00C60202"/>
    <w:rsid w:val="00C72B64"/>
    <w:rsid w:val="00C758CB"/>
    <w:rsid w:val="00C90B5A"/>
    <w:rsid w:val="00CA25BA"/>
    <w:rsid w:val="00CA3936"/>
    <w:rsid w:val="00CA3D74"/>
    <w:rsid w:val="00CD46A1"/>
    <w:rsid w:val="00CE2EF9"/>
    <w:rsid w:val="00CE6E80"/>
    <w:rsid w:val="00CF3257"/>
    <w:rsid w:val="00CF3CDB"/>
    <w:rsid w:val="00CF70F4"/>
    <w:rsid w:val="00CF715B"/>
    <w:rsid w:val="00D05A39"/>
    <w:rsid w:val="00D10B6A"/>
    <w:rsid w:val="00D12693"/>
    <w:rsid w:val="00D23C82"/>
    <w:rsid w:val="00D32A70"/>
    <w:rsid w:val="00D33B49"/>
    <w:rsid w:val="00D753EA"/>
    <w:rsid w:val="00D87486"/>
    <w:rsid w:val="00D973FF"/>
    <w:rsid w:val="00DA06AD"/>
    <w:rsid w:val="00DB24E3"/>
    <w:rsid w:val="00DD1784"/>
    <w:rsid w:val="00DD3E4F"/>
    <w:rsid w:val="00DD508B"/>
    <w:rsid w:val="00DE147F"/>
    <w:rsid w:val="00DE1E54"/>
    <w:rsid w:val="00DE38B8"/>
    <w:rsid w:val="00DE53F7"/>
    <w:rsid w:val="00E0118B"/>
    <w:rsid w:val="00E117A3"/>
    <w:rsid w:val="00E22239"/>
    <w:rsid w:val="00E23CDD"/>
    <w:rsid w:val="00E25FF5"/>
    <w:rsid w:val="00E33CA8"/>
    <w:rsid w:val="00E35D4C"/>
    <w:rsid w:val="00E42D60"/>
    <w:rsid w:val="00E520A8"/>
    <w:rsid w:val="00E539D0"/>
    <w:rsid w:val="00E57FD1"/>
    <w:rsid w:val="00E84AC9"/>
    <w:rsid w:val="00E8635C"/>
    <w:rsid w:val="00E86418"/>
    <w:rsid w:val="00E91FAA"/>
    <w:rsid w:val="00E92467"/>
    <w:rsid w:val="00E926AD"/>
    <w:rsid w:val="00E95234"/>
    <w:rsid w:val="00EA5073"/>
    <w:rsid w:val="00EB21E4"/>
    <w:rsid w:val="00EB3656"/>
    <w:rsid w:val="00EB4EEC"/>
    <w:rsid w:val="00EC48D6"/>
    <w:rsid w:val="00ED209A"/>
    <w:rsid w:val="00ED6385"/>
    <w:rsid w:val="00ED6F91"/>
    <w:rsid w:val="00EE008C"/>
    <w:rsid w:val="00EF59D8"/>
    <w:rsid w:val="00EF66D5"/>
    <w:rsid w:val="00F0489D"/>
    <w:rsid w:val="00F13405"/>
    <w:rsid w:val="00F237EA"/>
    <w:rsid w:val="00F23C53"/>
    <w:rsid w:val="00F244E5"/>
    <w:rsid w:val="00F40578"/>
    <w:rsid w:val="00F425D1"/>
    <w:rsid w:val="00F56CDC"/>
    <w:rsid w:val="00F756FF"/>
    <w:rsid w:val="00F87ADD"/>
    <w:rsid w:val="00F87DDA"/>
    <w:rsid w:val="00F9102F"/>
    <w:rsid w:val="00FA26D3"/>
    <w:rsid w:val="00FB6D67"/>
    <w:rsid w:val="00FC16B4"/>
    <w:rsid w:val="00FD0514"/>
    <w:rsid w:val="00FD6885"/>
    <w:rsid w:val="00FD7B84"/>
    <w:rsid w:val="00FE1B28"/>
    <w:rsid w:val="00FE5E28"/>
    <w:rsid w:val="00FF141C"/>
    <w:rsid w:val="00FF7A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AF02FB"/>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fi-FI"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7D9E"/>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fi-FI"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fi-FI"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fi-FI"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fi-FI"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036BE2"/>
    <w:rPr>
      <w:color w:val="104D54"/>
      <w:u w:val="non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fi-FI"/>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CF3CDB"/>
    <w:rPr>
      <w:color w:val="954F72" w:themeColor="followedHyperlink"/>
      <w:u w:val="single"/>
    </w:rPr>
  </w:style>
  <w:style w:type="paragraph" w:styleId="NoSpacing">
    <w:name w:val="No Spacing"/>
    <w:uiPriority w:val="1"/>
    <w:qFormat/>
    <w:rsid w:val="00CF3CDB"/>
  </w:style>
  <w:style w:type="paragraph" w:customStyle="1" w:styleId="TITLEStyle">
    <w:name w:val="TITLE_Style"/>
    <w:basedOn w:val="Normal"/>
    <w:qFormat/>
    <w:rsid w:val="00036BE2"/>
    <w:rPr>
      <w:rFonts w:ascii="Arial" w:hAnsi="Arial" w:cs="Arial"/>
      <w:b/>
      <w:bCs/>
      <w:color w:val="104D54"/>
      <w:sz w:val="44"/>
      <w:szCs w:val="44"/>
    </w:rPr>
  </w:style>
  <w:style w:type="paragraph" w:customStyle="1" w:styleId="SubtitleStyle">
    <w:name w:val="Subtitle_Style"/>
    <w:basedOn w:val="Normal"/>
    <w:qFormat/>
    <w:rsid w:val="00036BE2"/>
    <w:pPr>
      <w:spacing w:line="360" w:lineRule="auto"/>
    </w:pPr>
    <w:rPr>
      <w:rFonts w:ascii="Arial" w:hAnsi="Arial" w:cs="Arial"/>
      <w:color w:val="104D55"/>
      <w:sz w:val="36"/>
      <w:szCs w:val="36"/>
    </w:rPr>
  </w:style>
  <w:style w:type="paragraph" w:styleId="BalloonText">
    <w:name w:val="Balloon Text"/>
    <w:basedOn w:val="Normal"/>
    <w:link w:val="BalloonTextChar"/>
    <w:uiPriority w:val="99"/>
    <w:semiHidden/>
    <w:unhideWhenUsed/>
    <w:rsid w:val="001E363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363C"/>
    <w:rPr>
      <w:rFonts w:ascii="Segoe UI" w:hAnsi="Segoe UI" w:cs="Segoe UI"/>
      <w:sz w:val="18"/>
      <w:szCs w:val="18"/>
    </w:rPr>
  </w:style>
  <w:style w:type="paragraph" w:styleId="Revision">
    <w:name w:val="Revision"/>
    <w:hidden/>
    <w:uiPriority w:val="99"/>
    <w:semiHidden/>
    <w:rsid w:val="00753D62"/>
  </w:style>
  <w:style w:type="character" w:styleId="CommentReference">
    <w:name w:val="annotation reference"/>
    <w:basedOn w:val="DefaultParagraphFont"/>
    <w:uiPriority w:val="99"/>
    <w:semiHidden/>
    <w:unhideWhenUsed/>
    <w:rsid w:val="00F87DDA"/>
    <w:rPr>
      <w:sz w:val="16"/>
      <w:szCs w:val="16"/>
    </w:rPr>
  </w:style>
  <w:style w:type="paragraph" w:styleId="CommentText">
    <w:name w:val="annotation text"/>
    <w:basedOn w:val="Normal"/>
    <w:link w:val="CommentTextChar"/>
    <w:uiPriority w:val="99"/>
    <w:unhideWhenUsed/>
    <w:rsid w:val="00F87DDA"/>
    <w:rPr>
      <w:sz w:val="20"/>
      <w:szCs w:val="20"/>
    </w:rPr>
  </w:style>
  <w:style w:type="character" w:customStyle="1" w:styleId="CommentTextChar">
    <w:name w:val="Comment Text Char"/>
    <w:basedOn w:val="DefaultParagraphFont"/>
    <w:link w:val="CommentText"/>
    <w:uiPriority w:val="99"/>
    <w:rsid w:val="00F87DDA"/>
    <w:rPr>
      <w:sz w:val="20"/>
      <w:szCs w:val="20"/>
    </w:rPr>
  </w:style>
  <w:style w:type="paragraph" w:styleId="CommentSubject">
    <w:name w:val="annotation subject"/>
    <w:basedOn w:val="CommentText"/>
    <w:next w:val="CommentText"/>
    <w:link w:val="CommentSubjectChar"/>
    <w:uiPriority w:val="99"/>
    <w:semiHidden/>
    <w:unhideWhenUsed/>
    <w:rsid w:val="00F87DDA"/>
    <w:rPr>
      <w:b/>
      <w:bCs/>
    </w:rPr>
  </w:style>
  <w:style w:type="character" w:customStyle="1" w:styleId="CommentSubjectChar">
    <w:name w:val="Comment Subject Char"/>
    <w:basedOn w:val="CommentTextChar"/>
    <w:link w:val="CommentSubject"/>
    <w:uiPriority w:val="99"/>
    <w:semiHidden/>
    <w:rsid w:val="00F87DDA"/>
    <w:rPr>
      <w:b/>
      <w:bCs/>
      <w:sz w:val="20"/>
      <w:szCs w:val="20"/>
    </w:rPr>
  </w:style>
  <w:style w:type="character" w:styleId="UnresolvedMention">
    <w:name w:val="Unresolved Mention"/>
    <w:basedOn w:val="DefaultParagraphFont"/>
    <w:uiPriority w:val="99"/>
    <w:semiHidden/>
    <w:unhideWhenUsed/>
    <w:rsid w:val="006B0F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857065">
      <w:bodyDiv w:val="1"/>
      <w:marLeft w:val="0"/>
      <w:marRight w:val="0"/>
      <w:marTop w:val="0"/>
      <w:marBottom w:val="0"/>
      <w:divBdr>
        <w:top w:val="none" w:sz="0" w:space="0" w:color="auto"/>
        <w:left w:val="none" w:sz="0" w:space="0" w:color="auto"/>
        <w:bottom w:val="none" w:sz="0" w:space="0" w:color="auto"/>
        <w:right w:val="none" w:sz="0" w:space="0" w:color="auto"/>
      </w:divBdr>
    </w:div>
    <w:div w:id="1988974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public-buyers-community.ec.europa.eu/communities/procurement-ai"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public-buyers-community.ec.europa.eu/communities/procurement-ai" TargetMode="Externa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3" Type="http://schemas.openxmlformats.org/officeDocument/2006/relationships/hyperlink" Target="https://public-buyers-community.ec.europa.eu/communities/procurement-ai" TargetMode="External"/><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6.xml><?xml version="1.0" encoding="utf-8"?>
<p:properties xmlns:p="http://schemas.microsoft.com/office/2006/metadata/properties" xmlns:xsi="http://www.w3.org/2001/XMLSchema-instance" xmlns:pc="http://schemas.microsoft.com/office/infopath/2007/PartnerControls">
  <documentManagement>
    <ArchiveDeleteDate xmlns="http://schemas.econnect.nl/" xmlns:ns1="http://www.w3.org/2001/XMLSchema-instance" ns1:nil="true"/>
    <AutoGenerated xmlns="http://schemas.econnect.nl/">false</AutoGenerated>
    <Van xmlns="http://schemas.econnect.nl/" xmlns:ns1="http://www.w3.org/2001/XMLSchema-instance" ns1:nil="true"/>
    <Aan xmlns="http://schemas.econnect.nl/" xmlns:ns1="http://www.w3.org/2001/XMLSchema-instance" ns1:nil="true"/>
    <DatumDocument xmlns="http://schemas.econnect.nl/" xmlns:ns1="http://www.w3.org/2001/XMLSchema-instance" ns1:nil="true"/>
    <DatumOntvangst xmlns="http://schemas.econnect.nl/" xmlns:ns1="http://www.w3.org/2001/XMLSchema-instance" ns1:nil="true"/>
    <DocumentStatus xmlns="http://schemas.econnect.nl/">Concept</DocumentStatus>
    <TaxCatchAll xmlns="06132217-2756-4ecf-ab91-5bbcd433d1e6"/>
    <SectieTaxHTField0 xmlns="http://schemas.econnect.nl/">
      <Terms xmlns="http://schemas.microsoft.com/office/infopath/2007/PartnerControls">
        <TermInfo>
          <TermName>Innovatie, Privacy ＆ Technologie</TermName>
          <TermId>542a2c3a-4ffa-462e-99ef-841a0025a7f1</TermId>
        </TermInfo>
      </Terms>
    </SectieTaxHTField0>
    <Zaaknaam xmlns="http://schemas.econnect.nl/">European Commission - AI Clauses</Zaaknaam>
    <PelsClientTaxHTField0 xmlns="http://schemas.econnect.nl/">
      <Terms xmlns="http://schemas.microsoft.com/office/infopath/2007/PartnerControls">
        <TermInfo>
          <TermName>European Commission</TermName>
          <TermId>79355260-dde8-4717-b390-1a05499ea82d</TermId>
        </TermInfo>
      </Terms>
    </PelsClientTaxHTField0>
    <CaseStartDate xmlns="http://schemas.econnect.nl/">2023-03-30T22:00:00+00:00</CaseStartDate>
    <RechtsgebiedTaxHTField0 xmlns="http://schemas.econnect.nl/">
      <Terms xmlns="http://schemas.microsoft.com/office/infopath/2007/PartnerControls">
        <TermInfo>
          <TermName>ICT</TermName>
          <TermId>63aaa646-8006-45f2-9a88-341353711253</TermId>
        </TermInfo>
      </Terms>
    </RechtsgebiedTaxHTField0>
    <CaseManager xmlns="http://schemas.econnect.nl/">
      <UserInfo>
        <DisplayName>Jeroen Naves | Pels Rijcken</DisplayName>
        <AccountId>144</AccountId>
        <AccountType/>
      </UserInfo>
    </CaseManager>
    <SectorTaxHTField0 xmlns="http://schemas.econnect.nl/">
      <Terms xmlns="http://schemas.microsoft.com/office/infopath/2007/PartnerControls">
        <TermInfo>
          <TermName>Andere overheden</TermName>
          <TermId>b5a7a1ab-6803-411c-aead-ebae066a035d</TermId>
        </TermInfo>
      </Terms>
    </SectorTaxHTField0>
    <CaseOwner xmlns="http://schemas.econnect.nl/">
      <UserInfo>
        <DisplayName>Jeroen Naves | Pels Rijcken</DisplayName>
        <AccountId>144</AccountId>
        <AccountType/>
      </UserInfo>
    </CaseOwner>
    <Zaakomschrijving xmlns="http://schemas.econnect.nl/">European Commission - AI Clauses</Zaakomschrijving>
    <SharedCaseName xmlns="http://schemas.econnect.nl/">11020018</SharedCaseName>
    <ParentTaxHTField0 xmlns="http://schemas.econnect.nl/">
      <Terms xmlns="http://schemas.microsoft.com/office/infopath/2007/PartnerControls">
        <TermInfo>
          <TermName>European Commission</TermName>
          <TermId>79355260-dde8-4717-b390-1a05499ea82d</TermId>
        </TermInfo>
      </Terms>
    </ParentTaxHTField0>
    <Zaaknummer xmlns="http://schemas.econnect.nl/">11020018</Zaaknummer>
    <_dlc_DocId xmlns="06132217-2756-4ecf-ab91-5bbcd433d1e6">PRDF-6697282</_dlc_DocId>
    <_dlc_DocIdUrl xmlns="06132217-2756-4ecf-ab91-5bbcd433d1e6">
      <Url>http://dms.pelsrijcken.nl/matter/49/11020018/_layouts/15/DocIdRedir.aspx?ID=PRDF-6697282</Url>
      <Description>PRDF-6697282</Description>
    </_dlc_DocIdUrl>
  </documentManagement>
</p:properties>
</file>

<file path=customXml/itemProps1.xml><?xml version="1.0" encoding="utf-8"?>
<ds:datastoreItem xmlns:ds="http://schemas.openxmlformats.org/officeDocument/2006/customXml" ds:itemID="{DC39A6FF-EB1D-4F31-9330-5533E032AE3D}">
  <ds:schemaRefs>
    <ds:schemaRef ds:uri="http://schemas.microsoft.com/sharepoint/v3/contenttype/forms"/>
  </ds:schemaRefs>
</ds:datastoreItem>
</file>

<file path=customXml/itemProps2.xml><?xml version="1.0" encoding="utf-8"?>
<ds:datastoreItem xmlns:ds="http://schemas.openxmlformats.org/officeDocument/2006/customXml" ds:itemID="{A61B6CDC-D0B6-48C0-AB48-031C90064C5D}">
  <ds:schemaRefs>
    <ds:schemaRef ds:uri="http://schemas.microsoft.com/sharepoint/v3/contenttype/forms"/>
  </ds:schemaRefs>
</ds:datastoreItem>
</file>

<file path=customXml/itemProps3.xml><?xml version="1.0" encoding="utf-8"?>
<ds:datastoreItem xmlns:ds="http://schemas.openxmlformats.org/officeDocument/2006/customXml" ds:itemID="{1DBB80CF-98D8-4797-B7EA-C4440B081803}">
  <ds:schemaRefs>
    <ds:schemaRef ds:uri="http://schemas.microsoft.com/office/2006/metadata/properties"/>
    <ds:schemaRef ds:uri="http://schemas.microsoft.com/office/infopath/2007/PartnerControls"/>
    <ds:schemaRef ds:uri="6d5ad584-533d-4d9e-8d12-f1eda2044479"/>
  </ds:schemaRefs>
</ds:datastoreItem>
</file>

<file path=customXml/itemProps4.xml><?xml version="1.0" encoding="utf-8"?>
<ds:datastoreItem xmlns:ds="http://schemas.openxmlformats.org/officeDocument/2006/customXml" ds:itemID="{50A087B4-04C8-40A7-AE5E-8938C4A1AC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E68C5AD-41FE-40F9-8BA7-8DC3DAED52CA}">
  <ds:schemaRefs>
    <ds:schemaRef ds:uri="http://schemas.openxmlformats.org/officeDocument/2006/bibliography"/>
  </ds:schemaRefs>
</ds:datastoreItem>
</file>

<file path=customXml/itemProps6.xml><?xml version="1.0" encoding="utf-8"?>
<ds:datastoreItem xmlns:ds="http://schemas.openxmlformats.org/officeDocument/2006/customXml" ds:itemID="{2A057165-881C-4183-9A4F-CD58BF3B9A56}">
  <ds:schemaRefs>
    <ds:schemaRef ds:uri="http://schemas.microsoft.com/office/2006/metadata/properties"/>
    <ds:schemaRef ds:uri="http://schemas.microsoft.com/office/infopath/2007/PartnerControls"/>
    <ds:schemaRef ds:uri="http://schemas.econnect.nl/"/>
    <ds:schemaRef ds:uri="06132217-2756-4ecf-ab91-5bbcd433d1e6"/>
  </ds:schemaRefs>
</ds:datastoreItem>
</file>

<file path=docProps/app.xml><?xml version="1.0" encoding="utf-8"?>
<Properties xmlns="http://schemas.openxmlformats.org/officeDocument/2006/extended-properties" xmlns:vt="http://schemas.openxmlformats.org/officeDocument/2006/docPropsVTypes">
  <Template>Normal</Template>
  <TotalTime>58</TotalTime>
  <Pages>22</Pages>
  <Words>3634</Words>
  <Characters>32527</Characters>
  <Application>Microsoft Office Word</Application>
  <DocSecurity>0</DocSecurity>
  <Lines>677</Lines>
  <Paragraphs>217</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35944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RANTA Mirva (DGT)</cp:lastModifiedBy>
  <cp:revision>7</cp:revision>
  <cp:lastPrinted>2023-10-05T08:08:00Z</cp:lastPrinted>
  <dcterms:created xsi:type="dcterms:W3CDTF">2025-05-08T14:26:00Z</dcterms:created>
  <dcterms:modified xsi:type="dcterms:W3CDTF">2025-05-21T14:24:00Z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2023-10-17T08:21:03Z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a05ecd3b-29f3-4ddd-9a18-7a360fb20876</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aeef6629-fcc6-4f56-b9f3-d4cfd8a7079c</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y fmtid="{D5CDD505-2E9C-101B-9397-08002B2CF9AE}" pid="24" name="Zaaknaam">
    <vt:lpwstr>European Commission - AI Clauses</vt:lpwstr>
  </property>
  <property fmtid="{D5CDD505-2E9C-101B-9397-08002B2CF9AE}" pid="25" name="Zaakomschrijving">
    <vt:lpwstr>European Commission - AI Clauses</vt:lpwstr>
  </property>
  <property fmtid="{D5CDD505-2E9C-101B-9397-08002B2CF9AE}" pid="26" name="AutoGenerated">
    <vt:bool>false</vt:bool>
  </property>
  <property fmtid="{D5CDD505-2E9C-101B-9397-08002B2CF9AE}" pid="27" name="CaseOwner">
    <vt:lpwstr>144</vt:lpwstr>
  </property>
  <property fmtid="{D5CDD505-2E9C-101B-9397-08002B2CF9AE}" pid="28" name="DocumentStatus">
    <vt:lpwstr>Concept</vt:lpwstr>
  </property>
  <property fmtid="{D5CDD505-2E9C-101B-9397-08002B2CF9AE}" pid="29" name="CaseManager">
    <vt:lpwstr>144</vt:lpwstr>
  </property>
  <property fmtid="{D5CDD505-2E9C-101B-9397-08002B2CF9AE}" pid="30" name="CaseStartDate">
    <vt:filetime>2023-03-30T22:00:00Z</vt:filetime>
  </property>
  <property fmtid="{D5CDD505-2E9C-101B-9397-08002B2CF9AE}" pid="31" name="_dlc_DocId">
    <vt:lpwstr>PRDF-6697287</vt:lpwstr>
  </property>
  <property fmtid="{D5CDD505-2E9C-101B-9397-08002B2CF9AE}" pid="32" name="TaxCatchAll">
    <vt:lpwstr>55;#;#523;#;#506;#;#334;#;#1;#</vt:lpwstr>
  </property>
  <property fmtid="{D5CDD505-2E9C-101B-9397-08002B2CF9AE}" pid="33" name="SharedCaseName">
    <vt:lpwstr>11020018</vt:lpwstr>
  </property>
  <property fmtid="{D5CDD505-2E9C-101B-9397-08002B2CF9AE}" pid="34" name="Zaaknummer">
    <vt:lpwstr>11020018</vt:lpwstr>
  </property>
  <property fmtid="{D5CDD505-2E9C-101B-9397-08002B2CF9AE}" pid="35" name="_dlc_DocIdUrl">
    <vt:lpwstr>http://dms.pelsrijcken.nl/matter/49/11020018/_layouts/15/DocIdRedir.aspx?ID=PRDF-6697287, PRDF-6697287</vt:lpwstr>
  </property>
</Properties>
</file>