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AE3B58" w:rsidP="00876ED4">
      <w:pPr>
        <w:ind w:left="-57"/>
      </w:pPr>
      <w:hyperlink r:id="rId13" w:history="1">
        <w:r>
          <w:rPr>
            <w:rStyle w:val="Hyperlink"/>
            <w:rFonts w:ascii="Arial" w:hAnsi="Arial"/>
            <w:b/>
            <w:sz w:val="44"/>
          </w:rPr>
          <w:t>Zajednica</w:t>
        </w:r>
        <w:r>
          <w:rPr>
            <w:rStyle w:val="Hyperlink"/>
            <w:rFonts w:ascii="Arial" w:hAnsi="Arial"/>
            <w:b/>
            <w:sz w:val="44"/>
          </w:rPr>
          <w:br/>
        </w:r>
      </w:hyperlink>
      <w:hyperlink r:id="rId14" w:history="1">
        <w:r>
          <w:rPr>
            <w:rStyle w:val="Hyperlink"/>
            <w:rFonts w:ascii="Arial" w:hAnsi="Arial"/>
            <w:b/>
            <w:sz w:val="44"/>
          </w:rPr>
          <w:t>za javnu nabavu umjetne inteligencije</w:t>
        </w:r>
      </w:hyperlink>
      <w:r>
        <w:br w:type="page"/>
      </w:r>
      <w:r>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B42FD4" w:rsidRDefault="007E2E87" w:rsidP="00C758CB">
                            <w:pPr>
                              <w:spacing w:line="360" w:lineRule="auto"/>
                              <w:rPr>
                                <w:rFonts w:ascii="Arial" w:hAnsi="Arial" w:cs="Arial"/>
                                <w:color w:val="104D55"/>
                                <w:sz w:val="28"/>
                                <w:szCs w:val="28"/>
                              </w:rPr>
                            </w:pPr>
                            <w:r w:rsidRPr="00B42FD4">
                              <w:rPr>
                                <w:rFonts w:ascii="Arial" w:hAnsi="Arial"/>
                                <w:color w:val="104D55"/>
                                <w:sz w:val="28"/>
                                <w:szCs w:val="28"/>
                              </w:rPr>
                              <w:t xml:space="preserve">Verzija iz veljače 2025. – Javna nabava umjetne inteligencije koja nije visokorizična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B42FD4" w:rsidRDefault="007E2E87" w:rsidP="00C758CB">
                      <w:pPr>
                        <w:spacing w:line="360" w:lineRule="auto"/>
                        <w:rPr>
                          <w:rFonts w:ascii="Arial" w:hAnsi="Arial" w:cs="Arial"/>
                          <w:color w:val="104D55"/>
                          <w:sz w:val="28"/>
                          <w:szCs w:val="28"/>
                        </w:rPr>
                      </w:pPr>
                      <w:r w:rsidRPr="00B42FD4">
                        <w:rPr>
                          <w:rFonts w:ascii="Arial" w:hAnsi="Arial"/>
                          <w:color w:val="104D55"/>
                          <w:sz w:val="28"/>
                          <w:szCs w:val="28"/>
                        </w:rPr>
                        <w:t xml:space="preserve">Verzija iz veljače 2025. – Javna nabava umjetne inteligencije koja nije visokorizična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Ogledne ugovorne klauzule za javnu nabavu umjetne inteligencije koja nije visokorizična </w:t>
                            </w:r>
                            <w:bookmarkEnd w:id="0"/>
                            <w:r>
                              <w:t>(„klauzule MCC-AI-Light”)</w:t>
                            </w:r>
                          </w:p>
                          <w:p w14:paraId="7F27BF72" w14:textId="040D44C0" w:rsidR="00CF3CDB" w:rsidRPr="00CF3CDB" w:rsidRDefault="00CF3CDB" w:rsidP="00036BE2">
                            <w:pPr>
                              <w:pStyle w:val="TITLESty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Ogledne ugovorne klauzule za javnu nabavu umjetne inteligencije koja nije visokorizična </w:t>
                      </w:r>
                      <w:bookmarkEnd w:id="1"/>
                      <w:r>
                        <w:t>(„klauzule MCC-AI-Light”)</w:t>
                      </w:r>
                    </w:p>
                    <w:p w14:paraId="7F27BF72" w14:textId="040D44C0" w:rsidR="00CF3CDB" w:rsidRPr="00CF3CDB" w:rsidRDefault="00CF3CDB" w:rsidP="00036BE2">
                      <w:pPr>
                        <w:pStyle w:val="TITLEStyle"/>
                      </w:pP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IZJAVA O ODRICANJU OD ODGOVORNOSTI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Ovaj radni dokument izradila je Europska komisija kako bi podržala zajednicu prakse za javnu nabavu umjetne inteligencije u zadaći usmjeravanja javnih uprava pri nabavi rješenja koja se temelje na umjetnoj inteligenciji. Ovo nije konačna verzija radnog dokumenta niti odražava službeno stajalište Europske komisije.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Dionici koji se odluče služiti ovim radnim dokumentom isključivo su odgovorni za njegovu uporabu u kontekstu javne nabave.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Predložene ogledne ugovorne klauzule za javnu nabavu umjetne inteligencije koja nije visokorizična ne dovode u pitanje zahtjeve koji proizlaze iz Akta a o umjetnoj inteligenciji.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IZJAVA O ODRICANJU OD ODGOVORNOSTI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Ovaj radni dokument izradila je Europska komisija kako bi podržala zajednicu prakse za javnu nabavu umjetne inteligencije u zadaći usmjeravanja javnih uprava pri nabavi rješenja koja se temelje na umjetnoj inteligenciji. Ovo nije konačna verzija radnog dokumenta niti odražava službeno stajalište Europske komisije.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Dionici koji se odluče služiti ovim radnim dokumentom isključivo su odgovorni za njegovu uporabu u kontekstu javne nabave.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Predložene ogledne ugovorne klauzule za javnu nabavu umjetne inteligencije koja nije visokorizična ne dovode u pitanje zahtjeve koji proizlaze iz Akta a o umjetnoj inteligenciji.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Odjeljak A– Definicije</w:t>
      </w:r>
    </w:p>
    <w:p w14:paraId="1DD14AC7" w14:textId="4A871940" w:rsidR="00F9102F" w:rsidRPr="00B11FB6" w:rsidRDefault="00F9102F" w:rsidP="00AE3B58">
      <w:pPr>
        <w:pStyle w:val="doLijstnummering7"/>
        <w:tabs>
          <w:tab w:val="clear" w:pos="851"/>
          <w:tab w:val="num" w:pos="567"/>
        </w:tabs>
        <w:rPr>
          <w:rFonts w:ascii="Arial" w:eastAsia="Calibri" w:hAnsi="Arial" w:cs="Arial"/>
          <w:sz w:val="22"/>
          <w:szCs w:val="22"/>
        </w:rPr>
      </w:pPr>
      <w:r w:rsidRPr="00B11FB6">
        <w:rPr>
          <w:rFonts w:ascii="Arial" w:hAnsi="Arial" w:cs="Arial"/>
          <w:sz w:val="22"/>
          <w:szCs w:val="22"/>
        </w:rPr>
        <w:t>Definicije: pojmovi navedeni velikim početnim slovom u ovim klauzulama MCC-AI-Light imaju značenje koje je određeno u ovom članku</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Ugovor:</w:t>
      </w:r>
      <w:r>
        <w:rPr>
          <w:rFonts w:ascii="Arial" w:hAnsi="Arial"/>
          <w:sz w:val="22"/>
        </w:rPr>
        <w:t xml:space="preserve"> cjelokupan ugovor koji sadržava klauzule MCC-AI-Light kao dodatak</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UI sustav:</w:t>
      </w:r>
      <w:r>
        <w:rPr>
          <w:rFonts w:ascii="Arial" w:hAnsi="Arial"/>
          <w:sz w:val="22"/>
        </w:rPr>
        <w:t xml:space="preserve"> UI sustav odnosno sustavi iz </w:t>
      </w:r>
      <w:r>
        <w:rPr>
          <w:rFonts w:ascii="Arial" w:hAnsi="Arial"/>
          <w:b/>
          <w:sz w:val="22"/>
        </w:rPr>
        <w:t>Priloga A</w:t>
      </w:r>
      <w:r>
        <w:rPr>
          <w:rFonts w:ascii="Arial" w:hAnsi="Arial"/>
          <w:sz w:val="22"/>
        </w:rPr>
        <w:t xml:space="preserve">, uključujući sve njihove nove verzije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MCC-AI-Light</w:t>
      </w:r>
      <w:r>
        <w:rPr>
          <w:rFonts w:ascii="Arial" w:hAnsi="Arial"/>
          <w:sz w:val="22"/>
        </w:rPr>
        <w:t>: ove standardne ugovorne klauzule za javnu nabavu sustava umjetne inteligencije koja nije visokorizična koju provode javne organizacije</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Skupovi podataka Javne organizacije</w:t>
      </w:r>
      <w:r>
        <w:rPr>
          <w:rFonts w:ascii="Arial" w:hAnsi="Arial"/>
          <w:sz w:val="22"/>
        </w:rPr>
        <w:t>: Skupovi podataka (ili njihovi dijelovi) i. koje je Javna organizacija dostavila Dobavljaču na temelju Ugovora ili ii. koji će se izraditi ili prikupiti u okviru Ugovora, uključujući sve izmijenjene ili proširene verzije Skupova podataka iz točaka i. i ii. (na primjer zbog obilježavanja, označivanja, čišćenja, obogaćivanja ili agregiranja)</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Skupovi podataka</w:t>
      </w:r>
      <w:r>
        <w:rPr>
          <w:rFonts w:ascii="Arial" w:hAnsi="Arial"/>
          <w:sz w:val="22"/>
        </w:rPr>
        <w:t xml:space="preserve">: svi skupovi podataka koji se koriste u razvoju UI sustava, uključujući skup podataka ili skupove podataka kako su opisani u </w:t>
      </w:r>
      <w:r>
        <w:rPr>
          <w:rFonts w:ascii="Arial" w:hAnsi="Arial"/>
          <w:b/>
          <w:sz w:val="22"/>
        </w:rPr>
        <w:t>Prilogu B</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Isporuka:</w:t>
      </w:r>
      <w:r>
        <w:rPr>
          <w:rFonts w:ascii="Arial" w:hAnsi="Arial"/>
          <w:sz w:val="22"/>
        </w:rPr>
        <w:t xml:space="preserve"> trenutak u kojem Dobavljač obavijesti Javnu organizaciju da UI sustav ispunjava sve dogovorene uvjete i da je spreman za uporabu</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Namjena:</w:t>
      </w:r>
      <w:r>
        <w:rPr>
          <w:rFonts w:ascii="Arial" w:hAnsi="Arial"/>
          <w:sz w:val="22"/>
        </w:rPr>
        <w:t xml:space="preserve"> uporaba za koju je Javna organizacija namijenila UI sustav, uključujući specifični kontekst i uvjete uporabe, kako je određena u Prilogu B, informacijama koje je Dobavljač naveo u uputama za uporabu, promotivnim ili prodajnim materijalima i izjavama te u tehničkoj dokumentaciji</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Razumno predvidljiva kriva uporaba:</w:t>
      </w:r>
      <w:r>
        <w:rPr>
          <w:rFonts w:ascii="Arial" w:hAnsi="Arial"/>
          <w:color w:val="000000"/>
          <w:sz w:val="22"/>
          <w:shd w:val="clear" w:color="auto" w:fill="FFFFFF"/>
        </w:rPr>
        <w:t xml:space="preserve"> uporaba UI sustava na način koji nije u skladu s njegovom Namjenom, ali može biti posljedica razumno predvidljivog čovjekova ponašanja ili interakcije s drugim sustavima među ostalim s drugim UI sustavima</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Bitna izmjena</w:t>
      </w:r>
      <w:r>
        <w:rPr>
          <w:rFonts w:ascii="Arial" w:hAnsi="Arial"/>
          <w:sz w:val="22"/>
        </w:rPr>
        <w:t>: promjena UI sustava nakon Isporuke koja utječe na usklađenost UI sustava sa zahtjevima utvrđenima u ovim klauzulama MCC-AI-Light ili koja prouzroči promjenu Namjene</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Dobavljač</w:t>
      </w:r>
      <w:r>
        <w:rPr>
          <w:rFonts w:ascii="Arial" w:hAnsi="Arial"/>
          <w:sz w:val="22"/>
        </w:rPr>
        <w:t xml:space="preserve">: </w:t>
      </w:r>
      <w:r>
        <w:rPr>
          <w:rFonts w:ascii="Arial" w:hAnsi="Arial"/>
          <w:color w:val="000000"/>
          <w:sz w:val="22"/>
          <w:shd w:val="clear" w:color="auto" w:fill="FFFFFF"/>
        </w:rPr>
        <w:t>fizička ili pravna osoba, tijelo javne vlasti, agencija ili drugo tijelo koje isporučuje UI sustav Javnoj organizaciji u skladu s Ugovorom</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Skupovi podataka Dobavljača i Skupovi podataka treće strane</w:t>
      </w:r>
      <w:r>
        <w:rPr>
          <w:rFonts w:ascii="Arial" w:hAnsi="Arial"/>
          <w:sz w:val="22"/>
        </w:rPr>
        <w:t>: skupovi podataka (ili njihovi dijelovi) koji se ne smatraju Skupovima podataka Javne organizacije.</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lastRenderedPageBreak/>
        <w:t xml:space="preserve">Odjeljak B – Temeljni zahtjevi za UI sustav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Sustav upravljanja rizicima</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Dobavljač je dužan pobrinuti se da se prije Isporuke UI sustava </w:t>
      </w:r>
      <w:r>
        <w:rPr>
          <w:rFonts w:ascii="Arial" w:hAnsi="Arial"/>
          <w:color w:val="000000"/>
          <w:sz w:val="22"/>
          <w:shd w:val="clear" w:color="auto" w:fill="FFFFFF"/>
        </w:rPr>
        <w:t>uspostavi, uvede, dokumentira i održava sustav upravljanja rizicima za UI sustav.</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Sustav upravljanja rizicima obuhvaća barem sljedeće postupke:</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utvrđivanje, procjenu i evaluaciju poznatih i razumno predvidljivih rizika koje UI sustav može predstavljati za zdravlje, sigurnost ili temeljna prava kad se upotrebljava u skladu sa svojom Namjenom;</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procjenu i evaluaciju rizika koji mogu nastati pri uporabi UI sustava u skladu s njegovom Namjenom i u uvjetima Razumno predvidljive krive uporabe;</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evaluaciju drugih potencijalnih rizika na temelju analize podataka prikupljenih sustavom praćenja nakon stavljanja na tržište;</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donošenje odgovarajućih i ciljanih mjera upravljanja rizicima osmišljenih za otklanjanje rizika utvrđenih na temelju točke (a) ovog stavka u skladu s odredbama sljedećih stavaka.</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Rizici iz ovog članka odnose se samo na one rizike koji se mogu razumno</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ublažiti ili ukloniti razvojem ili dizajnom UI sustava ili pružanjem adekvatnih tehničkih informacija.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U okviru rizika iz ovog članka na odgovarajući se način uzimaju u obzir učinci i moguća interakcija koji proizlaze iz kombinirane primjene zahtjeva utvrđenih u odjeljku B kako bi se rizici djelotvorno sveli na najmanju moguću mjeru i kako bi se pritom postigla odgovarajuća ravnoteža u provedbi mjera za ispunjavanje tih zahtjeva.</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Mjere upravljanja rizicima iz stavka 2.2. točke (d) takve su da Dobavljač može procijeniti da su relevantni preostali rizici povezani sa svakom pojedinom opasnošću te cjelokupni preostali rizik UI sustava prihvatljivi, pod uvjetom da se UI sustav koristi u skladu sa svojom Namjenom ili u uvjetima Razumno predvidljive krive uporabe.</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Pri utvrđivanju najprikladnijih mjera upravljanja rizicima iz stavka 2.2. točke (d) osigurava se sljedeće:</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uklanjanje ili smanjenje rizika utvrđenih i evaluiranih na temelju stavka 2.2. u mjeri u kojoj je to tehnički izvedivo putem adekvatnog dizajna i razvoja UI sustava;</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provedba adekvatnih mjera za ublažavanje i kontrolu rizika koji se ne mogu ukloniti, ako je to potrebno;</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pružanje odgovarajućih informacija Javnoj organizaciji i, prema potrebi, osposobljavanje za subjekte koji uvode sustav.</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Dobavljač osigurava da se prije Isporuke UI sustav testira kako bi se provjerilo je li u skladu s klauzulama MCC-AI-Light i jesu li mjere upravljanja rizicima iz stavka 2.2. točke (d) učinkovite s obzirom na Namjenu i Razumno predvidljivu krivu uporabu. Ako to zatraži Javna organizacija, Dobavljač je obvezan testirati UI sustav u njezinu okruženju.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UI sustav testira se prema potrebi u bilo kojem trenutku razvojnog procesa, a u svakom slučaju prije Isporuke. Testiranje se provodi u odnosu na prethodno </w:t>
      </w:r>
      <w:r>
        <w:rPr>
          <w:rFonts w:ascii="Arial" w:hAnsi="Arial"/>
          <w:sz w:val="22"/>
          <w:bdr w:val="none" w:sz="0" w:space="0" w:color="auto" w:frame="1"/>
        </w:rPr>
        <w:lastRenderedPageBreak/>
        <w:t>definirane parametre i probabilističke pragove koji su primjereni za Namjenu UI sustava.</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Sve utvrđene rizike, poduzete mjere i testiranja provedena radi postizanja usklađenosti s ovim člankom Dobavljač mora evidentirati. Dobavljač tu dokumentaciju mora staviti na raspolaganje Javnoj organizaciji najkasnije u trenutku Isporuke UI sustava. Ta dokumentacija može biti dio tehničke dokumentacije i/ili uputa za uporabu.</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Sustav upravljanja rizicima kontinuiran je i iterativni proces koji se planira i provodi za vrijeme cijelog trajanja Ugovora. Nakon Isporuke UI sustava Dobavljač stoga mora:</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redovito preispitivati i ažurirati postupak upravljanja rizicima kako bi stalno bio učinkovit;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rPr>
        <w:t xml:space="preserve">ažurirati dokumentaciju opisanu u </w:t>
      </w:r>
      <w:r>
        <w:rPr>
          <w:rFonts w:ascii="Arial" w:hAnsi="Arial"/>
          <w:sz w:val="22"/>
          <w:bdr w:val="none" w:sz="0" w:space="0" w:color="auto" w:frame="1"/>
        </w:rPr>
        <w:t>članku 2.7.</w:t>
      </w:r>
      <w:r>
        <w:rPr>
          <w:rFonts w:ascii="Arial" w:hAnsi="Arial"/>
          <w:sz w:val="22"/>
        </w:rPr>
        <w:t>;</w:t>
      </w:r>
      <w:r>
        <w:rPr>
          <w:rFonts w:ascii="Arial" w:hAnsi="Arial"/>
          <w:sz w:val="22"/>
          <w:bdr w:val="none" w:sz="0" w:space="0" w:color="auto" w:frame="1"/>
        </w:rPr>
        <w:t xml:space="preserve"> kao i</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bez odgode staviti na raspolaganje Javnoj organizaciji svaku novu verziju dokumentacije opisane u članku 2.7.</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Ako je to razumno potrebno kako bi Dobavljač pravilno provodio sustav upravljanja rizicima, Javna organizacija će na zahtjev dostaviti Dobavljaču informacije koje nisu povjerljive.</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&lt;neobvezno&gt;</w:t>
      </w:r>
      <w:r>
        <w:rPr>
          <w:rFonts w:ascii="Arial" w:hAnsi="Arial"/>
          <w:sz w:val="22"/>
          <w:bdr w:val="none" w:sz="0" w:space="0" w:color="auto" w:frame="1"/>
        </w:rPr>
        <w:t xml:space="preserve"> Ako Javna organizacija nastavlja s uporabom UI sustava i nakon isteka Ugovora, Dobavljač joj po isteku Ugovora dostavlja informacije potrebne za samostalno održavanje sustava upravljanja rizicima.</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&lt;Članak 3. primjenjuje se samo za UI sustave koji koriste tehnike s učenjem modelâ pomoću podataka. U članku 3. pretpostavlja se da Dobavljač ili njegovi podugovaratelji imaju potpun pristup Skupovima podataka. Ako Skupove podataka posjeduje isključivo Javna organizacija, potrebno je pronaći druga rješenja.&gt;</w:t>
      </w:r>
      <w:r>
        <w:rPr>
          <w:rFonts w:ascii="Arial" w:hAnsi="Arial"/>
          <w:sz w:val="22"/>
        </w:rPr>
        <w:t xml:space="preserve"> Podaci i upravljanje podacima</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Dobavljač osigurava da Skupovi podataka koji se koriste u razvoju UI sustava, uključujući učenje, validaciju i testiranje, u svakom trenutku podliježu praksama upravljanja i rukovanja podacima primjerenima Namjeni UI sustava. Te mjere odnose se posebno na:</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relevantne odluke o organizaciji podataka</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procese prikupljanja podataka i podrijetlo podataka te, u slučaju osobnih podataka, izvornu svrhu prikupljanja podataka;</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relevantne postupke pripreme podataka za obradu, kao što su obilježavanje, označivanje, čišćenje, ažuriranje, obogaćivanje i agregiranje;</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formuliranje pretpostavki, osobito s obzirom na informacije koje bi podaci trebali mjeriti i predstavljati;</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procjenu raspoloživosti, količine i prikladnosti potrebnih skupova podataka;</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ispitivanje s obzirom na moguće pristranosti koje bi mogle utjecati na zdravlje i sigurnost osoba, imati negativan utjecaj na temeljna prava ili dovesti do diskriminacije zabranjene pravom Unije, posebno ako izlazni rezultati utječu na ulazne podatke za buduće operacije;</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odgovarajuće mjere za otkrivanje, sprečavanje i ublažavanje mogućih pristranosti utvrđenih u skladu s točkom (f);</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utvrđivanje relevantnih nepotpunosti ili nedostataka podataka zbog kojih se ne može postići usklađenost s ovim klauzulama MCC-AI-Light te način na koji se te nepotpunosti i nedostaci mogu otkloniti.</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Dobavljač osigurava da su Skupovi podataka koji se koriste u razvoju UI sustava relevantni, dovoljno reprezentativni i u najvećoj mogućoj mjeri bez pogrešaka te da su potpuni s obzirom na svoju Namjenu.</w:t>
      </w:r>
      <w:r>
        <w:rPr>
          <w:rFonts w:ascii="Arial" w:hAnsi="Arial"/>
          <w:sz w:val="22"/>
          <w:bdr w:val="none" w:sz="0" w:space="0" w:color="auto" w:frame="1"/>
        </w:rPr>
        <w:t xml:space="preserve"> Dobavljač osigurava da Skupovi podataka imaju odgovarajuća statistička svojstva, prema potrebi i u odnosu na osobe ili skupine osoba za koje se UI sustav namjerava koristiti. Te se karakteristike Skupova podataka mogu postići na razini pojedinačnih skupova podataka ili njihove kombinacije.</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Dobavljač osigurava da se u Skupovima podataka koji se koriste u razvoju UI sustava u obzir uzimaju, u mjeri u kojoj to iziskuje Namjena ili Razumno predvidljiva kriva uporaba, karakteristike ili elementi specifični za zemljopisno, kontekstualno, bihevioralno ili radno okruženje u kojem se UI sustav namjerava upotrebljavati.</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Obveze iz ovog članka ne primjenjuju se samo na razvoj UI sustava prije Isporuke, nego i na svako Dobavljačevo korištenje Skupova podataka koje može utjecati na funkcioniranje UI sustava u bilo kojem drugom trenutku tijekom trajanja Ugovora.</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Tehnička dokumentacija i upute za uporabu</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Dobavljačeva Isporuka UI sustava uključuje dostavu tehničke dokumentacije i uputa za uporabu.</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Tehnička dokumentacija mora omogućiti Javnoj organizaciji ili trećoj strani da ocijeni usklađenost UI sustava s odredbama zahtjeva utvrđenih u ovim klauzulama MCC-AI-Light i mora ispunjavati barem uvjete opisane u </w:t>
      </w:r>
      <w:r>
        <w:rPr>
          <w:rFonts w:ascii="Arial" w:hAnsi="Arial"/>
          <w:b/>
          <w:sz w:val="22"/>
        </w:rPr>
        <w:t>Prilogu C</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Upute za uporabu uključuju </w:t>
      </w:r>
      <w:r>
        <w:rPr>
          <w:rFonts w:ascii="Arial" w:hAnsi="Arial"/>
          <w:color w:val="000000"/>
          <w:sz w:val="22"/>
          <w:shd w:val="clear" w:color="auto" w:fill="FFFFFF"/>
        </w:rPr>
        <w:t>sažete, potpune, točne i jasne informacije koje su relevantne, dostupne i razumljive Javnoj organizaciji</w:t>
      </w:r>
      <w:r>
        <w:rPr>
          <w:rFonts w:ascii="Arial" w:hAnsi="Arial"/>
          <w:sz w:val="22"/>
        </w:rPr>
        <w:t>.</w:t>
      </w:r>
      <w:r>
        <w:rPr>
          <w:rFonts w:ascii="Arial" w:hAnsi="Arial"/>
          <w:color w:val="000000"/>
          <w:sz w:val="22"/>
          <w:shd w:val="clear" w:color="auto" w:fill="FFFFFF"/>
        </w:rPr>
        <w:t xml:space="preserve"> Upute za uporabu moraju ispunjavati barem uvjete opisane u </w:t>
      </w:r>
      <w:r>
        <w:rPr>
          <w:rFonts w:ascii="Arial" w:hAnsi="Arial"/>
          <w:b/>
          <w:color w:val="000000"/>
          <w:sz w:val="22"/>
          <w:shd w:val="clear" w:color="auto" w:fill="FFFFFF"/>
        </w:rPr>
        <w:t>Prilogu D</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Dobavljač tu dokumentaciju mora ažurirati barem nakon svake Bitne izmjene tijekom trajanja Ugovora, a zatim je staviti na raspolaganje Javnoj organizaciji.</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Tehnička dokumentacija i upute za uporabu moraju biti sastavljene na engleskom jeziku.</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Javna organizacija ima pravo izraditi preslike tehničke dokumentacije i uputa za uporabu u količini potrebnoj za internu uporabu unutar Javne organizacije, ne dovodeći u pitanje odredbe članaka 6. i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Evidentiranje</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Dobavljač je dužan osigurati tehničku mogućnost automatskog evidentiranja događaja („evidencija”) u okviru UI sustava tijekom njegova cijelog životnog ciklusa.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Funkcije bilježenja događaja moraju omogućiti razinu sljedivosti UI sustava koja je primjerena njegovoj Namjeni i Razumno predvidljivoj krivoj uporabi. Njima se mora omogućiti bilježenje događaja relevantnih za utvrđivanje situacija koje mogu: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 xml:space="preserve">dovesti do toga da UI sustav predstavlja rizik za zdravlje ili sigurnost ili za zaštitu temeljnih prava osoba ili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dovesti do Bitne izmjene.</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Dobavljač će omogućiti Javnoj organizaciji pristup dnevnicima događaja koje UI sustav automatski generira u stvarnom vremenu.</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Dobavljač tijekom trajanja Ugovora čuva dnevnike događaja koje automatski generira UI sustav ako su na temelju Ugovora takvi dnevnici pod njegovom kontrolom. Po isteku trajanja Ugovora Dobavljač će bez odgode te dnevnike događaja dostaviti Javnoj organizaciji.</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Transparentnost UI sustava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Dobavljač </w:t>
      </w:r>
      <w:r>
        <w:rPr>
          <w:rFonts w:ascii="Arial" w:hAnsi="Arial"/>
          <w:sz w:val="22"/>
        </w:rPr>
        <w:t>osigurava da se UI sustav projektira i razvija te da će se projektirati i razvijati tako da je njegov rad dovoljno transparentan da Javna organizacija može tumačiti izlazne rezultate sustava i primjereno ga koristiti</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UI sustavu prilažu se upute za uporabu u odgovarajućem digitalnom ili drugom formatu sa sažetim, potpunim, točnim i jasnim informacijama koje su Javnoj organizaciji relevantne, pristupačne i razumljive.</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Upute za uporabu sadržavaju barem sljedeće informacije:</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identitet i podatke za kontakt Dobavljača i, ako je primjenjivo, njegova ovlaštenog zastupnika;</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karakteristike, mogućnosti i ograničenja sposobnosti UI sustava, uključujući:</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njegovu namjenu;</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razinu točnosti, uključujući njezine parametre, te razinu otpornosti i kibernetičke sigurnosti u odnosu na koju je UI sustav testiran i validiran i koja se može očekivati, te sve poznate i predvidljive okolnosti koje mogu utjecati na tu očekivanu razinu točnosti, otpornosti i kibernetičke sigurnosti;</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sve poznate i predvidljive okolnosti povezane s uporabom UI sustava u skladu s njegovom namjenom ili u uvjetima Razumno predvidljive krive uporabe koje mogu prouzročiti rizike za zdravlje i sigurnost ili temeljna prava;</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ako je primjenjivo, tehničke mogućnosti i karakteristike UI sustava za pružanje informacija koje su relevantne za objašnjenje njegovih izlaznih rezultata;</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prema potrebi, učinkovitost sustava u odnosu na konkretne osobe ili skupine osoba na kojima se sustav namjerava koristiti;</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prema potrebi, specifikacije ulaznih podataka ili sve druge važne informacije o korištenim skupovima podataka za učenje, validaciju i testiranje, uzimajući u obzir namjenu UI sustava;</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ako je primjenjivo, informacije koje Javnoj organizaciji omogućuju tumačenje izlaznih rezultata UI sustava i njihovu prikladnu uporabu;</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eventualne promjene UI sustava i njegove učinkovitosti koje je Dobavljač unaprijed odredio u trenutku početnog ocjenjivanja sukladnosti;</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lastRenderedPageBreak/>
        <w:t>mjere ljudskog nadzora, uključujući tehničke mjere uvedene kako bi se subjektima koji uvode sustav olakšalo tumačenje izlaznih rezultata UI sustava;</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potrebne računalne i hardverske resurse, očekivani životni ciklus UI sustava i sve potrebne mjere održavanja i brige, uključujući njihovu učestalost, kako bi se osiguralo pravilno funkcioniranje tog UI sustava, što se odnosi i na softverska ažuriranja;</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prema potrebi, opis mehanizama uključenih u UI sustav koji subjektima koji uvode sustav omogućuje da pravilno prikupljaju, pohranjuju i tumače evidenciju kako bi se osigurala odgovarajuća razina transparentnosti prije Isporuke UI sustava.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Kako bi osigurala odgovarajuća transprentnost, Dobavljač je prije Isporuke UI sustava dužan provesti barem tehničke i organizacijske mjere opisane u Prilogu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Ljudski nadzor</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Dobavljač osigurava da se UI sustav projektira i razvija te da će se projektirati i razvijati, među ostalim ugrađujući odgovarajuće alate u korisničko sučelje, tako da ga fizičke osobe mogu učinkovito nadzirati tijekom uporabe.</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Cilj je ljudskog nadzora spriječiti ili što više smanjiti rizike za zdravlje, sigurnost ili temeljna prava koji se mogu pojaviti tijekom uporabe UI sustava u skladu s njegovom Namjenom ili u uvjetima Razumno predvidljive krive uporabe ako takvi rizici i dalje postoje unatoč primjeni drugih zahtjeva utvrđenih u ovom odjeljku.</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Mjere nadzora razmjerne su rizicima, razini autonomije i kontekstu uporabe UI sustava, a osiguravaju se barem jednom od sljedeće dvije vrste mjera.</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Dobavljač osigurava da se prije Isporuke u UI sustav ugrade odgovarajuće mjere i da se one poduzimaju kako bi se osigurao ljudski nadzor. Te mjere fizičkim osobama zaduženima za ljudski nadzor omogućuju, ako je to potrebno i razmjerno:</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da pravilno razumiju relevantne kapacitete i ograničenja UI sustava te da mogu na odgovarajući način pratiti njegov rad, među ostalim radi otkrivanja i uklanjanja nepravilnosti, disfunkcija i neočekivanih rezultata;</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da budu svjesne moguće tendencije automatskog ili pretjeranog oslanjanja na izlazne rezultate UI sustava („automatizacijska pristranost”), osobito UI sustava koji se upotrebljavaju za davanje informacija ili preporuka na temelju kojih odluke donose fizičke osobe;</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da točno protumače izlazni rezultat UI sustava, primjerice uzimajući u obzir karakteristike sustava te dostupne alate i metode za tumačenje;</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da u bilo kojoj situaciji odustanu od uporabe UI sustava ili drukčije zanemare, zaobiđu ili ponište njegov izlazni rezultat;</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da interveniraju u rad ili prekinu rad UI sustava pritiskom gumba za zaustavljanje ili sličnim postupkom koji omogućuje sigurno zaustavljanje sustava.</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lastRenderedPageBreak/>
        <w:t>&lt;neobvezno&gt;</w:t>
      </w:r>
      <w:r>
        <w:rPr>
          <w:rFonts w:ascii="Arial" w:hAnsi="Arial"/>
          <w:sz w:val="22"/>
        </w:rPr>
        <w:t xml:space="preserve"> Kako bi se osigurao odgovarajući ljudski nadzor, Dobavljač prije Isporuke UI sustava provodi barem tehničke i organizacijske mjere opisane u </w:t>
      </w:r>
      <w:r>
        <w:rPr>
          <w:rFonts w:ascii="Arial" w:hAnsi="Arial"/>
          <w:b/>
          <w:sz w:val="22"/>
        </w:rPr>
        <w:t>Prilogu F</w:t>
      </w:r>
      <w:r>
        <w:rPr>
          <w:rFonts w:ascii="Arial" w:hAnsi="Arial"/>
          <w:sz w:val="22"/>
        </w:rPr>
        <w:t>.</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Točnost, otpornost i kibernetička sigurnost</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Dobavljač osigurava da se UI sustav projektira i razvija te da će se projektirati i razvijati tako da postiže odgovarajuću razinu točnosti, otpornosti, sigurnosti i kibernetičke sigurnosti te da u tim aspektima ima ujednačen radni učinak.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Razine točnosti i relevantni parametri točnosti UI sustava opisani su u </w:t>
      </w:r>
      <w:r>
        <w:rPr>
          <w:rFonts w:ascii="Arial" w:hAnsi="Arial"/>
          <w:b/>
          <w:sz w:val="22"/>
          <w:bdr w:val="none" w:sz="0" w:space="0" w:color="auto" w:frame="1"/>
        </w:rPr>
        <w:t>Prilogu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Kako bi se osigurala odgovarajuća razina otpornosti, sigurnosti i kibernetičke sigurnosti, Dobavljač prije Isporuke UI sustava provodi barem tehničke i organizacijske mjere opisane u </w:t>
      </w:r>
      <w:r>
        <w:rPr>
          <w:rFonts w:ascii="Arial" w:hAnsi="Arial"/>
          <w:b/>
          <w:sz w:val="22"/>
        </w:rPr>
        <w:t>Prilogu H</w:t>
      </w:r>
      <w:r>
        <w:rPr>
          <w:rFonts w:ascii="Arial" w:hAnsi="Arial"/>
          <w:sz w:val="22"/>
        </w:rPr>
        <w:t xml:space="preserve">.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Usklađenost</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Dobavljač mora osigurati usklađenost UI sustava s ovim klauzulama MCC-AI-Light od trenutka Isporuke UI sustava do isteka Ugovora.</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Na prvi zahtjev Javne organizacije Dobavljači joj moraju staviti na raspolaganje sve informacije potrebne za dokazivanje usklađenosti s ovim klauzulama MCC-AI-Light.</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Ako tijekom trajanja Ugovora Dobavljač smatra ili ima razloga smatrati da UI sustav nije u skladu s ovim klauzulama MCC-AI-Light, primjerice kao odgovor na primjedbu Javne organizacije, odmah poduzima potrebne korektivne mjere za postizanje sukladnosti tog sustava. Dobavljač o tome obavještava Javnu organizaciju.</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Procjena učinka na temeljna prava</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Na prvi zahtjev Javne organizacije Dobavljač je dužan surađivati u njezinoj procjeni učinka koji bi uporaba UI sustava mogla imati na temeljna prava.</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Obveza objašnjavanja funkcioniranja UI sustava na pojedinačnoj razini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Osim obveza opisanih u članku 6. Dobavljač je dužan Javnoj organizaciji na njezin prvi zahtjev jasno i smisleno objasniti ulogu UI sustava u postupku donošenja odluka. To bi se smisleno objašnjenje trebalo posebno (ali ne isključivo) odnositi na glavne elemente odluke donesene na temelju izlaznih rezultata UI sustava u odnosu na osobu koja je predmet odluke Javne organizacije.</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Obveza iz članka 11.1. sastoji se od pružanja Javnoj organizaciji svih tehničkih i drugih informacija koje su joj potrebne kako bi objasnila kako je UI sustav došao do određenog izlaznog rezultata te kako bi pogođenim osobama omogućila da provjere način na koji je UI sustav došao do tog izlaznog rezultata. Dobavljač Javnoj organizaciji daje pravo da koristi, dijeli i otkrije te informacije kako bi na odgovarajući način obavijestila pogođene osobe ako je to nužno i u mjeri u kojoj je nužno.</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lastRenderedPageBreak/>
        <w:t>&lt;neobvezno&gt;</w:t>
      </w:r>
      <w:r>
        <w:rPr>
          <w:rFonts w:ascii="Arial" w:hAnsi="Arial"/>
          <w:sz w:val="22"/>
        </w:rPr>
        <w:t xml:space="preserve"> Obveze iz članaka 11.1. i 11.2. uključuju izvorni kôd UI sustava, tehničke specifikacije koje se koriste za razvoj UI sustava, Skupove podataka, tehničke informacije o načinu dobivanja i uređivanja Skupova podataka korištenih u razvoju UI sustava, informacije o korištenoj metodi razvoja i poduzetom razvojnom procesu, potkrepljivanje odabira određenog modela i njegovih parametara te informacije o učinkovitosti UI sustava.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Odjeljak C – Prava korištenja Skupova podataka</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Prava na Skupove podataka Javne organizacije</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Sva prava, uključujući sva prava intelektualnog vlasništva, koja se odnose na Skupove podataka Javne organizacije, pripadaju Javnoj organizaciji ili trećoj strani koju je odredila Javna organizacija.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Dobavljač nema pravo koristiti se Skupovima podataka Javne organizacije ni u koju drugu svrhu osim za izvršenje Ugovora, osim ako je drukčije predviđeno u Prilogu B.</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Na prvi zahtjev Javne organizacije Dobavljač mora uništiti njezine Skupove podataka, osim ako je drukčije utvrđeno u Prilogu B. Ako to zatraži Javna organizacija, Dobavljač mora predočiti razumne dokaze da je uništio njezine Skupove podataka.</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Prava na Skupove podataka Dobavljača i Skupove podataka treće strane</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Sva prava, uključujući sva prava intelektualnog vlasništva, koja se odnose na Skupove podataka Dobavljača i Skupove podataka treće strane, pripadaju Dobavljaču ili trećoj strani.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Dobavljač daje Javnoj organizaciji neisključivo pravo korištenja Skupova podataka Dobavljača i Skupova podataka treće strane koje je u svakom slučaju dovoljno za izvršenje odredaba Ugovora, uključujući klauzule MCC-AI-Light, osim ako je drukčije predviđeno u Prilogu B.</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Pravo korištenja iz članka 13.2. uključuje pravo Javne organizacije ili treće strane da koriste Skupove podataka Dobavljača i Skupove podataka trećih strana za daljnji razvoj UI sustava, uključujući sve njegove nove verzije.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Dostava Skupova podataka</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Na prvi zahtjev Javne organizacije Dobavljač će joj dostaviti najnoviju verziju Skupova podataka Javne organizacije.</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Na prvi zahtjev Javne organizacije Dobavljač će joj dostaviti najnoviju verziju Skupova podataka Dobavljača i Skupova podataka treće strane, osim ako je drukčije predviđeno u Prilogu B.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Skupove podataka Dobavljač mora dostaviti Javnoj organizaciji u uobičajenom formatu datoteke koji određuje Javna organizacija. </w:t>
      </w:r>
      <w:r>
        <w:rPr>
          <w:rFonts w:ascii="Arial" w:hAnsi="Arial"/>
          <w:b/>
          <w:sz w:val="22"/>
        </w:rPr>
        <w:t>&lt;neobvezno&gt; Skupovi podataka vraćaju se na sljedeći način: [format datoteke]</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Naknade štete</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Dobavljač je dužan Javnoj organizaciji nadoknaditi štetu nastalu zbog potraživanja trećih strana, uključujući nadzornike, koja proizlaze iz eventualne povrede prava intelektualnog vlasništva, prava na zaštitu podataka ili jednakovrijednih prava do koje je došlo jer je Javna organizacije koristila UI sustav, Skupove podataka Dobavljača i/ili Skupove podataka treće strane.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Javna organizacija dužna je Dobavljaču nadoknaditi štetu nastalu zbog potraživanja trećih strana, uključujući nadzornike, koja proizlaze iz povrede njihovih prava intelektualnog vlasništva, prava na zaštitu podataka ili jednakovrijednih prava zbog korištenja Skupova podataka Javne organizacije.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Prilog A – UI sustav i njegova Namjena</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Opis UI sustava</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Područjem primjene ovih klauzula MCC-AI-Light obuhvaćeni su sljedeći sustavi ili sastavni dijelovi sustava: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Opišite UI sustav ili sustave. To može biti i algoritamski sustav koji se ne smatra UI sustavom u skladu s Aktom o umjetnoj inteligenciji.</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Namjena</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Opišite uporabu za koju je UI sustav namijenjen.</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Prilog B – Skupovi podataka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Opišite Skupove podataka korištene za </w:t>
      </w:r>
      <w:r>
        <w:rPr>
          <w:rFonts w:ascii="Arial" w:hAnsi="Arial"/>
          <w:i/>
          <w:color w:val="000000"/>
          <w:sz w:val="22"/>
          <w:shd w:val="clear" w:color="auto" w:fill="FFFFFF"/>
        </w:rPr>
        <w:t>učenje (ako je primjenjivo), validaciju i testiranje UI sustava</w:t>
      </w:r>
      <w:r>
        <w:rPr>
          <w:rFonts w:ascii="Arial" w:hAnsi="Arial"/>
          <w:i/>
          <w:sz w:val="22"/>
        </w:rPr>
        <w:t>.</w:t>
      </w:r>
      <w:r>
        <w:rPr>
          <w:rFonts w:ascii="Arial" w:hAnsi="Arial"/>
          <w:i/>
          <w:color w:val="000000"/>
          <w:sz w:val="22"/>
          <w:shd w:val="clear" w:color="auto" w:fill="FFFFFF"/>
        </w:rPr>
        <w:t xml:space="preserve"> Utvrdite razliku između Skupova podataka Javne organizacije te Skupova podataka Dobavljača i Skupova podataka treće strane. Kad je riječ o Skupovima podataka Javne organizacije, opišite svrhe za koje Dobavljač može koristiti Skupove podataka (osim izvršenja Ugovora) i je li Dobavljač dužan uništiti Skup podataka po isteku Ugovora. Kad je riječ o Skupovima podataka Dobavljača i Skupovima podataka treće strane, opišite svrhe za koje Javna organizacija može koristiti Skupove podataka i je li Dobavljač obvezan dostaviti Skupove podataka.</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Skupovi podataka Javne organizacije</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Sljedeće Skupove podataka Javna organizacija dostavlja Dobavljaču u skladu s Ugovorom ili će oni biti stvoreni ili prikupljeni u okviru Ugovora: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Opis Skupa podataka</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Prava korištenja Dobavljača</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Obveza uništavanja Skupa podataka po isteku Ugovora</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Da/Ne</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Skupovi podataka Dobavljača i Skupovi podataka treće strane</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Sljedeći Skupovi podataka Dobavljača i Skupovi podataka treće strane koristit će se ili su se koristili za učenje (ako je primjenjivo), validaciju i testiranje UI sustava: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Opis Skupa podataka</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Prava korištenja Javne organizacije</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Obveza dostave</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 C – Tehnička dokumentacija</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Tehnička dokumentacija sadržava barem sljedeće informacije, ovisno o tome što je primjenjivo na UI sustav:</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općeniti opis UI sustava, uključujući:</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njegovu namjenu, ime Dobavljača i verziju sustava koja odražava njegovu povezanost s prethodnim verzijama</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ako je primjenjivo, način na koji UI sustav može biti u interakciji ili se može koristiti kako bi bio u interakciji s hardverom ili softverom, među ostalim s drugim UI sustavima, koji nije dio samog UI sustava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verzije relevantnog softvera ili integriranog softvera i sve zahtjeve povezane s ažuriranjem verzija</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opis hardvera na kojem bi UI sustav trebao raditi</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ako je UI sustav sastavni dio proizvoda, fotografije ili ilustracije koje prikazuju vanjske značajke, oznake i unutarnju konstrukciju tih proizvoda</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osnovni opis korisničkog sučelja koje se pruža Javnoj organizaciji</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upute za uporabu namijenjene subjektu koji uvodi sustav i osnovni opis korisničkog sučelja, ako je primjenjivo</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detaljan opis elemenata UI sustava i postupka njegova razvoja, uključujući:</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metode i korake provedene u razvoju UI sustava, uključujući, prema potrebi, korištenje prethodno poučenih sustava ili alata trećih strana te način na koji ih je Dobavljač koristio, integrirao ili izmijenio, uključujući opis svih ugovora o licenciranju ili drugih ugovornih odredbi povezanih s takvim ulaznim podacima trećih strana</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projektne specifikacije sustava, odnosno opću logiku UI sustava i algoritama; najvažnije projektne odabire, uključujući razloge i pretpostavke za njih, među ostalim u vezi s osobama ili skupinama osoba za koje je sustav namijenjen; glavna primijenjena klasifikacijska rješenja; informacije o tome što bi sustav trebao optimizirati te relevantnost različitih parametara; opis očekivanih izlaznih rezultata sustava i njihove kvalitete; odluke o eventualnim kompromisima u tehničkim rješenjima koji su doneseni radi poštovanja zahtjeva iz ovih klauzula MCC-AI-Light</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opis arhitekture sustava s objašnjenjem kako se softverske komponente međusobno nadopunjuju ili potpomažu te kako su uključene u cjelokupnu obradu; računalne resurse korištene za razvoj, učenje, testiranje i validaciju UI sustava</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ako je primjenjivo, potrebne podatke u smislu tablica s opisom metodologija i tehnika učenja te skupova podataka korištenih za učenje, uključujući općeniti opis tih Skupova podataka te informacije u njihovu podrijetlu, sadržaju i glavnim karakteristikama; način na koji su podaci dobiveni i odabrani; postupke označivanja (npr. za nadzirano učenje), metodologije čišćenja podataka (npr. otkrivanje netipičnih vrijednosti)</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lastRenderedPageBreak/>
        <w:t>procjenu mjera ljudskog nadzora potrebnih u skladu s ovim klauzulama MCC-AI-Light, uključujući procjenu tehničkih mjera potrebnih kako bi se Javnoj organizaciji olakšalo tumačenje izlaznih rezultata UI sustava</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prema potrebi, detaljan opis unaprijed određenih promjena UI sustava i njegove učinkovitosti, zajedno sa svim relevantnim informacijama o tehničkim rješenjima primijenjenima radi kontinuirane usklađenosti UI sustava s relevantnim zahtjevima iz ovih klauzula MCC-AI-Light</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primijenjene postupke validacije i testiranja, uključujući informacije o podacima korištenima za validaciju i testiranje te njihovim glavnim karakteristikama; parametre za mjerenje točnosti, otpornosti i usklađenosti s drugim relevantnim zahtjevima iz ovih klauzula MCC-AI-Light, kao i potencijalnih diskriminirajućih učinaka dnevnike događaja tijekom testiranja i sva izvješća o testiranju s datumom i potpisom odgovornih osoba, među ostalim u vezi s unaprijed određenim promjenama iz točke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uspostavljene mjere kibernetičke sigurnosti.</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detaljne informacije o praćenju, funkcioniranju i kontroli UI sustava, posebno u pogledu: njegovih mogućnosti i ograničenja u radu, uključujući stupnjeve točnosti za konkretne osobe ili skupine osoba na kojima se sustav namjerava koristiti te ukupnu očekivanu razinu točnosti u odnosu na namjenu sustava; predvidljivih neplaniranih krajnjih ishoda i izvora rizika za zdravlje i sigurnost, temeljna prava i diskriminaciju s obzirom na Namjenu UI sustava</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opis primjerenosti parametara učinkovitosti za UI sustav</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detaljan opis sustava upravljanja rizicima u skladu s člankom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opis svih relevantnih promjena koje je Dobavljač izvršio na sustavu tijekom njegova životnog ciklusa.</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Prilog D – Upute za uporabu</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Upute za uporabu sadržavaju barem sljedeće informacije, ovisno o tome što je primjenjivo na UI sustav:</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identitet i podatke za kontakt Dobavljača i, prema potrebi, njegova ovlaštenog zastupnika</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karakteristike, mogućnosti i ograničenja sposobnosti UI sustava, uključujući, prema potrebi:</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njegovu Namjenu</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razinu točnosti, uključujući njezine parametre, te razinu otpornosti i kibernetičke sigurnosti iz članka 8. u odnosu na koju je UI sustav testiran i validiran i koja se može očekivati te sve poznate i predvidljive okolnosti koje mogu utjecati na tu očekivanu razinu točnosti, stabilnosti i kibernetičke sigurnosti</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sve poznate ili predvidljive okolnosti povezane s uporabom UI sustava u skladu s njegovom Namjenom ili u uvjetima Razumno predvidljive krive uporabe koje mogu prouzročiti rizike za zdravlje i sigurnost ili temeljna prava</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ako je primjenjivo, tehničke mogućnosti i karakteristike UI sustava za pružanje informacija koje su relevantne za objašnjenje njegovih izlaznih rezultata</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prema potrebi, učinkovitost sustava u odnosu na konkretne osobe ili skupine osoba na kojima se sustav namjerava koristiti</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prema potrebi, specifikacije ulaznih podataka ili sve druge važne informacije o korištenim skupovima podataka za učenje, validaciju i testiranje, uzimajući u obzir namjenu UI sustava</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ako je primjenjivo, informacije koje Javnoj organizaciji omogućuju tumačenje izlaznih rezultata UI sustava i njihovu prikladnu uporabu</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promjene UI sustava i njegove učinkovitosti koje je Dobavljač unaprijed odredio, ako ih ima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mjere ljudskog nadzora iz članka 7., uključujući tehničke mjere uvedene kako bi se Javnoj organizaciji olakšalo tumačenje izlaznih rezultata UI sustava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potrebne računalne i hardverske resurse, očekivani životni ciklus UI sustava i sve potrebne mjere održavanja i brige, uključujući njihovu učestalost, kako bi se osiguralo pravilno funkcioniranje tog UI sustava, što se odnosi i na softverska ažuriranja</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 xml:space="preserve">prema potrebi, opis mehanizama uključenih u UI sustav koji Javnoj organizaciji omogućuje da pravilno prikuplja, pohranjuje i tumači evidenciju u skladu s člankom 5. ovih klauzula MCC-AI-Light.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Prilog E – Mjere za osiguravanje transparentnosti</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Ovdje opišite tehničke i organizacijske mjere koje Dobavljač treba poduzeti kako bi osigurao transparentnost u skladu s člankom 6. klauzula MCC-AI-Light.</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 F – Mjere za osiguravanje ljudskog nadzora</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Ovdje opišite tehničke i organizacijske mjere koje Dobavljač treba poduzeti kako bi osigurao ljudski nadzor u skladu s člankom 7. klauzula MCC-AI-Light.</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 G – Razine točnosti</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Ovdje opišite potrebne razine točnosti.</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 H – Mjere za osiguravanje odgovarajuće razine otpornosti, sigurnosti i kibernetičke sigurnosti</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Ovdje opišite tehničke i organizacijske mjere koje Dobavljač treba poduzeti kako bi osigurao odgovarajuće razine otpornosti, sigurnosti i kibernetičke sigurnosti u skladu s člankom 8. klauzula MCC-AI-Light.</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Tim se mjerama mora osigurati da UI sustav bude što otporniji na greške, kvarove ili nedosljednosti koje se mogu dogoditi unutar sustava ili okruženja u kojem sustav radi, osobito kao posljedica interakcije s pojedincima ili drugim sustavima.</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UI sustav mora biti otporan na pokušaje neovlaštenih trećih strana da mu izmijene uporabu, ponašanje, izlazne rezultate ili sposobnost iskorištavanjem slabih točaka sustava. Tehnička rješenja za prevladavanje specifičnih slabih točaka umjetne inteligencije mogu, prema potrebi, uključivati mjere za sprečavanje, otkrivanje, odgovor, rješavanje i kontrolu napada čiji je cilj manipuliranje skupom podataka za učenje („trovanje podataka”), prethodno poučenim komponentama koje se koriste za učenje („trovanje modela”) ili ulaznim podacima kako bi model napravio pogrešku („neprijateljski primjeri” ili „zaobilaženje modela”) te napada na povjerljivost ili nedostataka modela koji bi mogli dovesti do štetnog donošenja odluka.</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even" r:id="rId15"/>
      <w:headerReference w:type="default" r:id="rId16"/>
      <w:footerReference w:type="even" r:id="rId17"/>
      <w:footerReference w:type="default" r:id="rId18"/>
      <w:headerReference w:type="first" r:id="rId19"/>
      <w:footerReference w:type="first" r:id="rId20"/>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4B7CF" w14:textId="77777777" w:rsidR="00C428D4" w:rsidRDefault="00C428D4" w:rsidP="000B1A35">
      <w:r>
        <w:separator/>
      </w:r>
    </w:p>
  </w:endnote>
  <w:endnote w:type="continuationSeparator" w:id="0">
    <w:p w14:paraId="2B0E69D8" w14:textId="77777777" w:rsidR="00C428D4" w:rsidRDefault="00C428D4" w:rsidP="000B1A35">
      <w:r>
        <w:continuationSeparator/>
      </w:r>
    </w:p>
  </w:endnote>
  <w:endnote w:type="continuationNotice" w:id="1">
    <w:p w14:paraId="79AB715E" w14:textId="77777777" w:rsidR="00C428D4" w:rsidRDefault="00C428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4310" w14:textId="77777777" w:rsidR="00B42FD4" w:rsidRDefault="00B42F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AC4844" w14:textId="77777777" w:rsidR="00C428D4" w:rsidRDefault="00C428D4" w:rsidP="000B1A35">
      <w:r>
        <w:separator/>
      </w:r>
    </w:p>
  </w:footnote>
  <w:footnote w:type="continuationSeparator" w:id="0">
    <w:p w14:paraId="21BD317B" w14:textId="77777777" w:rsidR="00C428D4" w:rsidRDefault="00C428D4" w:rsidP="000B1A35">
      <w:r>
        <w:continuationSeparator/>
      </w:r>
    </w:p>
  </w:footnote>
  <w:footnote w:type="continuationNotice" w:id="1">
    <w:p w14:paraId="4F8299EB" w14:textId="77777777" w:rsidR="00C428D4" w:rsidRDefault="00C428D4"/>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rPr>
          <w:rFonts w:ascii="Arial" w:hAnsi="Arial"/>
          <w:sz w:val="18"/>
        </w:rPr>
        <w:tab/>
        <w:t>Ograničenjem obveze dostave Skupova podataka Dobavljača i Skupova podataka treće strane ne ograničavaju se obveze Dobavljača opisane u člancima 6. i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A2765" w14:textId="77777777" w:rsidR="00B42FD4" w:rsidRDefault="00B42F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7B36B1EC"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Javna nabava umjetne inteligencije |</w:t>
      </w:r>
    </w:hyperlink>
    <w:hyperlink r:id="rId3" w:history="1">
      <w:r>
        <w:rPr>
          <w:rStyle w:val="Hyperlink"/>
          <w:rFonts w:ascii="Arial" w:hAnsi="Arial"/>
          <w:color w:val="FFFFFF" w:themeColor="background1"/>
          <w:sz w:val="20"/>
          <w:u w:val="single"/>
        </w:rPr>
        <w:t xml:space="preserve"> Zajednica javnih naručitelja</w:t>
      </w:r>
    </w:hyperlink>
    <w:r>
      <w:rPr>
        <w:rFonts w:ascii="Arial" w:hAnsi="Arial"/>
        <w:color w:val="FFFFFF" w:themeColor="background1"/>
      </w:rPr>
      <w:tab/>
      <w:t xml:space="preserve">          </w:t>
    </w:r>
    <w:r>
      <w:rPr>
        <w:rFonts w:ascii="Arial" w:hAnsi="Arial"/>
        <w:b/>
        <w:color w:val="FFFFFF" w:themeColor="background1"/>
      </w:rPr>
      <w:t>MCC-AI-LIGHT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5D18D08E"/>
    <w:lvl w:ilvl="0">
      <w:start w:val="1"/>
      <w:numFmt w:val="decimal"/>
      <w:pStyle w:val="doLijstnummering7"/>
      <w:lvlText w:val="Članak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415A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7407A"/>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B6B0E"/>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E3B58"/>
    <w:rsid w:val="00AF0004"/>
    <w:rsid w:val="00AF141A"/>
    <w:rsid w:val="00AF6623"/>
    <w:rsid w:val="00B063EF"/>
    <w:rsid w:val="00B11FB6"/>
    <w:rsid w:val="00B27DAA"/>
    <w:rsid w:val="00B33D0F"/>
    <w:rsid w:val="00B42FD4"/>
    <w:rsid w:val="00B544B1"/>
    <w:rsid w:val="00B55AC3"/>
    <w:rsid w:val="00B5641B"/>
    <w:rsid w:val="00B579BE"/>
    <w:rsid w:val="00B61CD1"/>
    <w:rsid w:val="00B71F90"/>
    <w:rsid w:val="00B72EFF"/>
    <w:rsid w:val="00BA16C1"/>
    <w:rsid w:val="00BA5A56"/>
    <w:rsid w:val="00BB1ECA"/>
    <w:rsid w:val="00BB7E2F"/>
    <w:rsid w:val="00BD060D"/>
    <w:rsid w:val="00BD0EE8"/>
    <w:rsid w:val="00BD5ED5"/>
    <w:rsid w:val="00BE2463"/>
    <w:rsid w:val="00BF1059"/>
    <w:rsid w:val="00C02E1C"/>
    <w:rsid w:val="00C2438E"/>
    <w:rsid w:val="00C36498"/>
    <w:rsid w:val="00C428D4"/>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45CAD"/>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hr-HR"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hr-HR"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hr-HR"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hr-HR"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hr-HR"/>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A61B6CDC-D0B6-48C0-AB48-031C90064C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20</Pages>
  <Words>4950</Words>
  <Characters>26387</Characters>
  <Application>Microsoft Office Word</Application>
  <DocSecurity>0</DocSecurity>
  <Lines>599</Lines>
  <Paragraphs>216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VUKUSIC Marin (DGT)</cp:lastModifiedBy>
  <cp:revision>7</cp:revision>
  <cp:lastPrinted>2023-10-05T08:08:00Z</cp:lastPrinted>
  <dcterms:created xsi:type="dcterms:W3CDTF">2025-05-08T14:26:00Z</dcterms:created>
  <dcterms:modified xsi:type="dcterms:W3CDTF">2025-05-19T10:54:00Z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