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8454E" w14:textId="77777777" w:rsidR="00592734" w:rsidRPr="00BD0EE8" w:rsidRDefault="00592734"/>
    <w:p w14:paraId="37378A64" w14:textId="77777777" w:rsidR="000B1A35" w:rsidRPr="00BD0EE8" w:rsidRDefault="000B1A35" w:rsidP="000B1A35"/>
    <w:p w14:paraId="68C4FBFC" w14:textId="77777777" w:rsidR="000B1A35" w:rsidRPr="00BD0EE8" w:rsidRDefault="000B1A35" w:rsidP="000B1A35"/>
    <w:p w14:paraId="6803F4B2" w14:textId="77777777" w:rsidR="000B1A35" w:rsidRPr="00BD0EE8" w:rsidRDefault="000B1A35" w:rsidP="000B1A35"/>
    <w:p w14:paraId="7ACF3E0E" w14:textId="77777777" w:rsidR="000B1A35" w:rsidRPr="00BD0EE8" w:rsidRDefault="000B1A35" w:rsidP="000B1A35"/>
    <w:p w14:paraId="7B8CA6C7" w14:textId="77777777" w:rsidR="000B1A35" w:rsidRPr="00BD0EE8" w:rsidRDefault="000B1A35" w:rsidP="000B1A35"/>
    <w:p w14:paraId="5DE71EB2" w14:textId="77777777" w:rsidR="000B1A35" w:rsidRPr="00BD0EE8" w:rsidRDefault="000B1A35" w:rsidP="000B1A35"/>
    <w:p w14:paraId="06917CFE" w14:textId="77777777" w:rsidR="000B1A35" w:rsidRPr="00BD0EE8" w:rsidRDefault="000B1A35" w:rsidP="000B1A35"/>
    <w:p w14:paraId="1674C616" w14:textId="77777777" w:rsidR="000B1A35" w:rsidRPr="00BD0EE8" w:rsidRDefault="000B1A35" w:rsidP="000B1A35"/>
    <w:p w14:paraId="18DFFB1C" w14:textId="77777777" w:rsidR="000B1A35" w:rsidRPr="00BD0EE8" w:rsidRDefault="000B1A35" w:rsidP="000B1A35"/>
    <w:p w14:paraId="63B10EBA" w14:textId="77777777" w:rsidR="000B1A35" w:rsidRPr="00BD0EE8" w:rsidRDefault="000B1A35" w:rsidP="000B1A35"/>
    <w:p w14:paraId="1A8EE032" w14:textId="77777777" w:rsidR="000B1A35" w:rsidRPr="00BD0EE8" w:rsidRDefault="000B1A35" w:rsidP="000B1A35"/>
    <w:p w14:paraId="763BA3D8" w14:textId="77777777" w:rsidR="000B1A35" w:rsidRPr="00BD0EE8" w:rsidRDefault="000B1A35" w:rsidP="000B1A35"/>
    <w:p w14:paraId="690992D2" w14:textId="77777777" w:rsidR="000B1A35" w:rsidRPr="00BD0EE8" w:rsidRDefault="000B1A35" w:rsidP="000B1A35"/>
    <w:p w14:paraId="2F527E26" w14:textId="77777777" w:rsidR="000B1A35" w:rsidRPr="00BD0EE8" w:rsidRDefault="000B1A35" w:rsidP="000B1A35"/>
    <w:p w14:paraId="0ABE34F3" w14:textId="77777777" w:rsidR="000B1A35" w:rsidRPr="00BD0EE8" w:rsidRDefault="000B1A35" w:rsidP="000B1A35"/>
    <w:p w14:paraId="3E020A25" w14:textId="77777777" w:rsidR="000B1A35" w:rsidRPr="00BD0EE8" w:rsidRDefault="000B1A35" w:rsidP="000B1A35"/>
    <w:p w14:paraId="6F4C0C4C" w14:textId="77777777" w:rsidR="000B1A35" w:rsidRPr="00BD0EE8" w:rsidRDefault="000B1A35" w:rsidP="000B1A35"/>
    <w:p w14:paraId="5380BE2A" w14:textId="77777777" w:rsidR="000B1A35" w:rsidRPr="00BD0EE8" w:rsidRDefault="000B1A35" w:rsidP="000B1A35"/>
    <w:p w14:paraId="0D0C2328" w14:textId="77777777" w:rsidR="000B1A35" w:rsidRPr="00BD0EE8" w:rsidRDefault="000B1A35" w:rsidP="000B1A35"/>
    <w:p w14:paraId="25AD7D77" w14:textId="77777777" w:rsidR="000B1A35" w:rsidRPr="00BD0EE8" w:rsidRDefault="000B1A35" w:rsidP="000B1A35"/>
    <w:p w14:paraId="0BB30019" w14:textId="77777777" w:rsidR="000B1A35" w:rsidRPr="00BD0EE8" w:rsidRDefault="000B1A35" w:rsidP="000B1A35"/>
    <w:p w14:paraId="6D176598" w14:textId="77777777" w:rsidR="000B1A35" w:rsidRPr="00BD0EE8" w:rsidRDefault="000B1A35" w:rsidP="000B1A35"/>
    <w:p w14:paraId="35A15FFF" w14:textId="77777777" w:rsidR="000B1A35" w:rsidRPr="00BD0EE8" w:rsidRDefault="000B1A35" w:rsidP="000B1A35"/>
    <w:p w14:paraId="0AEC8325" w14:textId="77777777" w:rsidR="000B1A35" w:rsidRPr="00BD0EE8" w:rsidRDefault="000B1A35" w:rsidP="0092617F">
      <w:pPr>
        <w:jc w:val="center"/>
      </w:pPr>
    </w:p>
    <w:p w14:paraId="2E6FDD30" w14:textId="77777777" w:rsidR="0092617F" w:rsidRPr="00BD0EE8" w:rsidRDefault="0092617F" w:rsidP="0092617F">
      <w:pPr>
        <w:jc w:val="center"/>
        <w:rPr>
          <w:rFonts w:ascii="Arial" w:hAnsi="Arial" w:cs="Arial"/>
          <w:b/>
          <w:bCs/>
          <w:color w:val="104D54"/>
          <w:sz w:val="44"/>
          <w:szCs w:val="44"/>
        </w:rPr>
      </w:pPr>
    </w:p>
    <w:p w14:paraId="14853D80" w14:textId="77777777" w:rsidR="0092617F" w:rsidRPr="00BD0EE8" w:rsidRDefault="0092617F" w:rsidP="0092617F">
      <w:pPr>
        <w:jc w:val="center"/>
        <w:rPr>
          <w:rFonts w:ascii="Arial" w:hAnsi="Arial" w:cs="Arial"/>
          <w:b/>
          <w:bCs/>
          <w:color w:val="104D54"/>
          <w:sz w:val="44"/>
          <w:szCs w:val="44"/>
        </w:rPr>
      </w:pPr>
    </w:p>
    <w:p w14:paraId="569520C7" w14:textId="77777777" w:rsidR="000B1A35" w:rsidRPr="00BD0EE8" w:rsidRDefault="000B1A35" w:rsidP="00876ED4">
      <w:pPr>
        <w:ind w:left="-57"/>
      </w:pPr>
      <w:hyperlink r:id="rId13" w:history="1">
        <w:r>
          <w:rPr>
            <w:rStyle w:val="Hyperlink"/>
            <w:rFonts w:ascii="Arial" w:hAnsi="Arial"/>
            <w:b/>
            <w:sz w:val="44"/>
          </w:rPr>
          <w:t>Akkwist tal-IA</w:t>
        </w:r>
        <w:r>
          <w:rPr>
            <w:rStyle w:val="Hyperlink"/>
            <w:rFonts w:ascii="Arial" w:hAnsi="Arial"/>
            <w:b/>
            <w:sz w:val="44"/>
          </w:rPr>
          <w:cr/>
        </w:r>
        <w:r>
          <w:rPr>
            <w:rStyle w:val="Hyperlink"/>
            <w:rFonts w:ascii="Arial" w:hAnsi="Arial"/>
            <w:b/>
            <w:sz w:val="44"/>
          </w:rPr>
          <w:br/>
        </w:r>
      </w:hyperlink>
      <w:hyperlink r:id="rId14" w:history="1">
        <w:r>
          <w:rPr>
            <w:rStyle w:val="Hyperlink"/>
            <w:rFonts w:ascii="Arial" w:hAnsi="Arial"/>
            <w:b/>
            <w:sz w:val="44"/>
          </w:rPr>
          <w:t>Komunità</w:t>
        </w:r>
      </w:hyperlink>
      <w:r w:rsidR="00963079">
        <w:br w:type="page"/>
      </w:r>
      <w:r w:rsidR="00963079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1" layoutInCell="1" allowOverlap="1" wp14:anchorId="2460A762" wp14:editId="07C7B482">
                <wp:simplePos x="0" y="0"/>
                <wp:positionH relativeFrom="margin">
                  <wp:posOffset>-50214</wp:posOffset>
                </wp:positionH>
                <wp:positionV relativeFrom="page">
                  <wp:posOffset>9094665</wp:posOffset>
                </wp:positionV>
                <wp:extent cx="6977576" cy="731520"/>
                <wp:effectExtent l="0" t="0" r="0" b="0"/>
                <wp:wrapNone/>
                <wp:docPr id="1144621298" name="Text Box 1144621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77576" cy="7315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3624A1" w14:textId="0DC93EC5" w:rsidR="00C758CB" w:rsidRPr="0065578B" w:rsidRDefault="007E2E87" w:rsidP="00C758CB">
                            <w:pPr>
                              <w:spacing w:line="360" w:lineRule="auto"/>
                              <w:rPr>
                                <w:rFonts w:ascii="Arial" w:hAnsi="Arial" w:cs="Arial"/>
                                <w:color w:val="104D55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/>
                                <w:color w:val="104D55"/>
                                <w:sz w:val="36"/>
                              </w:rPr>
                              <w:t xml:space="preserve">Verżjoni ta’ Frar 2025 – Akkwist tal-IA Mingħajr Riskju Għoli </w:t>
                            </w:r>
                          </w:p>
                          <w:p w14:paraId="7A280DF3" w14:textId="77777777" w:rsidR="00C758CB" w:rsidRPr="00CF3CDB" w:rsidRDefault="00C758CB" w:rsidP="00CF3CDB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104D54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60A762" id="_x0000_t202" coordsize="21600,21600" o:spt="202" path="m,l,21600r21600,l21600,xe">
                <v:stroke joinstyle="miter"/>
                <v:path gradientshapeok="t" o:connecttype="rect"/>
              </v:shapetype>
              <v:shape id="Text Box 1144621298" o:spid="_x0000_s1026" type="#_x0000_t202" style="position:absolute;left:0;text-align:left;margin-left:-3.95pt;margin-top:716.1pt;width:549.4pt;height:57.6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" filled="f" stroked="f" strokeweight=".5pt">
                <v:textbox>
                  <w:txbxContent>
                    <w:p w14:paraId="2A3624A1" w14:textId="0DC93EC5" w:rsidR="00C758CB" w:rsidRPr="0065578B" w:rsidRDefault="007E2E87" w:rsidP="00C758CB">
                      <w:pPr>
                        <w:spacing w:line="360" w:lineRule="auto"/>
                        <w:rPr>
                          <w:rFonts w:ascii="Arial" w:hAnsi="Arial" w:cs="Arial"/>
                          <w:color w:val="104D55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/>
                          <w:color w:val="104D55"/>
                          <w:sz w:val="36"/>
                        </w:rPr>
                        <w:t xml:space="preserve">Verżjoni ta’ Frar 2025 – Akkwist tal-IA Mingħajr Riskju Għoli </w:t>
                      </w:r>
                    </w:p>
                    <w:p w14:paraId="7A280DF3" w14:textId="77777777" w:rsidR="00C758CB" w:rsidRPr="00CF3CDB" w:rsidRDefault="00C758CB" w:rsidP="00CF3CDB">
                      <w:pPr>
                        <w:rPr>
                          <w:rFonts w:ascii="Arial" w:hAnsi="Arial" w:cs="Arial"/>
                          <w:b/>
                          <w:bCs/>
                          <w:color w:val="104D54"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  <w:r w:rsidR="0096307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0BBA2639" wp14:editId="3177BDCF">
                <wp:simplePos x="0" y="0"/>
                <wp:positionH relativeFrom="margin">
                  <wp:posOffset>-76200</wp:posOffset>
                </wp:positionH>
                <wp:positionV relativeFrom="page">
                  <wp:posOffset>7896225</wp:posOffset>
                </wp:positionV>
                <wp:extent cx="6581775" cy="11049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81775" cy="1104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27BF72" w14:textId="679B4EAD" w:rsidR="00CF3CDB" w:rsidRPr="00CF3CDB" w:rsidRDefault="007E2E87" w:rsidP="00963079">
                            <w:pPr>
                              <w:pStyle w:val="TITLEStyle"/>
                            </w:pPr>
                            <w:bookmarkStart w:id="0" w:name="_Hlk189829106"/>
                            <w:r>
                              <w:t xml:space="preserve">Mudelli ta’ klawżoli kuntrattwali għall-akkwist pubbliku tal-IA Mingħajr Riskju Għoli </w:t>
                            </w:r>
                            <w:bookmarkEnd w:id="0"/>
                            <w:r>
                              <w:t>(“MCC-AI-High-Light”)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BA2639" id="Text Box 2" o:spid="_x0000_s1027" type="#_x0000_t202" style="position:absolute;left:0;text-align:left;margin-left:-6pt;margin-top:621.75pt;width:518.25pt;height:8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" filled="f" stroked="f" strokeweight=".5pt">
                <v:textbox>
                  <w:txbxContent>
                    <w:p w14:paraId="7F27BF72" w14:textId="679B4EAD" w:rsidR="00CF3CDB" w:rsidRPr="00CF3CDB" w:rsidRDefault="007E2E87" w:rsidP="00963079">
                      <w:pPr>
                        <w:pStyle w:val="TITLEStyle"/>
                      </w:pPr>
                      <w:bookmarkStart w:id="1" w:name="_Hlk189829106"/>
                      <w:r>
                        <w:t xml:space="preserve">Mudelli ta’ klawżoli kuntrattwali għall-akkwist pubbliku tal-IA Mingħajr Riskju Għoli </w:t>
                      </w:r>
                      <w:bookmarkEnd w:id="1"/>
                      <w:r>
                        <w:t>(“MCC-AI-High-Light”)</w:t>
                      </w: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</w:p>
    <w:p w14:paraId="321764DC" w14:textId="77777777" w:rsidR="009832AB" w:rsidRPr="00BD0EE8" w:rsidRDefault="009832AB" w:rsidP="00BA16C1">
      <w:pPr>
        <w:rPr>
          <w:b/>
        </w:rPr>
      </w:pPr>
      <w:r>
        <w:rPr>
          <w:rFonts w:ascii="Arial" w:hAnsi="Arial"/>
          <w:noProof/>
          <w:color w:val="FFFFFF" w:themeColor="background1"/>
          <w:sz w:val="22"/>
        </w:rPr>
        <w:lastRenderedPageBreak/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51E654B" wp14:editId="0666BBAE">
                <wp:simplePos x="0" y="0"/>
                <wp:positionH relativeFrom="margin">
                  <wp:align>center</wp:align>
                </wp:positionH>
                <wp:positionV relativeFrom="paragraph">
                  <wp:posOffset>2051050</wp:posOffset>
                </wp:positionV>
                <wp:extent cx="6057900" cy="2928395"/>
                <wp:effectExtent l="0" t="0" r="19050" b="24765"/>
                <wp:wrapSquare wrapText="bothSides"/>
                <wp:docPr id="15431586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29283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70E245" w14:textId="77777777" w:rsidR="009832AB" w:rsidRPr="00172B4F" w:rsidRDefault="009832AB" w:rsidP="009832AB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2"/>
                              </w:rPr>
                              <w:t>ĊAĦDA TA’ RESPONSABBILTÀ</w:t>
                            </w:r>
                          </w:p>
                          <w:p w14:paraId="77A53433" w14:textId="77777777" w:rsidR="009832AB" w:rsidRPr="00172B4F" w:rsidRDefault="009832AB" w:rsidP="009832AB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39D54C21" w14:textId="4878C639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Dan id-dokument ta’ ħidma qed jinħoloq mill-Kummissjoni Ewropea biex jappoġġja l-Komunità ta’ Prattika dwar l-Akkwist tal-IA ħalli tiggwida lill-amministrazzjonijiet pubbliċi fl-akkwist ta’ soluzzjonijiet tal-IA. Huwa dokument ta’ ħidma li għadu qed jitfassal u ma jirriflettix pożizzjoni uffiċjali tal-Kummissjoni Ewropea. </w:t>
                            </w:r>
                          </w:p>
                          <w:p w14:paraId="46D666EE" w14:textId="77777777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2A37833E" w14:textId="77777777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L-atturi li jiddeċiedu li jagħmlu użu minn dan id-dokument ta’ ħidma jerfgħu responsabbiltà sħiħa għall-użu tiegħu fl-akkwist pubbliku. </w:t>
                            </w:r>
                          </w:p>
                          <w:p w14:paraId="2EB29FA4" w14:textId="77777777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15A3204F" w14:textId="7FE0B39C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Dawn il-Mudelli ta’ Klawżoli għall-IA Mingħajr Riskju Għoli huma mingħajr preġudizzju għar-rekwiżiti li jirriżultaw mill-Att dwar l-IA. </w:t>
                            </w:r>
                          </w:p>
                          <w:p w14:paraId="2DBB4432" w14:textId="7E19AB80" w:rsidR="00F9102F" w:rsidRPr="004169B9" w:rsidRDefault="00F9102F" w:rsidP="00F9102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17D07F24" w14:textId="043406B0" w:rsidR="009832AB" w:rsidRPr="00172B4F" w:rsidRDefault="009832AB" w:rsidP="009832AB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34AA503C" w14:textId="77777777" w:rsidR="009832AB" w:rsidRPr="00172B4F" w:rsidRDefault="009832AB" w:rsidP="009832AB">
                            <w:pPr>
                              <w:rPr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1E654B" id="_x0000_s1028" type="#_x0000_t202" style="position:absolute;margin-left:0;margin-top:161.5pt;width:477pt;height:230.6pt;z-index:25167052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" filled="f" strokecolor="#747070 [1614]">
                <v:textbox>
                  <w:txbxContent>
                    <w:p w14:paraId="1A70E245" w14:textId="77777777" w:rsidR="009832AB" w:rsidRPr="00172B4F" w:rsidRDefault="009832AB" w:rsidP="009832AB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2"/>
                        </w:rPr>
                        <w:t>ĊAĦDA TA’ RESPONSABBILTÀ</w:t>
                      </w:r>
                    </w:p>
                    <w:p w14:paraId="77A53433" w14:textId="77777777" w:rsidR="009832AB" w:rsidRPr="00172B4F" w:rsidRDefault="009832AB" w:rsidP="009832AB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39D54C21" w14:textId="4878C639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Dan id-dokument ta’ ħidma qed jinħoloq mill-Kummissjoni Ewropea biex jappoġġja l-Komunità ta’ Prattika dwar l-Akkwist tal-IA ħalli tiggwida lill-amministrazzjonijiet pubbliċi fl-akkwist ta’ soluzzjonijiet tal-IA. Huwa dokument ta’ ħidma li għadu qed jitfassal u ma jirriflettix pożizzjoni uffiċjali tal-Kummissjoni Ewropea. </w:t>
                      </w:r>
                    </w:p>
                    <w:p w14:paraId="46D666EE" w14:textId="77777777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2A37833E" w14:textId="77777777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L-atturi li jiddeċiedu li jagħmlu użu minn dan id-dokument ta’ ħidma jerfgħu responsabbiltà sħiħa għall-użu tiegħu fl-akkwist pubbliku. </w:t>
                      </w:r>
                    </w:p>
                    <w:p w14:paraId="2EB29FA4" w14:textId="77777777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15A3204F" w14:textId="7FE0B39C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Dawn il-Mudelli ta’ Klawżoli għall-IA Mingħajr Riskju Għoli huma mingħajr preġudizzju għar-rekwiżiti li jirriżultaw mill-Att dwar l-IA. </w:t>
                      </w:r>
                    </w:p>
                    <w:p w14:paraId="2DBB4432" w14:textId="7E19AB80" w:rsidR="00F9102F" w:rsidRPr="004169B9" w:rsidRDefault="00F9102F" w:rsidP="00F9102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17D07F24" w14:textId="043406B0" w:rsidR="009832AB" w:rsidRPr="00172B4F" w:rsidRDefault="009832AB" w:rsidP="009832AB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34AA503C" w14:textId="77777777" w:rsidR="009832AB" w:rsidRPr="00172B4F" w:rsidRDefault="009832AB" w:rsidP="009832AB">
                      <w:pPr>
                        <w:rPr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br w:type="page"/>
      </w:r>
    </w:p>
    <w:p w14:paraId="547DBEFD" w14:textId="77777777" w:rsidR="00BA16C1" w:rsidRPr="00BD0EE8" w:rsidRDefault="00BA16C1" w:rsidP="002403BC">
      <w:pPr>
        <w:rPr>
          <w:b/>
        </w:rPr>
      </w:pPr>
    </w:p>
    <w:p w14:paraId="7714DB5B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Taqsima A – Definizzjonijiet</w:t>
      </w:r>
    </w:p>
    <w:p w14:paraId="1DD14AC7" w14:textId="4A871940" w:rsidR="00F9102F" w:rsidRPr="00963079" w:rsidRDefault="00F9102F" w:rsidP="00963079">
      <w:pPr>
        <w:pStyle w:val="doLijstnummering7"/>
        <w:rPr>
          <w:rFonts w:ascii="Arial" w:eastAsia="Calibri" w:hAnsi="Arial" w:cs="Arial"/>
          <w:sz w:val="22"/>
          <w:szCs w:val="22"/>
        </w:rPr>
      </w:pPr>
      <w:r w:rsidRPr="00963079">
        <w:rPr>
          <w:rFonts w:ascii="Arial" w:hAnsi="Arial" w:cs="Arial"/>
          <w:sz w:val="22"/>
          <w:szCs w:val="22"/>
        </w:rPr>
        <w:t>Definizzjonijiet: it-termini b’ittra kapitali użati f’dawn l-MCC-AI-High-Light se jkollhom it-tifsira kif definita f’dan l-artikolu;</w:t>
      </w:r>
    </w:p>
    <w:p w14:paraId="2EFCE902" w14:textId="77777777" w:rsidR="00BA16C1" w:rsidRPr="0010258B" w:rsidRDefault="00BA16C1" w:rsidP="000F1F04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b/>
          <w:sz w:val="22"/>
          <w:szCs w:val="22"/>
        </w:rPr>
      </w:pPr>
    </w:p>
    <w:p w14:paraId="27B5E0DD" w14:textId="25C3A8D1" w:rsidR="00BA16C1" w:rsidRPr="00BD0EE8" w:rsidRDefault="00F9102F" w:rsidP="00F9102F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Ftehim</w:t>
      </w:r>
      <w:r>
        <w:rPr>
          <w:rFonts w:ascii="Arial" w:hAnsi="Arial"/>
          <w:sz w:val="22"/>
        </w:rPr>
        <w:t>: il-ftehim kollu li l-MCC-AI-Light, bħala skeda, jagħmlu parti integrali minnu;</w:t>
      </w:r>
    </w:p>
    <w:p w14:paraId="6810F943" w14:textId="77777777" w:rsidR="00F9102F" w:rsidRPr="00BD0EE8" w:rsidRDefault="00F9102F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078047DE" w14:textId="24560FCD" w:rsidR="00BA16C1" w:rsidRPr="00BD0EE8" w:rsidRDefault="00BA16C1" w:rsidP="00F9102F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Sistema tal-IA</w:t>
      </w:r>
      <w:r>
        <w:rPr>
          <w:rFonts w:ascii="Arial" w:hAnsi="Arial"/>
          <w:sz w:val="22"/>
        </w:rPr>
        <w:t>: is-sistema/i tal-IA kif imsemmija fl-</w:t>
      </w:r>
      <w:r>
        <w:rPr>
          <w:rFonts w:ascii="Arial" w:hAnsi="Arial"/>
          <w:b/>
          <w:sz w:val="22"/>
        </w:rPr>
        <w:t>Anness A</w:t>
      </w:r>
      <w:r>
        <w:rPr>
          <w:rFonts w:ascii="Arial" w:hAnsi="Arial"/>
          <w:sz w:val="22"/>
        </w:rPr>
        <w:t xml:space="preserve">, inkluż kwalunkwe verżjoni ġdida tagħha/tagħhom; </w:t>
      </w:r>
    </w:p>
    <w:p w14:paraId="22C6535F" w14:textId="77777777" w:rsidR="00F9102F" w:rsidRPr="00BD0EE8" w:rsidRDefault="00F9102F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5F51D15C" w14:textId="7889CB88" w:rsidR="00BA16C1" w:rsidRPr="00BD0EE8" w:rsidRDefault="007E2E87" w:rsidP="00F9102F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MCC-AI-Light</w:t>
      </w:r>
      <w:r>
        <w:rPr>
          <w:rFonts w:ascii="Arial" w:hAnsi="Arial"/>
          <w:sz w:val="22"/>
        </w:rPr>
        <w:t>: dawn il-klawżoli kuntrattwali standard għall-akkwist tal-intelliġenza artifiċjali mingħajr riskju għoli minn organizzazzjonijiet pubbliċi;</w:t>
      </w:r>
    </w:p>
    <w:p w14:paraId="6ECC944B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60D99BB9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Settijiet ta’ Data tal-Organizzazzjoni Pubblika</w:t>
      </w:r>
      <w:r>
        <w:rPr>
          <w:rFonts w:ascii="Arial" w:hAnsi="Arial"/>
          <w:sz w:val="22"/>
        </w:rPr>
        <w:t>: is-Settijiet ta’ Data (jew partijiet minnhom) (i) ipprovduti mill-Organizzazzjoni Pubblika lill-Fornitur skont il-Ftehim jew (ii) li għandhom jinħolqu jew jinġabru bħala parti mill-Ftehim, inkluż kwalunkwe verżjoni mmodifikata jew estiża tas-Settijiet ta’ Data msemmija f’(i) u (ii) (pereżempju minħabba l-annotazzjoni, it-tikkettar, it-tisħiħ, l-arrikkiment jew l-aggregazzjoni);</w:t>
      </w:r>
    </w:p>
    <w:p w14:paraId="691622B9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1737F83A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Settijiet ta’ Data</w:t>
      </w:r>
      <w:r>
        <w:rPr>
          <w:rFonts w:ascii="Arial" w:hAnsi="Arial"/>
          <w:sz w:val="22"/>
        </w:rPr>
        <w:t>: is-settijiet ta’ data kollha użati fl-iżvilupp tas-Sistema tal-IA, inkluż is-sett ta’ data jew is-settijiet ta’ data kif deskritti fl-</w:t>
      </w:r>
      <w:r>
        <w:rPr>
          <w:rFonts w:ascii="Arial" w:hAnsi="Arial"/>
          <w:b/>
          <w:sz w:val="22"/>
        </w:rPr>
        <w:t>Anness B</w:t>
      </w:r>
      <w:r>
        <w:rPr>
          <w:rFonts w:ascii="Arial" w:hAnsi="Arial"/>
          <w:sz w:val="22"/>
        </w:rPr>
        <w:t>;</w:t>
      </w:r>
    </w:p>
    <w:p w14:paraId="3B97DE58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93A91C0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Implimentazzjoni</w:t>
      </w:r>
      <w:r>
        <w:rPr>
          <w:rFonts w:ascii="Arial" w:hAnsi="Arial"/>
          <w:sz w:val="22"/>
        </w:rPr>
        <w:t>: il-ħin li fih il-Fornitur jinforma lill-Organizzazzjoni Pubblika li s-Sistema tal-IA tissodisfa l-kundizzjonijiet kollha miftiehma u tkun lesta għall-użu;</w:t>
      </w:r>
    </w:p>
    <w:p w14:paraId="6F9EE48A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36F653EF" w14:textId="14BD4336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Għan Maħsub</w:t>
      </w:r>
      <w:r>
        <w:rPr>
          <w:rFonts w:ascii="Arial" w:hAnsi="Arial"/>
          <w:sz w:val="22"/>
        </w:rPr>
        <w:t>: l-użu li għalih tkun maħsuba Sistema tal-IA mill-Organizzazzjoni Pubblika, inkluż il-kuntest u l-kundizzjonijiet speċifiċi tal-użu, kif speċifikat fl-Anness B, l-informazzjoni pprovduta mill-Fornitur fl-istruzzjonijiet għall-użu, fil-materjali u fid-dikjarazzjonijiet promozzjonali jew tal-bejgħ kif ukoll fid-dokumentazzjoni teknika;</w:t>
      </w:r>
    </w:p>
    <w:p w14:paraId="4806D39B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667EBE4" w14:textId="59520662" w:rsidR="001A7E3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Użu Ħażin Raġonevolment Prevedibbli</w:t>
      </w:r>
      <w:r>
        <w:rPr>
          <w:rFonts w:ascii="Arial" w:hAnsi="Arial"/>
          <w:color w:val="000000"/>
          <w:sz w:val="22"/>
          <w:shd w:val="clear" w:color="auto" w:fill="FFFFFF"/>
        </w:rPr>
        <w:t>: l-użu tas-Sistema tal-IA b’mod li ma jkunx f’konformità mal-Għan Maħsub tagħha, iżda li jista’ jirriżulta minn imġiba tal-bniedem jew interazzjoni ma’ sistemi oħrajn raġonevolment prevedibbli; inklużi sistemi oħra tal-IA;</w:t>
      </w:r>
    </w:p>
    <w:p w14:paraId="4E23BE9E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225FB3B8" w14:textId="35856D7F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Modifika Sostanzjali</w:t>
      </w:r>
      <w:r>
        <w:rPr>
          <w:rFonts w:ascii="Arial" w:hAnsi="Arial"/>
          <w:sz w:val="22"/>
        </w:rPr>
        <w:t>: bidla fis-Sistema tal-IA wara l-Implimentazzjoni li taffettwa l-konformità tas-Sistema tal-IA mar-rekwiżiti stabbiliti f’dawn l-MCC-AI-Light jew tirriżulta f’modifika fl-Għan Maħsub;</w:t>
      </w:r>
    </w:p>
    <w:p w14:paraId="611DEB06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4C7E666C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sz w:val="22"/>
          <w:u w:val="single"/>
        </w:rPr>
        <w:t>Fornitur</w:t>
      </w:r>
      <w:r>
        <w:rPr>
          <w:rFonts w:ascii="Arial" w:hAnsi="Arial"/>
          <w:sz w:val="22"/>
        </w:rPr>
        <w:t>: il-p</w:t>
      </w:r>
      <w:r>
        <w:rPr>
          <w:rFonts w:ascii="Arial" w:hAnsi="Arial"/>
          <w:color w:val="000000"/>
          <w:sz w:val="22"/>
          <w:shd w:val="clear" w:color="auto" w:fill="FFFFFF"/>
        </w:rPr>
        <w:t>ersuna fiżika jew ġuridika, l-awtorità pubblika, l-aġenzija jew korp ieħor li jforni s-Sistema tal-IA lill-Organizzazzjoni Pubblika skont il-Ftehim;</w:t>
      </w:r>
    </w:p>
    <w:p w14:paraId="260D879C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282C0923" w14:textId="5AC68191" w:rsidR="00BA16C1" w:rsidRPr="00BD0EE8" w:rsidRDefault="00BA16C1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lastRenderedPageBreak/>
        <w:t>Settijiet ta’ Data tal-Fornituri u Settijiet ta’ Data ta’ Partijiet Terzi</w:t>
      </w:r>
      <w:r>
        <w:rPr>
          <w:rFonts w:ascii="Arial" w:hAnsi="Arial"/>
          <w:sz w:val="22"/>
        </w:rPr>
        <w:t>: is-Settijiet ta’ Data (jew partijiet minnhom) li ma jikkwalifikawx bħala Settijiet ta’ Data ta’ Organizzazzjoni Pubblika.</w:t>
      </w:r>
    </w:p>
    <w:p w14:paraId="3C675DA1" w14:textId="77777777" w:rsidR="00BA16C1" w:rsidRPr="00BD0EE8" w:rsidRDefault="00BA16C1" w:rsidP="00BA16C1">
      <w:pPr>
        <w:pStyle w:val="doBullets1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47FC220" w14:textId="77777777" w:rsidR="006B28C0" w:rsidRPr="00BD0EE8" w:rsidRDefault="006B28C0" w:rsidP="00BA16C1">
      <w:pPr>
        <w:pStyle w:val="doBullets1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4474142" w14:textId="77777777" w:rsidR="00BA16C1" w:rsidRPr="00BD0EE8" w:rsidRDefault="00BA16C1" w:rsidP="00BA16C1">
      <w:pPr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t xml:space="preserve">Taqsima B – Rekwiżiti essenzjali fir-rigward tas-sistema tal-IA </w:t>
      </w:r>
    </w:p>
    <w:p w14:paraId="0C9F4F94" w14:textId="77777777" w:rsidR="00592294" w:rsidRPr="00BD0EE8" w:rsidRDefault="00592294" w:rsidP="000F1F04">
      <w:pPr>
        <w:pStyle w:val="doLijstnummering7"/>
        <w:numPr>
          <w:ilvl w:val="0"/>
          <w:numId w:val="0"/>
        </w:numPr>
        <w:ind w:left="851"/>
        <w:rPr>
          <w:rFonts w:ascii="Arial" w:hAnsi="Arial"/>
          <w:sz w:val="22"/>
        </w:rPr>
      </w:pPr>
    </w:p>
    <w:p w14:paraId="56BCA8FF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Sistema ta’ ġestjoni tar-riskju</w:t>
      </w:r>
    </w:p>
    <w:p w14:paraId="1EAC1C60" w14:textId="77777777" w:rsidR="00592294" w:rsidRPr="00BD0EE8" w:rsidRDefault="00592294" w:rsidP="00592294">
      <w:pPr>
        <w:rPr>
          <w:rFonts w:ascii="Arial" w:hAnsi="Arial" w:cs="Arial"/>
          <w:b/>
          <w:i/>
          <w:sz w:val="22"/>
          <w:szCs w:val="22"/>
        </w:rPr>
      </w:pPr>
    </w:p>
    <w:p w14:paraId="4BC94B44" w14:textId="0C658F1D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li, qabel l-Implimentazzjoni tas-Sistema tal-IA, </w:t>
      </w:r>
      <w:r>
        <w:rPr>
          <w:rFonts w:ascii="Arial" w:hAnsi="Arial"/>
          <w:color w:val="000000"/>
          <w:sz w:val="22"/>
          <w:shd w:val="clear" w:color="auto" w:fill="FFFFFF"/>
        </w:rPr>
        <w:t>tiġi stabbilita, implimentata, dokumentata u miżmuma sistema ta’ ġestjoni tar-riskju fir-rigward tas-Sistema tal-IA.</w:t>
      </w:r>
      <w:r>
        <w:rPr>
          <w:rFonts w:ascii="Arial" w:hAnsi="Arial"/>
          <w:sz w:val="22"/>
        </w:rPr>
        <w:t xml:space="preserve"> </w:t>
      </w:r>
    </w:p>
    <w:p w14:paraId="045958FB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Is-sistema ta’ ġestjoni tar-riskju għandha tkopri mill-inqas il-passi li ġejjin:</w:t>
      </w:r>
    </w:p>
    <w:p w14:paraId="72B75086" w14:textId="1C7E6638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l-identifikazzjoni, l-istima u l-evalwazzjoni tar-riskji magħrufa u raġonevolment prevedibbli li s-Sistema tal-IA tista’ toħloq għas-saħħa, għas-sikurezza jew għad-drittijiet fundamentali meta s-Sistema tal-IA tintuża f’konformità mal-Għan Maħsub;</w:t>
      </w:r>
    </w:p>
    <w:p w14:paraId="7D991F7C" w14:textId="06BD4879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/>
          <w:color w:val="000000"/>
          <w:sz w:val="22"/>
          <w:shd w:val="clear" w:color="auto" w:fill="FFFFFF"/>
        </w:rPr>
      </w:pPr>
      <w:r>
        <w:rPr>
          <w:rFonts w:ascii="Arial" w:hAnsi="Arial"/>
          <w:color w:val="000000"/>
          <w:sz w:val="22"/>
          <w:shd w:val="clear" w:color="auto" w:fill="FFFFFF"/>
        </w:rPr>
        <w:t>l-istima u l-evalwazzjoni tar-riskji li jistgħu jitfaċċaw meta s-Sistema tal-IA tintuża f’konformità mal-Għan Maħsub u skont il-kundizzjonijiet ta’ Użu Ħażin Raġonevolment Prevedibbli;</w:t>
      </w:r>
    </w:p>
    <w:p w14:paraId="7659CD28" w14:textId="0003832F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l-evalwazzjoni ta’ riskji oħra li possibbilment jinħolqu, abbażi tal-analiżi tad-data miġbura mis-sistema ta’ monitoraġġ ta’ wara t-tqegħid fis-suq;</w:t>
      </w:r>
    </w:p>
    <w:p w14:paraId="6E207422" w14:textId="438E5D80" w:rsidR="00592294" w:rsidRPr="00360601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l-adozzjoni ta’ miżuri xierqa u mmirati ta’ ġestjoni tar-riskju mfassla sabiex jindirizzaw ir-riskji identifikati skont il-punt (a) ta’ dan il-paragrafu f’konformità mad-dispożizzjonijiet tal-paragrafi li ġejjin.</w:t>
      </w:r>
    </w:p>
    <w:p w14:paraId="6E143F40" w14:textId="77777777" w:rsidR="00592294" w:rsidRPr="00360601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Ir-riskji msemmija f’dan l-Artikolu għandhom jikkonċernaw biss dawk li jistgħu jitnaqqsu jew jiġi eliminati b’mod raġonevoli</w:t>
      </w:r>
    </w:p>
    <w:p w14:paraId="7E3C2284" w14:textId="2900A4A9" w:rsidR="00A20CA4" w:rsidRDefault="00592294" w:rsidP="00A20CA4">
      <w:pPr>
        <w:pStyle w:val="doLijstnummering7"/>
        <w:numPr>
          <w:ilvl w:val="0"/>
          <w:numId w:val="0"/>
        </w:numPr>
        <w:ind w:left="706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permezz tal-iżvilupp jew id-disinn tas-Sistema tal-IA jew il-provvista ta’ informazzjoni teknika adegwata. </w:t>
      </w:r>
    </w:p>
    <w:p w14:paraId="7FC684A7" w14:textId="151B7D6B" w:rsidR="00442824" w:rsidRPr="00BD0EE8" w:rsidRDefault="00442824" w:rsidP="00A20CA4">
      <w:pPr>
        <w:pStyle w:val="doLijstnummering7"/>
        <w:numPr>
          <w:ilvl w:val="1"/>
          <w:numId w:val="6"/>
        </w:numPr>
        <w:ind w:left="706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Ir-riskji msemmija f’dan l-Artikolu għandhom iqisu kif xieraq l-effetti u l-interazzjoni possibbli li jirriżultaw mill-applikazzjoni kkombinata tar-rekwiżiti stabbiliti fit-Taqsima B, bil-ħsieb li jiġu minimizzati r-riskji b’mod aktar effettiv filwaqt li jinkiseb bilanċ xieraq fl-implimentazzjoni tal-miżuri biex jiġu ssodisfati dawk ir-rekwiżiti.</w:t>
      </w:r>
    </w:p>
    <w:p w14:paraId="2A48B261" w14:textId="32DDA1EB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Il-miżuri ta’ ġestjoni tar-riskju msemmija fil-paragrafu 2.2, il-punt (d) għandhom ikunu tali li r-riskji residwi rilevanti assoċjati ma’ kull periklu kif ukoll ir-riskju residwu ġenerali tas-Sistema tal-IA jiġu ġġudikati bħala aċċettabbli mill-Fornitur, dment li s-Sistema tal-IA tintuża f’konformità mal-Għan Maħsub jew skont il-kundizzjonijiet ta’ Użu Ħażin Raġonevolment Prevedibbli.</w:t>
      </w:r>
    </w:p>
    <w:p w14:paraId="41EFEB6F" w14:textId="7B997B66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Fl-identifikazzjoni tal-aktar miżuri xierqa ta’ ġestjoni tar-riskju msemmija fil-paragrafu 2.2, il-punt (d), għandu jiġi żgurat dan li ġej:</w:t>
      </w:r>
    </w:p>
    <w:p w14:paraId="2C27E402" w14:textId="4A1FFFC0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l-eliminazzjoni jew it-tnaqqis tar-riskji identifikati u evalwati skont il-paragrafu 2.2 sa fejn ikun teknikament fattibbli permezz ta’ disinn u żvilupp adegwati tas-Sistema tal-IA;</w:t>
      </w:r>
    </w:p>
    <w:p w14:paraId="1162DCAC" w14:textId="48A340CA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fejn xieraq, l-implimentazzjoni ta’ miżuri adegwati ta’ mitigazzjoni u ta’ kontroll li jindirizzaw ir-riskji li ma jistgħux jiġu eliminati;</w:t>
      </w:r>
    </w:p>
    <w:p w14:paraId="18B871F4" w14:textId="39F96FA2" w:rsidR="00592294" w:rsidRPr="00BD0EE8" w:rsidRDefault="00592294" w:rsidP="006A54AF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lastRenderedPageBreak/>
        <w:t>il-provvista ta’ informazzjoni adegwata lill-Organizzazzjoni Pubblika u, jekk applikabbli, taħriġ lill-implimentaturi.</w:t>
      </w:r>
    </w:p>
    <w:p w14:paraId="76F84B58" w14:textId="65754BA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Il-Fornitur jiżgura li, qabel l-Implimentazzjoni tas-Sistema tal-IA, is-Sistema tal-IA tiġi ttestjata biex jiġi identifikat jekk is-Sistema tal-IA tikkonformax mal-MCC-AI-Light u jekk il-miżuri ta’ ġestjoni tar-riskju msemmija fil-paragrafu 2.2, il-punt (d) humiex effettivi fid-dawl tal-Għan Maħsub u l-</w:t>
      </w:r>
      <w:r>
        <w:rPr>
          <w:rFonts w:ascii="Arial" w:hAnsi="Arial"/>
          <w:sz w:val="22"/>
        </w:rPr>
        <w:t>Użu Ħażin Raġonevolment Prevedibbli</w:t>
      </w:r>
      <w:r>
        <w:rPr>
          <w:rFonts w:ascii="Arial" w:hAnsi="Arial"/>
          <w:sz w:val="22"/>
          <w:bdr w:val="none" w:sz="0" w:space="0" w:color="auto" w:frame="1"/>
        </w:rPr>
        <w:t xml:space="preserve">. Jekk mitlub mill-Organizzazzjoni Pubblika, il-Fornitur huwa obbligat li jittestja s-Sistema tal-IA fl-ambjent tal-Organizzazzjoni Pubblika. </w:t>
      </w:r>
    </w:p>
    <w:p w14:paraId="2E6F6788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L-ittestjar tas-Sistema tal-IA għandu jitwettaq, kif xieraq, fi kwalunkwe ħin matul il-proċess ta’ żvilupp, u, fi kwalunkwe każ, qabel l-Implimentazzjoni. L-ittestjar għandu jitwettaq skont metriċi definiti minn qabel u limiti probabilistiċi li huma xierqa għall-Għan Maħsub tas-Sistema tal-IA.</w:t>
      </w:r>
    </w:p>
    <w:p w14:paraId="02E389ED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Ir-riskji identifikati, il-miżuri meħuda u t-testijiet imwettqa kollha fil-kuntest tal-konformità ma’ dan l-Artikolu jridu jiġu ddokumentati mill-Fornitur. Il-Fornitur jeħtieġlu jagħmel din id-dokumentazzjoni disponibbli lill-Organizzazzjoni Pubblika mill-inqas fil-ħin tal-Implimentazzjoni tas-Sistema tal-IA. Din id-dokumentazzjoni tista’ tkun parti mid-dokumentazzjoni teknika u/jew mill-istruzzjonijiet għall-użu.</w:t>
      </w:r>
    </w:p>
    <w:p w14:paraId="6E2F0171" w14:textId="07335716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Is-sistema ta’ ġestjoni tar-riskju għandha tinftiehem bħala proċess kontinwu u iterattiv ippjanat u li jopera matul id-durata kollha tal-Ftehim. Wara l-Implimentazzjoni tas-Sistema tal-IA, il-Fornitur jeħtieġlu għalhekk:</w:t>
      </w:r>
    </w:p>
    <w:p w14:paraId="1C573CAC" w14:textId="3BB27BD4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jirrieżamina u jaġġorna regolarment il-proċess ta’ ġestjoni tar-riskju sabiex jiżgura l-effettività kontinwa tiegħu; </w:t>
      </w:r>
    </w:p>
    <w:p w14:paraId="59BF5D30" w14:textId="59DD804C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iżomm id-dokumentazzjoni deskritta fl-Artikolu 2.7 </w:t>
      </w:r>
      <w:r>
        <w:rPr>
          <w:rFonts w:ascii="Arial" w:hAnsi="Arial"/>
          <w:sz w:val="22"/>
        </w:rPr>
        <w:t>aġġornata</w:t>
      </w:r>
      <w:r>
        <w:rPr>
          <w:rFonts w:ascii="Arial" w:hAnsi="Arial"/>
          <w:sz w:val="22"/>
          <w:bdr w:val="none" w:sz="0" w:space="0" w:color="auto" w:frame="1"/>
        </w:rPr>
        <w:t>; u</w:t>
      </w:r>
    </w:p>
    <w:p w14:paraId="1D66D7F3" w14:textId="218FBE5A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jagħmel kull verżjoni ġdida tad-dokumentazzjoni deskritta fl-Artikolu 2.7 disponibbli lill-Organizzazzjoni Pubblika mingħajr dewmien.</w:t>
      </w:r>
    </w:p>
    <w:p w14:paraId="0D775322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Jekk ikun raġonevolment meħtieġ għall-eżekuzzjoni xierqa tas-sistema ta’ ġestjoni tar-riskju mill-Fornitur, l-Organizzazzjoni Pubblika tipprovdi informazzjoni lill-Fornitur, fuq talba, sa fejn dan ma jkunx ta’ natura kunfidenzjali.</w:t>
      </w:r>
    </w:p>
    <w:p w14:paraId="35BCE843" w14:textId="2748D346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b/>
          <w:sz w:val="22"/>
          <w:bdr w:val="none" w:sz="0" w:space="0" w:color="auto" w:frame="1"/>
        </w:rPr>
        <w:t>&lt;fakultattiv&gt;</w:t>
      </w:r>
      <w:r>
        <w:rPr>
          <w:rFonts w:ascii="Arial" w:hAnsi="Arial"/>
          <w:sz w:val="22"/>
          <w:bdr w:val="none" w:sz="0" w:space="0" w:color="auto" w:frame="1"/>
        </w:rPr>
        <w:t xml:space="preserve"> Jekk l-użu mill-Organizzazzjoni Pubblika tas-Sistema tal-IA jkompli wara t-terminu tal-Ftehim, fi tmiem it-terminu tal-Ftehim, il-Fornitur għandu jipprovdi lill-Organizzazzjoni Pubblika l-informazzjoni meħtieġa sabiex tieħu ħsieb is-sistema ta’ ġestjoni tar-riskju waħedha.</w:t>
      </w:r>
    </w:p>
    <w:p w14:paraId="5FA05E58" w14:textId="3D9BBF3D" w:rsidR="00E0118B" w:rsidRPr="00BD0EE8" w:rsidRDefault="00E0118B" w:rsidP="004169B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Cs/>
          <w:sz w:val="22"/>
          <w:szCs w:val="22"/>
          <w:bdr w:val="none" w:sz="0" w:space="0" w:color="auto" w:frame="1"/>
        </w:rPr>
      </w:pPr>
    </w:p>
    <w:p w14:paraId="1EBF1F59" w14:textId="77777777" w:rsidR="00E0118B" w:rsidRPr="00BD0EE8" w:rsidRDefault="00E0118B" w:rsidP="004169B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Cs/>
          <w:sz w:val="22"/>
          <w:szCs w:val="22"/>
          <w:bdr w:val="none" w:sz="0" w:space="0" w:color="auto" w:frame="1"/>
        </w:rPr>
      </w:pPr>
    </w:p>
    <w:p w14:paraId="2B2732ED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 w:hanging="851"/>
      </w:pPr>
    </w:p>
    <w:p w14:paraId="19D966BF" w14:textId="72794A13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&lt;L-Artikolu 3 huwa rilevanti biss għas-Sistemi tal-IA li jagħmlu użu minn tekniki li jinvolvu t-taħriġ ta’ mudelli bid-data. L-Artikolu 3 jippresupponi li l-Fornitur (jew is-sottokuntratturi tiegħu) għandu (għandhom) aċċess sħiħ għas-Settijiet ta’ Data. Jekk is-Settijiet ta’ Data jinżammu esklużivament mill-Organizzazzjoni Pubblika, huwa meħtieġ li jsiru arranġamenti oħrajn.&gt;</w:t>
      </w:r>
      <w:r>
        <w:rPr>
          <w:rFonts w:ascii="Arial" w:hAnsi="Arial"/>
          <w:sz w:val="22"/>
        </w:rPr>
        <w:t xml:space="preserve"> Data u governanza tad-data</w:t>
      </w:r>
    </w:p>
    <w:p w14:paraId="44476D27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3333AC0" w14:textId="7B5A894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s-Settijiet ta’ Data użati fl-iżvilupp tas-Sistema tal-IA, inkluż it-taħriġ, il-validazzjoni u l-ittestjar, kienu u għandhom ikunu soġġetti għal prattiki ta’ </w:t>
      </w:r>
      <w:r>
        <w:rPr>
          <w:rFonts w:ascii="Arial" w:hAnsi="Arial"/>
          <w:sz w:val="22"/>
        </w:rPr>
        <w:lastRenderedPageBreak/>
        <w:t>governanza u ġestjoni tad-data xierqa għall-Għan Maħsub tas-Sistema tal-IA. Dawk il-miżuri għandhom jikkonċernaw b’mod partikolari:</w:t>
      </w:r>
    </w:p>
    <w:p w14:paraId="5F619976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l-għażliet ta’ disinn rilevanti;</w:t>
      </w:r>
    </w:p>
    <w:p w14:paraId="3E49292C" w14:textId="6962624B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il-proċessi tal-ġbir ta’ data u l-oriġini tad-data, u fil-każ ta’ data personali, l-fini oriġinali tal-ġbir ta’ data;</w:t>
      </w:r>
    </w:p>
    <w:p w14:paraId="17BD5DA5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it-tħejjija tad-data rilevanti għall-operazzjonijiet tal-ipproċessar, bħall-annotazzjoni, it-tikkettar, it-tindif, l-aġġornament, it-tisħiħ u l-aggregazzjoni;</w:t>
      </w:r>
    </w:p>
    <w:p w14:paraId="56BE428E" w14:textId="0DB3B9D0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il-formulazzjoni ta’ suppożizzjonijiet, b’mod partikolari fir-rigward tal-informazzjoni li d-data mistennija li tkejjel u tirrappreżenta;</w:t>
      </w:r>
    </w:p>
    <w:p w14:paraId="5C0C2397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valutazzjoni tad-disponibbiltà, tal-kwantità u tal-adegwatezza tas-settijiet ta’ data li huma meħtieġa;</w:t>
      </w:r>
    </w:p>
    <w:p w14:paraId="58BE482C" w14:textId="73E98AE6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l-eżami fid-dawl ta’ preġudizzji possibbli li x’aktarx jaffettwaw is-saħħa u s-sikurezza tal-persuni, ikollhom impatt negattiv fuq id-drittijiet fundamentali jew iwasslu għal diskriminazzjoni pprojbita skont id-dritt tal-Unjoni, speċjalment fejn l-outputs tad-data jinfluwenzaw l-inputs għal operazzjonijiet futuri;</w:t>
      </w:r>
    </w:p>
    <w:p w14:paraId="16E3A48A" w14:textId="618296FC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xierqa għall-identifikazzjoni, il-prevenzjoni u l-mitigazzjoni tal-preġudizzji possibbli identifikati skont il-punt (f);</w:t>
      </w:r>
    </w:p>
    <w:p w14:paraId="362C12D5" w14:textId="69E71E15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l-identifikazzjoni ta’ lakuni jew nuqqasijiet rilevanti fid-data li jipprevjenu l-konformità ma’ dawn l-MCC-AI-Light, u kif dawk il-lakuni u n-nuqqasijiet jistgħu jiġu indirizzati.</w:t>
      </w:r>
    </w:p>
    <w:p w14:paraId="53DB40E8" w14:textId="629083BE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s-Settijiet ta’ Data użati fl-iżvilupp tas-Sistema tal-IA </w:t>
      </w:r>
      <w:r>
        <w:rPr>
          <w:rFonts w:ascii="Arial" w:hAnsi="Arial"/>
          <w:sz w:val="22"/>
          <w:bdr w:val="none" w:sz="0" w:space="0" w:color="auto" w:frame="1"/>
        </w:rPr>
        <w:t xml:space="preserve">jkunu rilevanti, rappreżentattivi biżżejjed </w:t>
      </w:r>
      <w:r>
        <w:rPr>
          <w:rFonts w:ascii="Arial" w:hAnsi="Arial"/>
          <w:sz w:val="22"/>
        </w:rPr>
        <w:t>u, sa fejn ikun possibbli,</w:t>
      </w:r>
      <w:r>
        <w:rPr>
          <w:rFonts w:ascii="Arial" w:hAnsi="Arial"/>
          <w:sz w:val="22"/>
          <w:bdr w:val="none" w:sz="0" w:space="0" w:color="auto" w:frame="1"/>
        </w:rPr>
        <w:t xml:space="preserve"> mingħajr żbalji u kompluti fid-dawl tal-Għan Maħsub. Il-Fornitur jiżgura li s-Settijiet ta’ Data jkollhom il-proprjetajiet statistiċi xierqa, inkluż, meta applikabbli, fir-rigward tal-persuni jew il-gruppi ta’ persuni li fir-rigward tagħhom tkun maħsuba li tintuża s-Sistema tal-IA. Dawn il-karatteristiċi tas-Settijiet ta’ Data għandhom jiġu ssodisfati fil-livell ta’ settijiet ta’ data individwali jew ta’ taħlita tagħhom.</w:t>
      </w:r>
    </w:p>
    <w:p w14:paraId="1D55E1B8" w14:textId="1B8F9DCA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s-Settijiet ta’ Data użati fl-iżvilupp tas-Sistema tal-IA </w:t>
      </w:r>
      <w:r>
        <w:rPr>
          <w:rFonts w:ascii="Arial" w:hAnsi="Arial"/>
          <w:sz w:val="22"/>
          <w:bdr w:val="none" w:sz="0" w:space="0" w:color="auto" w:frame="1"/>
        </w:rPr>
        <w:t>jqisu, sa fejn ikun meħtieġ mill-Għan Maħsub jew mill-Użu Ħażin Raġonevolment Prevedibbli, il-karatteristiċi jew l-elementi li huma partikolari għall-ambjent ġeografiku, kuntestwali, tal-imġiba jew funzjonali speċifiku li fih tkun maħsuba li tintuża s-Sistema tal-IA.</w:t>
      </w:r>
    </w:p>
    <w:p w14:paraId="02C116BB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L-obbligi skont dan l-Artikolu japplikaw mhux biss għall-iżvilupp tas-Sistema tal-IA qabel l-Implimentazzjoni, iżda wkoll għal kwalunkwe użu ta’ Settijiet ta’ Data mill-Fornitur li jista’ jaffettwa l-funzjonament tas-Sistema tal-IA fi kwalunkwe ħin ieħor matul it-terminu tal-Ftehim.</w:t>
      </w:r>
    </w:p>
    <w:p w14:paraId="4491B0F7" w14:textId="77777777" w:rsidR="00592294" w:rsidRPr="00BD0EE8" w:rsidRDefault="00592294" w:rsidP="000F1F04">
      <w:pPr>
        <w:rPr>
          <w:rFonts w:ascii="Arial" w:hAnsi="Arial"/>
          <w:sz w:val="22"/>
        </w:rPr>
      </w:pPr>
    </w:p>
    <w:p w14:paraId="243ED3F1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Dokumentazzjoni teknika u struzzjonijiet għall-użu</w:t>
      </w:r>
    </w:p>
    <w:p w14:paraId="195597B9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3AA5F84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</w:t>
      </w:r>
      <w:r>
        <w:rPr>
          <w:rFonts w:ascii="Arial" w:hAnsi="Arial"/>
          <w:sz w:val="22"/>
          <w:bdr w:val="none" w:sz="0" w:space="0" w:color="auto" w:frame="1"/>
        </w:rPr>
        <w:t xml:space="preserve">Implimentazzjoni </w:t>
      </w:r>
      <w:r>
        <w:rPr>
          <w:rFonts w:ascii="Arial" w:hAnsi="Arial"/>
          <w:sz w:val="22"/>
        </w:rPr>
        <w:t>tas-Sistema tal-IA mill-Fornitur tinkludi t-trasferiment tad-dokumentazzjoni teknika u l-istruzzjonijiet għall-użu.</w:t>
      </w:r>
    </w:p>
    <w:p w14:paraId="3A1EED1F" w14:textId="6684C8CE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Id-dokumentazzjoni teknika trid tippermetti lill-Organizzazzjoni Pubblika jew lil parti terza tivvaluta l-konformità tas-Sistema tal-IA mad-dispożizzjonijiet tar-rekwiżiti stabbiliti f’dawn l-MCC-AI-Light u mill-inqas tissodisfa l-kundizzjonijiet deskritti fl-</w:t>
      </w:r>
      <w:r>
        <w:rPr>
          <w:rFonts w:ascii="Arial" w:hAnsi="Arial"/>
          <w:b/>
          <w:sz w:val="22"/>
        </w:rPr>
        <w:t>Anness C</w:t>
      </w:r>
      <w:r>
        <w:rPr>
          <w:rFonts w:ascii="Arial" w:hAnsi="Arial"/>
          <w:sz w:val="22"/>
        </w:rPr>
        <w:t xml:space="preserve">. </w:t>
      </w:r>
    </w:p>
    <w:p w14:paraId="4F7B9182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 xml:space="preserve">L-istruzzjonijiet għall-użu għandhom jinkludu </w:t>
      </w:r>
      <w:r>
        <w:rPr>
          <w:rFonts w:ascii="Arial" w:hAnsi="Arial"/>
          <w:color w:val="000000"/>
          <w:sz w:val="22"/>
          <w:shd w:val="clear" w:color="auto" w:fill="FFFFFF"/>
        </w:rPr>
        <w:t>informazzjoni konċiża, kompluta, korretta u ċara li tkun rilevanti, aċċessibbli u li tinftiehem mill-Organizzazzjoni Pubblika. L-istruzzjonijiet għall-użu jridu mill-inqas jissodisfaw il-kundizzjonijiet deskritti fl-</w:t>
      </w:r>
      <w:r>
        <w:rPr>
          <w:rFonts w:ascii="Arial" w:hAnsi="Arial"/>
          <w:b/>
          <w:color w:val="000000"/>
          <w:sz w:val="22"/>
          <w:shd w:val="clear" w:color="auto" w:fill="FFFFFF"/>
        </w:rPr>
        <w:t>Anness D</w:t>
      </w:r>
      <w:r>
        <w:rPr>
          <w:rFonts w:ascii="Arial" w:hAnsi="Arial"/>
          <w:sz w:val="22"/>
        </w:rPr>
        <w:t>.</w:t>
      </w:r>
    </w:p>
    <w:p w14:paraId="5289FA7F" w14:textId="27004A09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jeħtieġlu jaġġorna din id-dokumentazzjoni mill-inqas </w:t>
      </w:r>
      <w:r>
        <w:rPr>
          <w:rFonts w:ascii="Arial" w:hAnsi="Arial"/>
          <w:sz w:val="22"/>
        </w:rPr>
        <w:t>ma’ kull Modifika Sostanzjali matul it-terminu tal-Ftehim</w:t>
      </w:r>
      <w:r>
        <w:rPr>
          <w:rFonts w:ascii="Arial" w:hAnsi="Arial"/>
          <w:sz w:val="22"/>
          <w:bdr w:val="none" w:sz="0" w:space="0" w:color="auto" w:frame="1"/>
        </w:rPr>
        <w:t xml:space="preserve"> u sussegwentement jagħmilha disponibbli għall-Organizzazzjoni Pubblika.</w:t>
      </w:r>
    </w:p>
    <w:p w14:paraId="125BC4EA" w14:textId="23874853" w:rsidR="00592294" w:rsidRPr="00BD0EE8" w:rsidRDefault="00FD051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Id-dokumentazzjoni teknika u l-istruzzjonijiet għall-użu jridu jitfasslu bl-Ingliż.</w:t>
      </w:r>
    </w:p>
    <w:p w14:paraId="659DF243" w14:textId="7CDD0E52" w:rsidR="00592294" w:rsidRPr="00BD0EE8" w:rsidRDefault="00FD051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L-Organizzazzjoni Pubblika għandha d-dritt li tagħmel kopji tad-dokumentazzjoni teknika u tal-istruzzjonijiet għall-użu sa fejn ikun meħtieġ għall-użu intern fl-organizzazzjoni tal-Organizzazzjoni Pubblika, mingħajr preġudizzju għad-dispożizzjonijiet tal-Artikolu 6 u tal-Artikolu 11.</w:t>
      </w:r>
    </w:p>
    <w:p w14:paraId="7763E973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EFFDD4F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Żamma ta’ rekords</w:t>
      </w:r>
    </w:p>
    <w:p w14:paraId="48D9F558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CA5FC0B" w14:textId="7D7BAAD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s-Sistema tal-IA għandha tippermetti teknikament ir-reġistrazzjoni awtomatika tal-avvenimenti (“reġistri”) tul il-ħajja tas-Sistema tal-IA. </w:t>
      </w:r>
    </w:p>
    <w:p w14:paraId="36C33259" w14:textId="70AF2F4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Il-kapaċitajiet tal-reġistrazzjoni għandhom jiżguraw livell ta’ traċċabbiltà tas-Sistema tal-IA li jkun xieraq għall-Għan Maħsub tas-sistema u </w:t>
      </w:r>
      <w:r>
        <w:rPr>
          <w:rFonts w:ascii="Arial" w:hAnsi="Arial"/>
          <w:sz w:val="22"/>
          <w:bdr w:val="none" w:sz="0" w:space="0" w:color="auto" w:frame="1"/>
        </w:rPr>
        <w:t>għall-Użu Ħażin Raġonevolment Prevedibbli</w:t>
      </w:r>
      <w:r>
        <w:rPr>
          <w:rFonts w:ascii="Arial" w:hAnsi="Arial"/>
          <w:sz w:val="22"/>
        </w:rPr>
        <w:t xml:space="preserve">. Huma għandhom jippermettu r-reġistrazzjoni ta’ avvenimenti rilevanti għall-identifikazzjoni ta’ sitwazzjonijiet li jistgħu: </w:t>
      </w:r>
    </w:p>
    <w:p w14:paraId="796F6003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iwasslu biex is-Sistema tal-IA tippreżenta riskju għas-saħħa jew għas-sikurezza jew għall-protezzjoni tad-drittijiet fundamentali tal-persuni; jew </w:t>
      </w:r>
    </w:p>
    <w:p w14:paraId="40C35192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iwasslu għal Modifika Sostanzjali.</w:t>
      </w:r>
    </w:p>
    <w:p w14:paraId="201D18E5" w14:textId="443A01F0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 xml:space="preserve">&lt;fakultattiv&gt; </w:t>
      </w:r>
      <w:r>
        <w:rPr>
          <w:rFonts w:ascii="Arial" w:hAnsi="Arial"/>
          <w:sz w:val="22"/>
        </w:rPr>
        <w:t>Il-Fornitur se jippermetti lill-Organizzazzjoni Pubblika taċċessa r-reġistri ġġenerati awtomatikament mis-Sistema tal-IA fuq bażi ta’ ħin reali.</w:t>
      </w:r>
    </w:p>
    <w:p w14:paraId="1750CE47" w14:textId="77777777" w:rsidR="00592294" w:rsidRPr="00A20CA4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għandu jżomm ir-reġistri ġġenerati awtomatikament mis-Sistema tal-IA, sa fejn tali reġistri jkunu taħt il-kontroll tiegħu abbażi tal-Ftehim, għad-durata tal-Ftehim. Fi tmiem it-terminu tal-Ftehim, il-Fornitur se jipprovdi dawn ir-reġistri lill-Organizzazzjoni Pubblika mingħajr dewmien.</w:t>
      </w:r>
    </w:p>
    <w:p w14:paraId="12063F68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1560" w:hanging="851"/>
        <w:rPr>
          <w:rFonts w:ascii="Arial" w:hAnsi="Arial" w:cs="Arial"/>
          <w:sz w:val="22"/>
          <w:szCs w:val="22"/>
        </w:rPr>
      </w:pPr>
    </w:p>
    <w:p w14:paraId="14BB2272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Trasparenza tas-Sistema tal-IA</w:t>
      </w:r>
    </w:p>
    <w:p w14:paraId="6A252296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DACD705" w14:textId="30F779B3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 xml:space="preserve">Il-Fornitur jiżgura li s-Sistema tal-IA tkun ġiet u għandha tiġi ddisinjata u żviluppata b’tali mod li t-tħaddim tas-Sistema tal-IA jkun trasparenti biżżejjed sabiex l-Organizzazzjoni Pubblika tkun tista’ </w:t>
      </w:r>
      <w:r>
        <w:rPr>
          <w:rFonts w:ascii="Arial" w:hAnsi="Arial"/>
          <w:sz w:val="22"/>
        </w:rPr>
        <w:t>tinterpreta l-output tas-sistema u tużah kif xieraq</w:t>
      </w:r>
      <w:r>
        <w:rPr>
          <w:rFonts w:ascii="Arial" w:hAnsi="Arial"/>
          <w:color w:val="000000"/>
          <w:sz w:val="22"/>
          <w:shd w:val="clear" w:color="auto" w:fill="FFFFFF"/>
        </w:rPr>
        <w:t>.</w:t>
      </w:r>
    </w:p>
    <w:p w14:paraId="7586769D" w14:textId="6B541199" w:rsidR="009F65B8" w:rsidRPr="00BD0EE8" w:rsidRDefault="003A4BBD" w:rsidP="009F65B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Is-Sistema tal-IA għandha tkun akkumpanjata minn struzzjonijiet għall-użu b’format diġitali xieraq jew b’xi mod ieħor li jinkludu informazzjoni konċiża, kompluta, korretta u ċara li tkun rilevanti, aċċessibbli u li tinftiehem mill-Organizzazzjoni Pubblika.</w:t>
      </w:r>
    </w:p>
    <w:p w14:paraId="42816E61" w14:textId="77777777" w:rsidR="009F65B8" w:rsidRPr="00BD0EE8" w:rsidRDefault="009F65B8" w:rsidP="009F65B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L-istruzzjonijiet għall-użu għandu jkun fihom mill-inqas l-informazzjoni li ġejja:</w:t>
      </w:r>
    </w:p>
    <w:p w14:paraId="7A745720" w14:textId="77777777" w:rsidR="009F65B8" w:rsidRPr="00BD0EE8" w:rsidRDefault="009F65B8" w:rsidP="009F65B8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l-identità u d-dettalji ta’ kuntatt tal-Fornitur u, fejn applikabbli, tar-rappreżentant awtorizzat tiegħu;</w:t>
      </w:r>
    </w:p>
    <w:p w14:paraId="5C3F694C" w14:textId="32AB28BD" w:rsidR="009F65B8" w:rsidRPr="00BD0EE8" w:rsidRDefault="009F65B8" w:rsidP="009F65B8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il-karatteristiċi, il-kapaċitajiet u l-limitazzjonijiet tal-prestazzjoni tas-sistema tal-AI, inkluż:</w:t>
      </w:r>
    </w:p>
    <w:p w14:paraId="07B7806C" w14:textId="77777777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>l-għan maħsub tagħha;</w:t>
      </w:r>
    </w:p>
    <w:p w14:paraId="25C673B9" w14:textId="14198663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il-livell ta’ akkuratezza, inkluż il-metriċi, ir-robustezza u ċ-ċibersigurtà tagħha li tkun ġiet ittestjata u vvalidata għalihom is-sistema tal-IA, u li jista’ jkun mistenni, u kwalunkwe ċirkostanza magħrufa u prevedibbli li jista’ jkollha impatt fuq dak il-livell mistenni ta’ akkuratezza, robustezza u ċibersigurtà;</w:t>
      </w:r>
    </w:p>
    <w:p w14:paraId="4952346F" w14:textId="517BC534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kwalunkwe ċirkostanza magħrufa jew prevedibbli relatata mal-użu tas-sistema tal-IA f’konformità mal-għan maħsub tagħha jew skont il-kundizzjonijiet ta’ użu ħażin raġonevolment prevedibbli, li tista’ twassal għal riskji għas-saħħa u s-sikurezza jew għad-drittijiet fundamentali;</w:t>
      </w:r>
    </w:p>
    <w:p w14:paraId="71B250F3" w14:textId="77777777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fejn applikabbli, il-kapaċitajiet u l-karatteristiċi tekniċi tas-sistema tal-IA li tkun provduta informazzjoni li tkun rilevanti biex tispjega l-output tagħha;</w:t>
      </w:r>
    </w:p>
    <w:p w14:paraId="60D8772E" w14:textId="77777777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jkun xieraq, il-prestazzjoni tagħha fir-rigward ta’ persuni speċifiċi jew gruppi ta’ persuni speċifiċi li s-sistema hi maħsuba li tintuża fuqhom;</w:t>
      </w:r>
    </w:p>
    <w:p w14:paraId="6B61181E" w14:textId="13A759B8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jkun xieraq, l-ispeċifikazzjonijiet għad-data tal-input jew kwalunkwe informazzjoni rilevanti oħra f’termini tas-settijiet ta’ data għat-taħriġ, il-validazzjoni u l-ittestjar użati, filwaqt li jitqies l-għan maħsub tas-sistema tal-IA;</w:t>
      </w:r>
    </w:p>
    <w:p w14:paraId="06E73322" w14:textId="6B46AC54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applikabbli, informazzjoni li tippermetti lill-Organizzazzjoni Pubblika tinterpreta l-output tas-sistema tal-IA u tużah kif xieraq;</w:t>
      </w:r>
    </w:p>
    <w:p w14:paraId="6EA1591E" w14:textId="32132C02" w:rsidR="009F65B8" w:rsidRDefault="009F65B8" w:rsidP="009F65B8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il-bidliet fis-sistema tal-IA u l-prestazzjoni tagħha li jkunu ġew iddeterminati minn qabel mill-fornitur fil-mument tal-valutazzjoni tal-konformità inizjali, jekk ikun hemm;</w:t>
      </w:r>
    </w:p>
    <w:p w14:paraId="3D015AD4" w14:textId="77777777" w:rsidR="00414279" w:rsidRDefault="00414279" w:rsidP="0041427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ta’ sorveljanza mill-bniedem, inkluż il-miżuri tekniċi stabbiliti sabiex tiġi ffaċilitata l-interpretazzjoni tal-outputs tas-sistema tal-IA mill-implimentaturi;</w:t>
      </w:r>
    </w:p>
    <w:p w14:paraId="5714FFBB" w14:textId="77777777" w:rsidR="00414279" w:rsidRPr="00414279" w:rsidRDefault="00414279" w:rsidP="0041427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ir-riżorsi komputazzjonali u tal-hardware meħtieġa, it-tul tal-ħajja mistenni tas-sistema tal-IA u kwalunkwe miżura ta’ manutenzjoni u kura meħtieġa, inkluż il-frekwenza tagħhom sabiex jiġi żgurat il-funzjonament xieraq ta’ dik is-sistema tal-IA, inkluż fir-rigward tal-aġġornamenti tas-software;</w:t>
      </w:r>
    </w:p>
    <w:p w14:paraId="5BA38C5D" w14:textId="77777777" w:rsidR="00414279" w:rsidRPr="00414279" w:rsidRDefault="00414279" w:rsidP="0041427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fejn rilevanti, deskrizzjoni tal-mekkaniżmi inklużi fis-sistema tal-IA li tippermetti lill-implimentaturi jiġbru, jaħżnu u jinterpretaw ir-reġistri kif xieraq sabiex jiżguraw trasparenza xierqa qabel l-Implimentazzjoni tas-Sistema tal-IA; </w:t>
      </w:r>
    </w:p>
    <w:p w14:paraId="2C4CA70D" w14:textId="77777777" w:rsidR="00414279" w:rsidRPr="00414279" w:rsidRDefault="00414279" w:rsidP="000968D7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Sabiex tiġi żgurata trasparenza xierqa, qabel il-Konsenja tas-Sistema tal-IA, il-Fornitur għandu tal-inqas jiżviluppa l-miżuri tekniċi u organizzattivi deskritti fl-Anness E.</w:t>
      </w:r>
    </w:p>
    <w:p w14:paraId="13B15A58" w14:textId="77777777" w:rsidR="00414279" w:rsidRPr="00414279" w:rsidRDefault="00414279" w:rsidP="000968D7">
      <w:pPr>
        <w:pStyle w:val="doLijstnummering7"/>
        <w:numPr>
          <w:ilvl w:val="0"/>
          <w:numId w:val="0"/>
        </w:numPr>
        <w:ind w:left="1418"/>
        <w:rPr>
          <w:rFonts w:ascii="Arial" w:hAnsi="Arial" w:cs="Arial"/>
          <w:sz w:val="22"/>
          <w:szCs w:val="22"/>
        </w:rPr>
      </w:pPr>
    </w:p>
    <w:p w14:paraId="08302803" w14:textId="77777777" w:rsidR="00414279" w:rsidRPr="00414279" w:rsidRDefault="00414279" w:rsidP="000968D7">
      <w:pPr>
        <w:pStyle w:val="doLijstnummering7"/>
        <w:numPr>
          <w:ilvl w:val="0"/>
          <w:numId w:val="0"/>
        </w:numPr>
        <w:ind w:left="1418"/>
        <w:rPr>
          <w:rFonts w:ascii="Arial" w:hAnsi="Arial" w:cs="Arial"/>
          <w:sz w:val="22"/>
          <w:szCs w:val="22"/>
        </w:rPr>
      </w:pPr>
    </w:p>
    <w:p w14:paraId="4DAC295D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Sorveljanza mill-bniedem</w:t>
      </w:r>
    </w:p>
    <w:p w14:paraId="60BBA675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9EDAFE5" w14:textId="4CEFCBF5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jiżgura li s-Sistema tal-IA tkun ġiet u għandha tiġi ddisinjata u żviluppata b’tali mod, inkluż b’għodod xierqa ta’ interfaċċa bniedem-magna, li tkun tista’ tiġi ssorveljata b’mod effettiv minn persuni fiżiċi </w:t>
      </w:r>
      <w:r>
        <w:rPr>
          <w:rFonts w:ascii="Arial" w:hAnsi="Arial"/>
          <w:sz w:val="22"/>
        </w:rPr>
        <w:t>matul il-perjodu li fih tkun qed tintuża</w:t>
      </w:r>
      <w:r>
        <w:rPr>
          <w:rFonts w:ascii="Arial" w:hAnsi="Arial"/>
          <w:sz w:val="22"/>
          <w:bdr w:val="none" w:sz="0" w:space="0" w:color="auto" w:frame="1"/>
        </w:rPr>
        <w:t>.</w:t>
      </w:r>
    </w:p>
    <w:p w14:paraId="294CC08F" w14:textId="344D4CAE" w:rsidR="000D00A9" w:rsidRPr="00BD0EE8" w:rsidRDefault="000D00A9" w:rsidP="000D00A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>Is-sorveljanza mill-bniedem għandu jkollha l-għan li tipprevjeni jew timminimizza r-riskji għas-saħħa, għas-sikurezza jew għad-drittijiet fundamentali li jistgħu jitfaċċaw meta sistema tal-IA tintuża f’konformità mal-għan maħsub tagħha jew f’kundizzjonijiet ta’ użu ħażin raġonevolment prevedibbli, meta dawn ir-riskji jippersistu minkejja l-applikazzjoni ta’ rekwiżiti oħra stabbiliti f’din it-Taqsima.</w:t>
      </w:r>
    </w:p>
    <w:p w14:paraId="7A5A6534" w14:textId="14C32E2F" w:rsidR="000D00A9" w:rsidRPr="00BD0EE8" w:rsidRDefault="000D00A9" w:rsidP="000D00A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ta’ sorveljanza għandhom ikunu proporzjonati mar-riskji, il-livell ta’ awtonomija u l-kuntest tal-użu tas-sistema tal-IA u għandhom jiġu żgurati permezz ta’ wieħed mit-tipi ta’ miżuri li ġejjin jew it-tnejn li huma.</w:t>
      </w:r>
    </w:p>
    <w:p w14:paraId="1DB2160E" w14:textId="77777777" w:rsidR="00B61CD1" w:rsidRPr="00B61CD1" w:rsidRDefault="00592294" w:rsidP="00B61CD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Il-Fornitur jiżgura li, qabel l-Implimentazzjoni, għandhom jiġu inkorporati u jittieħdu miżuri xierqa fis-Sistema tal-IA biex tiġi żgurata s-sorveljanza mill-bniedem. Dawn il-miżuri għandhom jiżguraw li l-persuni fiżiċi, li lilhom tiġi assenjata s-sorveljanza mill-bniedem, ikunu jistgħu b’mod xieraq u proporzjonat:</w:t>
      </w:r>
    </w:p>
    <w:p w14:paraId="4E81B26A" w14:textId="5404E47C" w:rsidR="00592294" w:rsidRPr="00BD0EE8" w:rsidRDefault="00592294" w:rsidP="00B61CD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0A67E9F" w14:textId="402F4F5B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jifhmu sew </w:t>
      </w:r>
      <w:r>
        <w:rPr>
          <w:rFonts w:ascii="Arial" w:hAnsi="Arial"/>
          <w:sz w:val="22"/>
          <w:bdr w:val="none" w:sz="0" w:space="0" w:color="auto" w:frame="1"/>
        </w:rPr>
        <w:t>il-kapaċitajiet u l-limitazzjonijiet rilevanti tas-Sistema tal-IA u jkunu jistgħu jimmonitorjaw kif xieraq it-tħaddim tagħha, inkluż bil-ħsieb li jiġu identifikati u indirizzati l-anomaliji, id-disfunzjonijiet u l-prestazzjoni mhux mistennija;</w:t>
      </w:r>
    </w:p>
    <w:p w14:paraId="6E548C1A" w14:textId="535BB165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jibqgħu konxji tat-tendenza possibbli ta’ dipendenza jew dipendenza żejda awtomatika fuq l-output prodott mis-Sistema tal-IA (“preġudizzju tal-awtomatizzazzjoni”), b’mod partikolari, jekk is-Sistema tal-IA tintuża biex tipprovdi informazzjoni jew rakkomandazzjonijiet għal deċiżjonijiet li għandhom jittieħdu minn persuni fiżiċi;</w:t>
      </w:r>
    </w:p>
    <w:p w14:paraId="3C8FA254" w14:textId="64335048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jinterpretaw b’mod korrett l-output tas-Sistema tal-IA, filwaqt li jqisu, pereżempju, b’mod partikolari l-karatteristiċi tas-sistema u l-għodod u l-metodi ta’ interpretazzjoni disponibbli;</w:t>
      </w:r>
    </w:p>
    <w:p w14:paraId="6D53451B" w14:textId="1F9BD0FF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jiddeċiedu, fi kwalunkwe sitwazzjoni partikolari, li ma jużawx is-Sistema tal-IA jew inkella jinjoraw, jipprevalu fuq jew ireġġgħu lura l-output tas-Sistema tal-IA;</w:t>
      </w:r>
    </w:p>
    <w:p w14:paraId="2E8F1FC9" w14:textId="30F3FC34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/>
          <w:sz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jintervjenu fit-tħaddim tas-Sistema tal-IA jew jinterrompu s-sistema permezz ta’ buttuna ta’ “waqfien” jew proċedura simili li tippermetti li s-sistema tieqaf fi stat sikur.</w:t>
      </w:r>
    </w:p>
    <w:p w14:paraId="43C328FA" w14:textId="45DFFE1C" w:rsidR="00592294" w:rsidRPr="00BD0EE8" w:rsidRDefault="00FD051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Sabiex tiġi żgurata sorveljanza xierqa mill-bniedem, il-Fornitur għandu mill-inqas jimplimenta l-miżuri tekniċi u organizzattivi deskritti fl-</w:t>
      </w:r>
      <w:r>
        <w:rPr>
          <w:rFonts w:ascii="Arial" w:hAnsi="Arial"/>
          <w:b/>
          <w:sz w:val="22"/>
        </w:rPr>
        <w:t>Anness F</w:t>
      </w:r>
      <w:r>
        <w:rPr>
          <w:rFonts w:ascii="Arial" w:hAnsi="Arial"/>
          <w:sz w:val="22"/>
        </w:rPr>
        <w:t xml:space="preserve"> qabel l-Implimentazzjoni tas-Sistema tal-IA</w:t>
      </w:r>
      <w:r>
        <w:rPr>
          <w:rFonts w:ascii="Arial" w:hAnsi="Arial"/>
          <w:b/>
          <w:sz w:val="22"/>
        </w:rPr>
        <w:t>.</w:t>
      </w:r>
    </w:p>
    <w:p w14:paraId="20A82561" w14:textId="77777777" w:rsidR="00987CDE" w:rsidRPr="00BD0EE8" w:rsidRDefault="00987CDE" w:rsidP="004169B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107D92F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523BC2A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Akkuratezza, robustezza u ċibersigurtà</w:t>
      </w:r>
    </w:p>
    <w:p w14:paraId="16F653CD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2F9B053" w14:textId="019A00E0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jiżgura li s-Sistema tal-IA ġiet u għandha tiġi ddisinjata u </w:t>
      </w:r>
      <w:r>
        <w:rPr>
          <w:rFonts w:ascii="Arial" w:hAnsi="Arial"/>
          <w:sz w:val="22"/>
        </w:rPr>
        <w:t xml:space="preserve">żviluppata b’tali mod li tikseb livell xieraq ta’ akkuratezza, robustezza, sikurezza u ċibersigurtà, u għandha taħdem b’mod konsistenti f’dawk l-aspetti. </w:t>
      </w:r>
    </w:p>
    <w:p w14:paraId="3FEE1341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Il-livelli ta’ akkuratezza u l-metriċi tal-akkuratezza rilevanti tas-Sistema tal-IA huma deskritti fl-</w:t>
      </w:r>
      <w:r>
        <w:rPr>
          <w:rFonts w:ascii="Arial" w:hAnsi="Arial"/>
          <w:b/>
          <w:sz w:val="22"/>
          <w:bdr w:val="none" w:sz="0" w:space="0" w:color="auto" w:frame="1"/>
        </w:rPr>
        <w:t>Anness G</w:t>
      </w:r>
      <w:r>
        <w:rPr>
          <w:rFonts w:ascii="Arial" w:hAnsi="Arial"/>
          <w:sz w:val="22"/>
          <w:bdr w:val="none" w:sz="0" w:space="0" w:color="auto" w:frame="1"/>
        </w:rPr>
        <w:t>.</w:t>
      </w:r>
    </w:p>
    <w:p w14:paraId="2B6579D0" w14:textId="1780795B" w:rsidR="00592294" w:rsidRPr="00BD0EE8" w:rsidRDefault="000F1F0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>Sabiex jiġi żgurat livell xieraq ta’ robustezza, sikurezza u ċibersigurtà, il-Fornitur għandu jimplimenta mill-inqas il-miżuri tekniċi u organizzattivi deskritti fl-</w:t>
      </w:r>
      <w:r>
        <w:rPr>
          <w:rFonts w:ascii="Arial" w:hAnsi="Arial"/>
          <w:b/>
          <w:sz w:val="22"/>
        </w:rPr>
        <w:t>Anness H</w:t>
      </w:r>
      <w:r>
        <w:rPr>
          <w:rFonts w:ascii="Arial" w:hAnsi="Arial"/>
          <w:sz w:val="22"/>
        </w:rPr>
        <w:t xml:space="preserve"> qabel l-Implimentazzjoni tas-Sistema tal-IA. </w:t>
      </w:r>
    </w:p>
    <w:p w14:paraId="02B8F3D0" w14:textId="77777777" w:rsidR="001657E8" w:rsidRPr="00BD0EE8" w:rsidRDefault="001657E8" w:rsidP="000F1F04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EFED8D5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41D14D07" w14:textId="77777777" w:rsidR="00BA16C1" w:rsidRPr="00BD0EE8" w:rsidRDefault="00BA16C1" w:rsidP="006B28C0">
      <w:pPr>
        <w:pStyle w:val="doLijstnummering7"/>
        <w:tabs>
          <w:tab w:val="clear" w:pos="851"/>
        </w:tabs>
        <w:ind w:left="1418" w:hanging="1418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Konformità</w:t>
      </w:r>
    </w:p>
    <w:p w14:paraId="1584E3E1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626FC84" w14:textId="76C352E3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b/>
          <w:bCs/>
          <w:iCs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Il-Fornitur jeħtieġlu jiżgura li s-</w:t>
      </w:r>
      <w:r>
        <w:rPr>
          <w:rFonts w:ascii="Arial" w:hAnsi="Arial"/>
          <w:sz w:val="22"/>
        </w:rPr>
        <w:t>Sistema</w:t>
      </w:r>
      <w:r>
        <w:rPr>
          <w:rFonts w:ascii="Arial" w:hAnsi="Arial"/>
          <w:sz w:val="22"/>
          <w:bdr w:val="none" w:sz="0" w:space="0" w:color="auto" w:frame="1"/>
        </w:rPr>
        <w:t xml:space="preserve"> tal-IA tikkonforma ma’ dawn l-MCC-AI-Light mill-Implimentazzjoni tas-Sistema tal-IA sa tmiem it-terminu tal-Ftehim.</w:t>
      </w:r>
    </w:p>
    <w:p w14:paraId="40B21C42" w14:textId="4D7419F0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Mal-ewwel talba tal-Organizzazzjoni Pubblika, il-Fornituri jeħtiġilhom jagħmlu disponibbli lill-Organizzazzjoni Pubblika l-informazzjoni kollha meħtieġa biex juru l-konformità ma’ dawn l-MCC-AI-Light.</w:t>
      </w:r>
    </w:p>
    <w:p w14:paraId="0BF2F4AF" w14:textId="7A13EC3E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Jekk matul it-terminu tal-ftehim, il-Fornitur iqis jew ikollu raġuni biex iqis li s-Sistema tal-IA ma tkunx f’konformità ma’ dawn l-MCC-AI-Light, kemm jekk bi tweġiba għal kumment mill-Organizzazzjoni Pubblika kif ukoll jekk le, huwa għandu jieħu l-azzjonijiet korrettivi meħtieġa minnufih sabiex is-sistema ssir konformi. Il-Fornitur għandu jinforma lill-Organizzazzjoni Pubblika kif xieraq.</w:t>
      </w:r>
    </w:p>
    <w:p w14:paraId="02A195D9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BFE691F" w14:textId="695B017B" w:rsidR="00592294" w:rsidRPr="00B61CD1" w:rsidRDefault="00027B87" w:rsidP="00592294">
      <w:pPr>
        <w:pStyle w:val="doLijstnummering7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Valutazzjoni tal-impatt fuq id-drittijiet fundamentali</w:t>
      </w:r>
    </w:p>
    <w:p w14:paraId="3A138216" w14:textId="77777777" w:rsidR="00592294" w:rsidRPr="00B61CD1" w:rsidRDefault="00592294" w:rsidP="00592294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noProof/>
          <w:sz w:val="22"/>
          <w:szCs w:val="22"/>
        </w:rPr>
      </w:pPr>
    </w:p>
    <w:p w14:paraId="19725CD4" w14:textId="77777777" w:rsidR="00592294" w:rsidRPr="00B61CD1" w:rsidRDefault="00592294" w:rsidP="00592294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Fuq l-ewwel talba tal-Organizzazzjoni Pubblika, il-Fornitur għandu jikkoopera fit-twettiq ta’ valutazzjoni tal-impatt fuq id-drittijiet fundamentali mill-Organizzazzjoni Pubblika li jista’ jipproduċi l-użu tas-Sistema tal-IA.</w:t>
      </w:r>
    </w:p>
    <w:p w14:paraId="535FE936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1418"/>
        <w:rPr>
          <w:rFonts w:ascii="Arial" w:hAnsi="Arial" w:cs="Arial"/>
          <w:sz w:val="22"/>
          <w:szCs w:val="22"/>
        </w:rPr>
      </w:pPr>
    </w:p>
    <w:p w14:paraId="21829F4D" w14:textId="77777777" w:rsidR="00BA16C1" w:rsidRPr="00BD0EE8" w:rsidRDefault="00BA16C1" w:rsidP="00BA16C1">
      <w:pPr>
        <w:pStyle w:val="doLijstnummering7"/>
        <w:tabs>
          <w:tab w:val="clear" w:pos="851"/>
        </w:tabs>
        <w:ind w:left="1418" w:hanging="1418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Obbligu li jiġi spjegat il-funzjonament tas-Sistema tal-IA fuq livell individwali </w:t>
      </w:r>
    </w:p>
    <w:p w14:paraId="2B2608EB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D30DED5" w14:textId="42898881" w:rsidR="00DB24E3" w:rsidRPr="00BD0EE8" w:rsidRDefault="00DB24E3" w:rsidP="000F1F04">
      <w:pPr>
        <w:pStyle w:val="doLijstnummering7"/>
        <w:numPr>
          <w:ilvl w:val="1"/>
          <w:numId w:val="2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Minbarra l-obbligi deskritti fl-Artikolu 6, il-Fornitur huwa obbligat jassisti lill-Organizzazzjoni Pubblika fl-ewwel talba tal-Organizzazzjoni Pubblika biex tipprovdi spjegazzjoni ċara u sinifikanti tar-rwol tas-sistema tal-IA fil-proċedura tat-teħid ta’ deċiżjonijiet. Din l-ispjegazzjoni sinifikanti jenħtieġ li tipprovdi b’mod partikolari (iżda mhux esklużivament) tagħrif dwar l-elementi ewlenin tad-deċiżjoni(jiet) meħudin lil kwalunkwe persuna affettwata li tkun soġġetta għal deċiżjoni(jiet) tal-Organizzazzjoni Pubblika abbażi tal-output tas-Sistema tal-IA.</w:t>
      </w:r>
    </w:p>
    <w:p w14:paraId="06E18BD1" w14:textId="7FBD770E" w:rsidR="00DB24E3" w:rsidRPr="00BD0EE8" w:rsidRDefault="00DB24E3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L-obbligu kif deskritt fl-Artikolu 11.1 jinkludi l-provvista tal-informazzjoni teknika kollha u informazzjoni oħra meħtieġa lill-Organizzazzjoni Pubblika sabiex tispjega kif is-Sistema tal-IA pproduċiet output partikolari u biex toffri lill-persuni affettwati l-opportunità li jivverifikaw il-mod li bih is-Sistema tal-IA pproduċiet output partikolari. Il-Fornitur b’dan jagħti lill-Organizzazzjoni Pubblika d-dritt li tuża, taqsam u tiżvela din l-informazzjoni, jekk u sa fejn ikun meħtieġ, sabiex tinforma lill-persuni affettwati kif xieraq.</w:t>
      </w:r>
    </w:p>
    <w:p w14:paraId="15BD7CE9" w14:textId="6D2D7EAA" w:rsidR="00DB24E3" w:rsidRPr="00BD0EE8" w:rsidRDefault="00FD0514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L-obbligi msemmija fl-Artikolu 11.1 u fl-Artikolu 11.2 jinkludu l-kodiċi tas-sors tas-Sistema tal-IA, l-ispeċifikazzjonijiet tekniċi użati fl-iżvilupp tas-Sistema tal-IA, is-Settijiet ta’ Data, l-informazzjoni teknika dwar kif nkisbu u ġew editjati s-Settijiet ta’ Data użati fl-iżvilupp tas-Sistema tal-IA, informazzjoni dwar il-metodu ta’ </w:t>
      </w:r>
      <w:r>
        <w:rPr>
          <w:rFonts w:ascii="Arial" w:hAnsi="Arial"/>
          <w:sz w:val="22"/>
        </w:rPr>
        <w:lastRenderedPageBreak/>
        <w:t>żvilupp użat u l-proċess ta’ żvilupp imwettaq, ir-raġuni għall-għażla ta’ mudell partikolari u l-parametri tiegħu, u informazzjoni dwar il-prestazzjoni tas-Sistema tal-IA.</w:t>
      </w:r>
    </w:p>
    <w:p w14:paraId="216DC206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/>
          <w:bCs/>
          <w:iCs/>
          <w:sz w:val="22"/>
          <w:szCs w:val="22"/>
        </w:rPr>
      </w:pPr>
    </w:p>
    <w:p w14:paraId="0AB92FAF" w14:textId="77777777" w:rsidR="00BA16C1" w:rsidRPr="00BD0EE8" w:rsidRDefault="00BA16C1" w:rsidP="00BA16C1">
      <w:pPr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Taqsima C – Drittijiet għall-użu tas-Settijiet ta’ Data</w:t>
      </w:r>
    </w:p>
    <w:p w14:paraId="7D66F555" w14:textId="77777777" w:rsidR="00BA16C1" w:rsidRPr="00BD0EE8" w:rsidRDefault="00BA16C1" w:rsidP="00BA16C1">
      <w:pPr>
        <w:rPr>
          <w:rFonts w:ascii="Arial" w:hAnsi="Arial" w:cs="Arial"/>
          <w:b/>
          <w:i/>
          <w:sz w:val="22"/>
          <w:szCs w:val="22"/>
        </w:rPr>
      </w:pPr>
    </w:p>
    <w:p w14:paraId="71DEB6E3" w14:textId="77777777" w:rsidR="00BA16C1" w:rsidRPr="00BD0EE8" w:rsidRDefault="00BA16C1" w:rsidP="00BA16C1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Drittijiet għas-Settijiet ta’ Data tal-Organizzazzjoni Pubblika</w:t>
      </w:r>
    </w:p>
    <w:p w14:paraId="081B09CB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105376CF" w14:textId="69D400E1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Id-drittijiet kollha, inkluż kwalunkwe dritt ta’ proprjetà intellettwali, relatati mas-Settijiet ta’ Data tal-Organizzazzjoni Pubblika se jakkumulaw għall-Organizzazzjoni Pubblika jew għal parti terza maħtura bħala tali mill-Organizzazzjoni Pubblika. </w:t>
      </w:r>
    </w:p>
    <w:p w14:paraId="6D01904E" w14:textId="0532A6C9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ma huwa intitolat li juża s-Settijiet ta’ Data tal-Organizzazzjoni Pubblika għall-ebda fini għajr l-eżekuzzjoni tal-Ftehim, ħlief kif previst mod ieħor fl-Anness B.</w:t>
      </w:r>
    </w:p>
    <w:p w14:paraId="7009E782" w14:textId="29462D23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Fuq l-ewwel talba tal-Organizzazzjoni Pubblika, il-Fornitur jeħtieġlu jeqred Settijiet ta’ Data tal-Organizzazzjoni Pubblika, ħlief kif previst mod ieħor fl-Anness B. Jekk l-Organizzazzjoni Pubblika titlob hekk, il-Fornitur jeħtieġlu jipprovdi evidenza fattibbli tal-qerda tas-Settijiet ta’ Data tal-Organizzazzjoni Pubblika.</w:t>
      </w:r>
    </w:p>
    <w:p w14:paraId="47036B13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92F93B0" w14:textId="040D843C" w:rsidR="00BA16C1" w:rsidRPr="00BD0EE8" w:rsidRDefault="00BA16C1" w:rsidP="00BA16C1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Drittijiet għas-Settijiet ta’ Data tal-Fornituri u għas-Settijiet ta’ Data ta’ Partijiet Terzi</w:t>
      </w:r>
    </w:p>
    <w:p w14:paraId="6141B455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30B00236" w14:textId="159697B7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Id-drittijiet kollha, inkluż kwalunkwe dritt ta’ proprjetà intellettwali, relatati mas-Settijiet ta’ Data tal-Fornituri u s-Settijiet ta’ Data ta’ Partijiet Terzi se jakkumulaw għall-Fornitur jew għal parti terza. </w:t>
      </w:r>
    </w:p>
    <w:p w14:paraId="6B51A995" w14:textId="369220A0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jagħti lill-Organizzazzjoni Pubblika dritt mhux esklużiv li tuża s-Settijiet ta’ Data tal-Fornituri u s-Settijiet ta’ Data ta’ Partijiet Terzi li fi kwalunkwe każ ikun biżżejjed għall-eżekuzzjoni tad-dispożizzjonijiet tal-Ftehim, inkluż l-MCC-AI-Light, ħlief kif previst mod ieħor fl-Anness B.</w:t>
      </w:r>
    </w:p>
    <w:p w14:paraId="36E39C69" w14:textId="163FA901" w:rsidR="00BA16C1" w:rsidRPr="00BD0EE8" w:rsidRDefault="00FD0514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 xml:space="preserve">&lt;Fakultattiv&gt; </w:t>
      </w:r>
      <w:r>
        <w:rPr>
          <w:rFonts w:ascii="Arial" w:hAnsi="Arial"/>
          <w:sz w:val="22"/>
        </w:rPr>
        <w:t xml:space="preserve">Id-dritt ta’ użu deskritt fl-Artikolu 13.2 jinkludi d-dritt li jintużaw is-Settijiet ta’ Data tal-Fornituri u s-Settijiet ta’ Partijiet Terzi għall-iżvilupp ulterjuri tas-Sistema tal-IA, inkluż kwalunkwe verżjoni ġdida tagħha, mill-Organizzazzjoni Pubblika jew minn parti terza. </w:t>
      </w:r>
    </w:p>
    <w:p w14:paraId="54F4358B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37B707B0" w14:textId="667910BE" w:rsidR="00BA16C1" w:rsidRPr="00BD0EE8" w:rsidRDefault="00DB24E3" w:rsidP="00BA16C1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Trasferiment tas-Settijiet ta’ Data</w:t>
      </w:r>
    </w:p>
    <w:p w14:paraId="03AEBDE3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61B763DC" w14:textId="2151F1EC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Mal-ewwel talba tal-Organizzazzjoni Pubblika, il-Fornitur se jittrasferixxi l-aktar verżjoni reċenti tas-Settijiet ta’ Data tal-Organizzazzjoni Pubblika lill-Organizzazzjoni Pubblika.</w:t>
      </w:r>
    </w:p>
    <w:p w14:paraId="537EEA2E" w14:textId="63371311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Mal-ewwel talba tal-Organizzazzjoni Pubblika, il-Fornitur se jittrasferixxi l-aktar verżjoni reċenti tas-Settijiet ta’ Data tal-Fornituri u s-Settijiet ta’ Data ta’ Partijiet Terzi lill-Organizzazzjoni Pubblika, ħlief meta previst mod ieħor fl-Anness B. </w:t>
      </w:r>
    </w:p>
    <w:p w14:paraId="46EAB8D5" w14:textId="4154907B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Is-Settijiet ta’ Data jridu jiġu trasferiti lill-Organizzazzjoni Pubblika mill-Fornitur f’fajl b’format komuni li għandu jiġi deżinjat mill-Organizzazzjoni Pubblika. </w:t>
      </w:r>
      <w:r>
        <w:rPr>
          <w:rFonts w:ascii="Arial" w:hAnsi="Arial"/>
          <w:b/>
          <w:sz w:val="22"/>
        </w:rPr>
        <w:t>&lt;Fakultattiv&gt; Is-Settijiet ta’ Data se jiġu rritornati kif ġej: [format tal-fajl]</w:t>
      </w:r>
    </w:p>
    <w:p w14:paraId="35C1A037" w14:textId="77777777" w:rsidR="00BA16C1" w:rsidRPr="00BD0EE8" w:rsidRDefault="00BA16C1" w:rsidP="00BA16C1">
      <w:pPr>
        <w:rPr>
          <w:rFonts w:ascii="Arial" w:hAnsi="Arial" w:cs="Arial"/>
          <w:b/>
          <w:i/>
          <w:sz w:val="22"/>
          <w:szCs w:val="22"/>
        </w:rPr>
      </w:pPr>
    </w:p>
    <w:p w14:paraId="602C39D7" w14:textId="77777777" w:rsidR="00DB24E3" w:rsidRPr="00BD0EE8" w:rsidRDefault="00DB24E3" w:rsidP="00DB24E3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Indennifikazzjonijiet</w:t>
      </w:r>
    </w:p>
    <w:p w14:paraId="1BB3E179" w14:textId="77777777" w:rsidR="00DB24E3" w:rsidRPr="00BD0EE8" w:rsidRDefault="00DB24E3" w:rsidP="00DB24E3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EDD95CE" w14:textId="62417051" w:rsidR="00DB24E3" w:rsidRPr="00BD0EE8" w:rsidRDefault="00DB24E3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għandu jindennizza lill-Organizzazzjoni Pubblika mill-pretensjonijiet kollha mressqa minn partijiet terzi, inklużi superviżuri, li jirriżultaw minn kwalunkwe ksur tad-drittijiet ta’ proprjetà intellettwali, id-drittijiet tal-protezzjoni tad-data jew drittijiet ekwivalenti li jirriżultaw mill-użu tas-Sistema tal-IA, is-Settijiet ta’ Data tal-Fornituri u/jew is-Settijiet ta’ Data ta’ Partijiet Terzi mill-Organizzazzjoni Pubblika. </w:t>
      </w:r>
    </w:p>
    <w:p w14:paraId="75C8D82C" w14:textId="77777777" w:rsidR="00DB24E3" w:rsidRPr="00BD0EE8" w:rsidRDefault="00DB24E3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L-Organizzazzjoni Pubblika għandha tindennizza lill-Fornitur mill-pretensjonijiet kollha mressqa minn partijiet terzi, inklużi superviżuri, li jirriżultaw minn kwalunkwe ksur tad-drittijiet ta’ proprjetà intellettwali, id-drittijiet għall-privatezza jew id-drittijiet ekwivalenti tagħhom li jirriżultaw mill-użu tas-Settijiet ta’ Data tal-Organizzazzjoni Pubblika. </w:t>
      </w:r>
    </w:p>
    <w:p w14:paraId="351A161B" w14:textId="77777777" w:rsidR="00DB24E3" w:rsidRPr="00BD0EE8" w:rsidRDefault="00DB24E3" w:rsidP="00BA16C1">
      <w:pPr>
        <w:rPr>
          <w:rFonts w:ascii="Arial" w:hAnsi="Arial" w:cs="Arial"/>
          <w:b/>
          <w:i/>
          <w:sz w:val="22"/>
          <w:szCs w:val="22"/>
        </w:rPr>
      </w:pPr>
    </w:p>
    <w:p w14:paraId="44CEE90B" w14:textId="77777777" w:rsidR="00BA16C1" w:rsidRPr="00BD0EE8" w:rsidRDefault="00BA16C1" w:rsidP="00BA16C1">
      <w:pPr>
        <w:rPr>
          <w:rFonts w:ascii="Arial" w:hAnsi="Arial" w:cs="Arial"/>
          <w:b/>
          <w:i/>
          <w:sz w:val="22"/>
          <w:szCs w:val="22"/>
        </w:rPr>
      </w:pPr>
    </w:p>
    <w:p w14:paraId="50CF1FAA" w14:textId="77777777" w:rsidR="00BA16C1" w:rsidRPr="00BD0EE8" w:rsidRDefault="00BA16C1" w:rsidP="00BA16C1">
      <w:pPr>
        <w:rPr>
          <w:rFonts w:ascii="Arial" w:hAnsi="Arial" w:cs="Arial"/>
          <w:sz w:val="22"/>
          <w:szCs w:val="22"/>
        </w:rPr>
      </w:pPr>
    </w:p>
    <w:p w14:paraId="34FEA057" w14:textId="77777777" w:rsidR="00BA16C1" w:rsidRPr="00BD0EE8" w:rsidRDefault="00BA16C1" w:rsidP="00BA16C1">
      <w:pPr>
        <w:rPr>
          <w:rFonts w:ascii="Arial" w:hAnsi="Arial" w:cs="Arial"/>
          <w:sz w:val="22"/>
          <w:szCs w:val="22"/>
        </w:rPr>
      </w:pPr>
    </w:p>
    <w:p w14:paraId="2759EC71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</w:rPr>
      </w:pPr>
    </w:p>
    <w:p w14:paraId="3FD085CA" w14:textId="77777777" w:rsidR="00DB24E3" w:rsidRPr="00BD0EE8" w:rsidRDefault="00DB24E3">
      <w:pPr>
        <w:rPr>
          <w:rFonts w:ascii="Arial" w:hAnsi="Arial" w:cs="Arial"/>
          <w:b/>
          <w:bCs/>
          <w:sz w:val="26"/>
          <w:szCs w:val="26"/>
        </w:rPr>
      </w:pPr>
      <w:r>
        <w:br w:type="page"/>
      </w:r>
    </w:p>
    <w:p w14:paraId="3DA96EF3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A – Is-Sistema tal-IA u l-Għan Maħsub</w:t>
      </w:r>
    </w:p>
    <w:p w14:paraId="28122E9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  <w:u w:val="single"/>
        </w:rPr>
        <w:t>Deskrizzjoni tas-Sistema tal-IA</w:t>
      </w:r>
    </w:p>
    <w:p w14:paraId="5C91B67C" w14:textId="52E34C0A" w:rsidR="00BA16C1" w:rsidRPr="00BD0EE8" w:rsidRDefault="00BA16C1" w:rsidP="00BA16C1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</w:rPr>
        <w:t xml:space="preserve">Fil-kamp ta’ applikazzjoni ta’ dawn l-MCC-AI-Light hemm is-sistemi jew il-komponenti tas-sistemi li ġejjin: </w:t>
      </w:r>
    </w:p>
    <w:p w14:paraId="5D12A14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ipprovdi deskrizzjoni tas-Sistema/i tal-IA. Din tista’ tkun ukoll sistema algoritmika li ma tikkwalifikax bħala Sistema tal-IA skont l-Att dwar l-IA.</w:t>
      </w:r>
    </w:p>
    <w:p w14:paraId="2EC18EF6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/>
          <w:sz w:val="22"/>
          <w:u w:val="single"/>
        </w:rPr>
        <w:t>Għan Maħsub</w:t>
      </w:r>
    </w:p>
    <w:p w14:paraId="5296445D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i/>
          <w:sz w:val="22"/>
        </w:rPr>
        <w:t>Jekk jogħġbok ipprovdi deskrizzjoni tal-użu li għalih hija maħsuba s-Sistema tal-IA.</w:t>
      </w:r>
      <w:r>
        <w:rPr>
          <w:rFonts w:ascii="Arial" w:hAnsi="Arial"/>
          <w:sz w:val="22"/>
        </w:rPr>
        <w:br w:type="page"/>
      </w:r>
    </w:p>
    <w:p w14:paraId="69C98B2F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 xml:space="preserve">Anness B – Is-Settijiet ta’ Data </w:t>
      </w:r>
    </w:p>
    <w:p w14:paraId="73ED7D63" w14:textId="7CBC5E98" w:rsidR="00BA16C1" w:rsidRPr="00BD0EE8" w:rsidRDefault="00BA16C1" w:rsidP="00BA16C1">
      <w:pPr>
        <w:spacing w:after="210"/>
        <w:jc w:val="both"/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i/>
          <w:sz w:val="22"/>
        </w:rPr>
        <w:t>Jekk jogħġbok ipprovdi deskrizzjoni tas-Settijiet ta’ Data użati għat-ta</w:t>
      </w:r>
      <w:r>
        <w:rPr>
          <w:rFonts w:ascii="Arial" w:hAnsi="Arial"/>
          <w:i/>
          <w:color w:val="000000"/>
          <w:sz w:val="22"/>
          <w:shd w:val="clear" w:color="auto" w:fill="FFFFFF"/>
        </w:rPr>
        <w:t>ħriġ (jekk applikabbli), il-validazzjoni u l-ittestjar tas-Sistema tal-IA. Distinzjoni bejn is-Settijiet ta’ Data tal-Organizzazzjoni Pubblika u s-Settijiet ta’ Data tal-Fornituri u s-Settijiet ta’ Data ta’ Partijiet Terzi. Fil-każ ta’ Settijiet ta’ Data tal-Organizzazzjoni Pubblika, iddeskrivi l-għanijiet li għalihom il-Fornitur jista’ juża s-Settijiet ta’ Data (għajr l-eżekuzzjoni tal-Ftehim) u jekk il-Fornitur huwiex meħtieġ li jeqred is-Sett ta’ Data stabbilit fi tmiem it-terminu tal-Ftehim. Fil-każ tas-Settijiet ta’ Data tal-Fornituri u s-Settijiet ta’ Data ta’ Partijiet Terzi, iddeskrivi l-għanijiet li għalihom l-Organizzazzjoni Pubblika tista’ tuża s-Settijiet ta’ Data u jekk il-Fornitur huwiex obbligat li jitrasferixxi s-Settijiet ta’ Data.</w:t>
      </w:r>
    </w:p>
    <w:p w14:paraId="78F02DB5" w14:textId="48FA1FF4" w:rsidR="00BA16C1" w:rsidRPr="00BD0EE8" w:rsidRDefault="003772EE" w:rsidP="00BA16C1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Is-Settijiet ta’ Data tal-Organizzazzjoni Pubblika</w:t>
      </w:r>
    </w:p>
    <w:p w14:paraId="3116649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Is-Settijiet ta’ Data li ġejjin huma pprovduti mill-Organizzazzjoni Pubblika lill-Fornitur skont il-Ftehim jew li għandhom jinħolqu jew jinġabru bħala parti mill-Ftehim: </w:t>
      </w:r>
    </w:p>
    <w:tbl>
      <w:tblPr>
        <w:tblStyle w:val="TableGrid"/>
        <w:tblW w:w="9129" w:type="dxa"/>
        <w:tblLook w:val="04A0" w:firstRow="1" w:lastRow="0" w:firstColumn="1" w:lastColumn="0" w:noHBand="0" w:noVBand="1"/>
      </w:tblPr>
      <w:tblGrid>
        <w:gridCol w:w="2851"/>
        <w:gridCol w:w="2717"/>
        <w:gridCol w:w="3561"/>
      </w:tblGrid>
      <w:tr w:rsidR="00BA16C1" w:rsidRPr="00BD0EE8" w14:paraId="47DF1D8E" w14:textId="77777777" w:rsidTr="00587A6A">
        <w:tc>
          <w:tcPr>
            <w:tcW w:w="2851" w:type="dxa"/>
          </w:tcPr>
          <w:p w14:paraId="431D43ED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Deskrizzjoni tas-Sett ta’ Data</w:t>
            </w:r>
          </w:p>
        </w:tc>
        <w:tc>
          <w:tcPr>
            <w:tcW w:w="2717" w:type="dxa"/>
          </w:tcPr>
          <w:p w14:paraId="54C3C3D9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Drittijiet ta’ użu tal-Fornitur</w:t>
            </w:r>
          </w:p>
        </w:tc>
        <w:tc>
          <w:tcPr>
            <w:tcW w:w="3561" w:type="dxa"/>
          </w:tcPr>
          <w:p w14:paraId="753D331F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Obbligu li jinqered is-Sett ta’ Data stabbilit fi tmiem it-terminu tal-Ftehim</w:t>
            </w:r>
          </w:p>
        </w:tc>
      </w:tr>
      <w:tr w:rsidR="00BA16C1" w:rsidRPr="00BD0EE8" w14:paraId="63C4126B" w14:textId="77777777" w:rsidTr="00587A6A">
        <w:tc>
          <w:tcPr>
            <w:tcW w:w="2851" w:type="dxa"/>
          </w:tcPr>
          <w:p w14:paraId="557D9CA3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4EEF0111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4208B993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BA16C1" w:rsidRPr="00BD0EE8" w14:paraId="5D18413C" w14:textId="77777777" w:rsidTr="00587A6A">
        <w:tc>
          <w:tcPr>
            <w:tcW w:w="2851" w:type="dxa"/>
          </w:tcPr>
          <w:p w14:paraId="740380CA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4570B121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0F4820A0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BA16C1" w:rsidRPr="00BD0EE8" w14:paraId="12F9CF8B" w14:textId="77777777" w:rsidTr="00587A6A">
        <w:tc>
          <w:tcPr>
            <w:tcW w:w="2851" w:type="dxa"/>
          </w:tcPr>
          <w:p w14:paraId="068B93F6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33B7ECD4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32055E27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BA16C1" w:rsidRPr="00BD0EE8" w14:paraId="687765A2" w14:textId="77777777" w:rsidTr="00587A6A">
        <w:tc>
          <w:tcPr>
            <w:tcW w:w="2851" w:type="dxa"/>
          </w:tcPr>
          <w:p w14:paraId="149BC504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36E1E2CD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12C69CBB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</w:tbl>
    <w:p w14:paraId="4782DE6E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029BEEFE" w14:textId="680B1119" w:rsidR="00BA16C1" w:rsidRPr="00BD0EE8" w:rsidRDefault="00BA16C1" w:rsidP="00BA16C1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Settijiet ta’ Data tal-Fornituri u Settijiet ta’ Data ta’ Partijiet Terzi</w:t>
      </w:r>
    </w:p>
    <w:p w14:paraId="332C2F43" w14:textId="767CCCEE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Is-Settijiet ta’ Data tal-Fornituri u s-Settijiet ta’ Data ta’ Partijiet Terzi li ġejjin se jintużaw jew intużaw għat-taħriġ (jekk applikabbli), il-validazzjoni u l-ittestjar tas-Sistema tal-IA: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793"/>
        <w:gridCol w:w="2859"/>
        <w:gridCol w:w="3415"/>
      </w:tblGrid>
      <w:tr w:rsidR="00BA16C1" w:rsidRPr="00BD0EE8" w14:paraId="6926E938" w14:textId="77777777" w:rsidTr="00587A6A">
        <w:tc>
          <w:tcPr>
            <w:tcW w:w="2793" w:type="dxa"/>
          </w:tcPr>
          <w:p w14:paraId="411DDE88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Deskrizzjoni tas-Sett ta’ Data</w:t>
            </w:r>
          </w:p>
        </w:tc>
        <w:tc>
          <w:tcPr>
            <w:tcW w:w="2859" w:type="dxa"/>
          </w:tcPr>
          <w:p w14:paraId="31EED2EF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Drittijiet ta’ użu tal-Organizzazzjoni Pubblika</w:t>
            </w:r>
          </w:p>
        </w:tc>
        <w:tc>
          <w:tcPr>
            <w:tcW w:w="3415" w:type="dxa"/>
          </w:tcPr>
          <w:p w14:paraId="321EF843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Obbligu ta’ trasferiment</w:t>
            </w:r>
            <w:r>
              <w:rPr>
                <w:rStyle w:val="FootnoteReference"/>
                <w:rFonts w:ascii="Arial" w:hAnsi="Arial" w:cs="Arial"/>
                <w:b/>
                <w:sz w:val="22"/>
                <w:szCs w:val="22"/>
              </w:rPr>
              <w:footnoteReference w:id="2"/>
            </w:r>
          </w:p>
        </w:tc>
      </w:tr>
      <w:tr w:rsidR="00BA16C1" w:rsidRPr="00BD0EE8" w14:paraId="0869D9E6" w14:textId="77777777" w:rsidTr="00587A6A">
        <w:tc>
          <w:tcPr>
            <w:tcW w:w="2793" w:type="dxa"/>
          </w:tcPr>
          <w:p w14:paraId="14CE031B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3E59DCA7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1872D534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BA16C1" w:rsidRPr="00BD0EE8" w14:paraId="1E851281" w14:textId="77777777" w:rsidTr="00587A6A">
        <w:tc>
          <w:tcPr>
            <w:tcW w:w="2793" w:type="dxa"/>
          </w:tcPr>
          <w:p w14:paraId="5FD91442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25EB21A9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487729A2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BA16C1" w:rsidRPr="00BD0EE8" w14:paraId="2448074D" w14:textId="77777777" w:rsidTr="00587A6A">
        <w:tc>
          <w:tcPr>
            <w:tcW w:w="2793" w:type="dxa"/>
          </w:tcPr>
          <w:p w14:paraId="7223B2DB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5E916D26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0C1532BC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BA16C1" w:rsidRPr="00BD0EE8" w14:paraId="0C17303F" w14:textId="77777777" w:rsidTr="00587A6A">
        <w:tc>
          <w:tcPr>
            <w:tcW w:w="2793" w:type="dxa"/>
          </w:tcPr>
          <w:p w14:paraId="7A4CE6DE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7341C0F1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3C93C5C7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</w:tbl>
    <w:p w14:paraId="70A2A94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br w:type="page"/>
      </w:r>
    </w:p>
    <w:p w14:paraId="2B448160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C – Dokumentazzjoni teknika</w:t>
      </w:r>
    </w:p>
    <w:p w14:paraId="7E241A76" w14:textId="74E905CE" w:rsidR="008B0F7B" w:rsidRPr="00BD0EE8" w:rsidRDefault="008B0F7B" w:rsidP="000F1F04">
      <w:pPr>
        <w:spacing w:before="120"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Id-dokumentazzjoni teknika għandu jkun fiha mill-inqas l-informazzjoni li ġejja, kif applikabbli għas-Sistema tal-IA:</w:t>
      </w:r>
    </w:p>
    <w:p w14:paraId="4A1811DC" w14:textId="77777777" w:rsidR="008B0F7B" w:rsidRPr="00BD0EE8" w:rsidRDefault="008B0F7B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ġenerali tas-Sistema tal-IA li tinkludi:</w:t>
      </w:r>
    </w:p>
    <w:p w14:paraId="1871FB77" w14:textId="6DCFF36D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l-għan maħsub tagħha, l-isem tal-Fornitur u l-verżjoni tas-sistema li tirrifletti r-relazzjoni tagħha mal-verżjonijiet preċedenti;</w:t>
      </w:r>
    </w:p>
    <w:p w14:paraId="67C8D633" w14:textId="26A16E22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kif is-Sistema tal-IA tista’ tinteraġixxi jew tista’ tintuża biex tinteraġixxi ma’ hardware jew software, inkluż sistemi oħra tal-IA, li mhumiex parti mis-Sistema tal-IA nnifisha, fejn applikabbli; </w:t>
      </w:r>
    </w:p>
    <w:p w14:paraId="1ECE57CB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il-verżjonijiet tas-software jew tal-firmware rilevanti u kwalunkwe rekwiżit relatat mal-aġġornament tal-verżjoni;</w:t>
      </w:r>
    </w:p>
    <w:p w14:paraId="6D0AC47C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id-deskrizzjoni tal-hardware li fuqu s-Sistema tal-IA maħsuba li taħdem;</w:t>
      </w:r>
    </w:p>
    <w:p w14:paraId="5120BCA9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s-Sistema tal-IA tkun komponent ta’ prodotti, ritratti jew illustrazzjonijiet li juru karatteristiċi esterni, immarkar u tqassim intern ta’ dawk il-prodotti;</w:t>
      </w:r>
    </w:p>
    <w:p w14:paraId="6FF283B9" w14:textId="2190D29B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bażika tal-interfaċċa tal-utent ipprovduta lill-Organizzazzjoni Pubblika;</w:t>
      </w:r>
    </w:p>
    <w:p w14:paraId="45B4325D" w14:textId="1708A672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struzzjonijiet għall-użu għall-implimentatur u deskrizzjoni bażika tal-interfaċċa tal-utent, fejn applikabbli.</w:t>
      </w:r>
    </w:p>
    <w:p w14:paraId="2CFCF1D4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7ED615E6" w14:textId="77777777" w:rsidR="008B0F7B" w:rsidRPr="00BD0EE8" w:rsidRDefault="008B0F7B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dettaljata tal-elementi tas-Sistema tal-IA u tal-proċess għall-iżvilupp tagħha, inkluż:</w:t>
      </w:r>
    </w:p>
    <w:p w14:paraId="7613081F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il-metodi u l-passi mwettqa għall-iżvilupp tas-Sistema tal-IA, inkluż, meta rilevanti, ir-rikors għal sistemi jew għodod imħarrġa minn qabel ipprovduti minn partijiet terzi u kif dawn intużaw, ġew integrati jew modifikati mill-Fornitur inkluż deskrizzjoni ta’ kwalunkwe liċenzjar jew arranġament kuntrattwali ieħor relatat ma’ tali inputs ta’ partijiet terzi;</w:t>
      </w:r>
    </w:p>
    <w:p w14:paraId="532B78EF" w14:textId="538001DC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l-ispeċifikazzjonijiet tad-disinn tas-sistema, jiġifieri l-loġika ġenerali tas-Sistema tal-IA u tal-algoritmi; l-għażliet ewlenin tad-disinn, inkluż il-motiv u s-suppożizzjonijiet magħmula, anke fir-rigward ta’ persuni jew gruppi ta’ persuni li fuqhom is-sistema maħsuba li tintuża; l-għażliet ewlenin tal-klassifikazzjoni; għal xiex is-sistema hija mfassla li tottimizza għall-parametri differenti u r-rilevanza tagħhom; id-deskrizzjoni tal-output mistenni u tal-kwalità tal-output tas-sistema; id-deċiżjonijiet dwar kwalunkwe kompromess possibbli magħmul fir-rigward tas-soluzzjonijiet tekniċi adottati għall-konformità mar-rekwiżiti stabbiliti f’dawn l-MCC-AI-Light;</w:t>
      </w:r>
    </w:p>
    <w:p w14:paraId="45CB436A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id-deskrizzjoni tal-arkitettura ta’ sistemi li tispjega kif il-komponenti tas-software jibnu fuq jew jikkontribwixxu għal xulxin u jintegraw fl-ipproċessar ġenerali; ir-riżorsi komputazzjonali użati għall-iżvilupp, it-taħriġ, l-ittestjar u l-validazzjoni tas-Sistema tal-IA;</w:t>
      </w:r>
    </w:p>
    <w:p w14:paraId="21E60423" w14:textId="45928538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fejn rilevanti, ir-rekwiżiti tad-data f’termini ta’ skedi tad-data li jiddeskrivu l-metodoloġiji u t-tekniki tat-taħriġ u s-settijiet ta’ data għat-taħriġ użati, inkluża deskrizzjoni ġenerali ta’ dawn is-settijiet ta’ data, informazzjoni </w:t>
      </w:r>
      <w:r>
        <w:rPr>
          <w:rFonts w:ascii="Arial" w:hAnsi="Arial"/>
          <w:sz w:val="22"/>
        </w:rPr>
        <w:lastRenderedPageBreak/>
        <w:t>dwar il-provenjenza, l-ambitu u l-karatteristiċi ewlenin tagħhom; kif inkisbet u ntgħażlet id-data; proċeduri tat-tikkettar (eż. għal apprendiment taħt superviżjoni), metodoloġiji għat-tindif tad-data (eż. detezzjoni ta’ anomaliji);</w:t>
      </w:r>
    </w:p>
    <w:p w14:paraId="10398943" w14:textId="2772CA76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valutazzjoni tal-miżuri ta’ sorveljanza mill-bniedem meħtieġa f’konformità ma’ dawn l-MCC-AI-Light, inkluża valutazzjoni tal-miżuri tekniċi meħtieġa sabiex tiġi ffaċilitata l-interpretazzjoni tal-outputs tas-sistemi tal-IA mill-Organizzazzjoni Pubblika f’konformità ma’ dawn l-MCC-AI-Light;</w:t>
      </w:r>
    </w:p>
    <w:p w14:paraId="0A537AF4" w14:textId="22DD2F4B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fejn applikabbli, deskrizzjoni dettaljata tal-bidliet iddeterminati minn qabel fis-Sistema tal-IA u l-prestazzjoni tagħha, flimkien mal-informazzjoni rilevanti kollha relatata mas-soluzzjonijiet tekniċi adottati sabiex tiġi żgurata l-konformità kontinwa tas-Sistema tal-IA mar-rekwiżiti rilevanti stabbiliti f’dawn l-MCC-AI-Light;</w:t>
      </w:r>
    </w:p>
    <w:p w14:paraId="3FA08B2D" w14:textId="7A348263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il-proċeduri ta’ validazzjoni u ttestjar użati, inkluż informazzjoni dwar id-data għall-validazzjoni u l-ittestjar użati u l-karatteristiċi ewlenin tagħhom; metriċi użati għall-kejl tal-akkuratezza, ir-robustezza u l-konformità ma’ rekwiżiti rilevanti oħra stabbiliti f’dawn l-MCC-AI-Light kif ukoll impatti potenzjalment diskriminatorji; reġistri tat-testijiet u r-rapporti kollha tat-testijiet datati u ffirmati mill-persuni responsabbli, inkluż fir-rigward ta’ bidliet iddeterminati minn qabel kif imsemmi fil-punt 2.5;</w:t>
      </w:r>
    </w:p>
    <w:p w14:paraId="0D082175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taċ-ċibersigurtà stabbiliti.</w:t>
      </w:r>
    </w:p>
    <w:p w14:paraId="0BF82C65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4ACBDC95" w14:textId="7C53BE54" w:rsidR="008B0F7B" w:rsidRPr="00BD0EE8" w:rsidRDefault="00081DBA" w:rsidP="000F1F04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informazzjoni dettaljata dwar il-monitoraġġ, il-funzjonament u l-kontroll tas-Sistema tal-IA, b’mod partikolari rigward: il-kapaċitajiet u l-limitazzjonijiet tagħha fil-prestazzjoni, inkluż il-gradi tal-akkuratezza għal persuni jew gruppi ta’ persuni speċifiċi li għalihom ikun maħsub li tintuża s-sistema, u l-livell ġenerali mistenni ta’ akkuratezza rigward l-għan maħsub tagħha; l-eżiti mhux intenzjonati prevedibbli u s-sorsi tar-riskji għas-saħħa u s-sikurezza, għad-drittijiet fundamentali u għad-diskriminazzjoni fid-dawl tal-għan maħsub tas-Sistema tal-IA.</w:t>
      </w:r>
    </w:p>
    <w:p w14:paraId="09DA1B52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F56CE71" w14:textId="35FE1F59" w:rsidR="008B0F7B" w:rsidRPr="00BD0EE8" w:rsidRDefault="00081DBA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tal-adegwatezza tal-metriċi tal-prestazzjoni għas-Sistema tal-IA;</w:t>
      </w:r>
    </w:p>
    <w:p w14:paraId="103A7AA1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E7F2118" w14:textId="493DFA62" w:rsidR="008B0F7B" w:rsidRPr="00BD0EE8" w:rsidRDefault="00081DBA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dettaljata tas-sistema ta’ ġestjoni tar-riskju f’konformità mal-Artikolu 2;</w:t>
      </w:r>
    </w:p>
    <w:p w14:paraId="5E256ECF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D18D3EA" w14:textId="04CD1524" w:rsidR="008B0F7B" w:rsidRPr="00BD0EE8" w:rsidRDefault="00081DBA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ta’ kwalunkwe bidla rilevanti li ssir mill-Fornitur fis-sistema tul iċ-ċiklu tal-ħajja tagħha.</w:t>
      </w:r>
      <w:r>
        <w:rPr>
          <w:rFonts w:ascii="Arial" w:hAnsi="Arial"/>
          <w:sz w:val="22"/>
        </w:rPr>
        <w:br w:type="page"/>
      </w:r>
    </w:p>
    <w:p w14:paraId="1C86943F" w14:textId="77777777" w:rsidR="00BA16C1" w:rsidRPr="00BD0EE8" w:rsidRDefault="00BA16C1" w:rsidP="00587A6A">
      <w:pPr>
        <w:spacing w:after="36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D – Struzzjonijiet għall-użu</w:t>
      </w:r>
    </w:p>
    <w:p w14:paraId="71F1FF5D" w14:textId="77777777" w:rsidR="008B0F7B" w:rsidRPr="00BD0EE8" w:rsidRDefault="008B0F7B" w:rsidP="008B0F7B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L-istruzzjonijiet għall-użu għandu jkun fihom mill-inqas l-informazzjoni li ġejja, kif applikabbli għas-Sistema tal-IA:</w:t>
      </w:r>
    </w:p>
    <w:p w14:paraId="6BDE81C0" w14:textId="77777777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l-identità u d-dettalji ta’ kuntatt tal-Fornitur u, meta applikabbli, tar-rappreżentanti awtorizzati tiegħu;</w:t>
      </w:r>
    </w:p>
    <w:p w14:paraId="5224A367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29D7B9C" w14:textId="77777777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il-karatteristiċi, il-kapaċitajiet u l-limitazzjonijiet tal-prestazzjoni tas-Sistema tal-IA, inkluż meta xieraq:</w:t>
      </w:r>
    </w:p>
    <w:p w14:paraId="4E9BFDAB" w14:textId="77777777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l-Għan Maħsub;</w:t>
      </w:r>
    </w:p>
    <w:p w14:paraId="515F5579" w14:textId="3E872E01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il-livell ta’ akkuratezza, inkluż il-metriċi, ir-robustezza u ċ-ċibersigurtà tagħha msemmija fl-Artikolu 8 li tkun ġiet ittestjata u vvalidata għalihom is-Sistema tal-IA, u li jista’ jkun mistenni, u kwalunkwe ċirkostanza magħrufa b’mod ċar u prevedibbli li jista’ jkollha impatt fuq dak il-livell mistenni ta’ akkuratezza, robustezza u ċibersigurtà;</w:t>
      </w:r>
    </w:p>
    <w:p w14:paraId="515EE051" w14:textId="7B0492AC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kwalunkwe ċirkostanza magħrufa jew prevedibbli relatata mal-użu tas-Sistema tal-IA f’konformità mal-Għan Maħsub jew skont il-kundizzjonijiet ta’ Użu Ħażin Raġonevolment Prevedibbli, li tista’ twassal għal riskji għas-saħħa u s-sikurezza jew għad-drittijiet fundamentali;</w:t>
      </w:r>
    </w:p>
    <w:p w14:paraId="3FD069B4" w14:textId="2C84B3BA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fejn applikabbli, il-kapaċitajiet u l-karatteristiċi tekniċi tas-Sistema tal-IA li tkun provduta informazzjoni li tkun rilevanti biex tispjega l-output tagħha;</w:t>
      </w:r>
      <w:r>
        <w:rPr>
          <w:rFonts w:ascii="Arial" w:hAnsi="Arial"/>
          <w:sz w:val="22"/>
        </w:rPr>
        <w:cr/>
      </w:r>
    </w:p>
    <w:p w14:paraId="3973F5E8" w14:textId="79EFAFF4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jkun xieraq, il-prestazzjoni tagħha fir-rigward ta’ persuni speċifiċi jew gruppi ta’ persuni speċifiċi li s-Sistema tal-IA hi maħsuba li tintuża fuqhom;</w:t>
      </w:r>
    </w:p>
    <w:p w14:paraId="30ADA51E" w14:textId="12DCC321" w:rsidR="008B0F7B" w:rsidRPr="00B61CD1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jkun xieraq, l-ispeċifikazzjonijiet għad-data tal-input jew kwalunkwe informazzjoni rilevanti oħra f’termini tas-settijiet ta’ data għat-taħriġ, il-validazzjoni u l-ittestjar użati, filwaqt li jitqies l-għan maħsub tas-Sistema tal-IA;</w:t>
      </w:r>
    </w:p>
    <w:p w14:paraId="10479F6E" w14:textId="14618FE5" w:rsidR="008B0F7B" w:rsidRPr="00BD0EE8" w:rsidRDefault="00242812" w:rsidP="00B61CD1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applikabbli, informazzjoni li tippermetti lill-Organizzazzjoni Pubblika tinterpreta l-output tas-Sistema tal-IA u tużah kif xieraq;</w:t>
      </w:r>
      <w:r>
        <w:rPr>
          <w:rFonts w:ascii="Arial" w:hAnsi="Arial"/>
          <w:sz w:val="22"/>
        </w:rPr>
        <w:cr/>
      </w:r>
    </w:p>
    <w:p w14:paraId="26BBFD87" w14:textId="373BC6D8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il-bidliet fis-Sistema tal-IA u l-prestazzjoni tagħha li ġew iddeterminati minn qabel mill-Fornitur, jekk ikun hemm; </w:t>
      </w:r>
    </w:p>
    <w:p w14:paraId="14F9F139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3A7CEA1" w14:textId="77777777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ta’ sorveljanza mill-bniedem imsemmija fl-Artikolu 7, inkluż il-miżuri tekniċi stabbiliti sabiex tiġi ffaċilitata l-interpretazzjoni tal-outputs tas-Sistemi tal-IA mill-Organizzazzjoni Pubblika;</w:t>
      </w:r>
    </w:p>
    <w:p w14:paraId="67AED5CC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394CCEBF" w14:textId="4792CC1E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ir-riżorsi komputazzjonali u tal-hardware meħtieġa, it-tul tal-ħajja mistenni tas-Sistema tal-IA u kwalunkwe miżura ta’ manutenzjoni u kura meħtieġa, inkluż il-frekwenza tagħhom sabiex jiġi żgurat il-funzjonament xieraq ta’ dik is-Sistema tal-IA, inkluż fir-rigward tal-aġġornamenti tas-software;</w:t>
      </w:r>
    </w:p>
    <w:p w14:paraId="52A454D8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557CC0C" w14:textId="1977B9EF" w:rsidR="00BA16C1" w:rsidRPr="00BD0EE8" w:rsidRDefault="008B0F7B" w:rsidP="000F1F04">
      <w:pPr>
        <w:pStyle w:val="doLijstnummering5"/>
        <w:rPr>
          <w:b/>
        </w:rPr>
      </w:pPr>
      <w:r>
        <w:rPr>
          <w:rFonts w:ascii="Arial" w:hAnsi="Arial"/>
          <w:sz w:val="22"/>
        </w:rPr>
        <w:lastRenderedPageBreak/>
        <w:t xml:space="preserve">fejn rilevanti, deskrizzjoni tal-mekkaniżmi inklużi fis-Sistema tal-IA li tippermetti lill-Organizzazzjoni Pubblika tiġbor, taħżen u tinterpreta r-reġistri kif xieraq f’konformità mal-Artikolu 5 ta’ dawn l-MCC-AI-Light. </w:t>
      </w:r>
      <w:r>
        <w:rPr>
          <w:rFonts w:ascii="Arial" w:hAnsi="Arial"/>
          <w:sz w:val="22"/>
        </w:rPr>
        <w:br w:type="page"/>
      </w:r>
    </w:p>
    <w:p w14:paraId="143B9937" w14:textId="77777777" w:rsidR="00587A6A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E – Miżuri sabiex tiġi żgurata t-trasparenza</w:t>
      </w:r>
    </w:p>
    <w:p w14:paraId="4D7196F1" w14:textId="2124BD33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hawnhekk ipprovdi deskrizzjoni tal-miżuri tekniċi u organizzattivi li għandhom jittieħdu mill-Fornitur sabiex tiġi żgurata t-trasparenza f’konformità mal-Artikolu 6 tal-MCC-AI-Light.</w:t>
      </w:r>
    </w:p>
    <w:p w14:paraId="19B86BBA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53097FAF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F – Miżuri sabiex tiġi żgurata s-sorveljanza mill-bniedem</w:t>
      </w:r>
    </w:p>
    <w:p w14:paraId="2E74307F" w14:textId="197B09EC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hawnhekk ipprovdi deskrizzjoni tal-miżuri tekniċi u organizzattivi li għandhom jittieħdu mill-Fornitur sabiex tiġi żgurata s-sorveljanza mill-bniedem f’konformità mal-Artikolu 7 tal-MCC-AI-Light.</w:t>
      </w:r>
    </w:p>
    <w:p w14:paraId="3A753C66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3E9ADABD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G – Livelli ta’ akkuratezza</w:t>
      </w:r>
    </w:p>
    <w:p w14:paraId="55C65BA7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Iddeskrivi hawn il-livelli ta’ akkuratezza meħtieġa.</w:t>
      </w:r>
    </w:p>
    <w:p w14:paraId="35B6EB16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br w:type="page"/>
      </w:r>
    </w:p>
    <w:p w14:paraId="45658787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H – Miżuri sabiex jiġi żgurat livell xieraq ta’ robustezza, sikurezza u ċibersigurtà</w:t>
      </w:r>
    </w:p>
    <w:p w14:paraId="630D2C65" w14:textId="203865A6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hawnhekk ipprovdi deskrizzjoni tal-miżuri tekniċi u organizzattivi li għandhom jittieħdu mill-Fornitur sabiex jiġi żgurat livell xieraq ta’ robustezza, sikurezza u ċibersigurtà f’konformità mal-Artikolu 8 tal-MCC-AI-Light.</w:t>
      </w:r>
    </w:p>
    <w:p w14:paraId="0B6CFD2E" w14:textId="539AE133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Dawn il-miżuri jridu jiżguraw li s-Sistema tal-IA għandha tkun reżiljenti fir-rigward ta’ erruri, ħsarat jew inkonsistenzi li jistgħu jseħħu fis-sistema jew fl-ambjent li fih topera s-sistema, b’mod partikolari minħabba l-interazzjoni ma’ persuni fiżiċi jew sistemi oħrajn.</w:t>
      </w:r>
    </w:p>
    <w:p w14:paraId="6F39830F" w14:textId="28EF8A3C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Is-Sistema tal-IA għandha tkun reżiljenti fir-rigward ta’ tentattivi minn partijiet terzi mhux awtorizzati għall-alterazzjoni tal-użu, l-imġiba, l-outputs jew il-prestazzjoni permezz tal-isfruttament tal-vulnerabbiltajiet tas-sistema. Is-soluzzjonijiet tekniċi sabiex jiġu indirizzati vulnerabbiltajiet speċifiċi għall-IA jistgħu jinkludu, fejn xieraq, miżuri għall-prevenzjoni, l-identifikazzjoni, ir-rispons għal, ir-riżoluzzjoni u l-kontroll għal attakki li jippruvaw jimmanipulaw is-sett ta’ data għat-taħriġ (“avvelenament tad-data”) jew komponenti mħarrġa minn qabel użati fit-taħriġ (“avvelenament tal-mudell”), inputs imfassla biex iwasslu biex il-mudell jagħmel żball (“eżempji kontradittorji” jew “evażjoni tal-mudell”), attakki ta’ kunfidenzjalità jew difetti fil-mudelli, li jistgħu jwasslu għal teħid ta’ deċiżjonijiet dannuż.</w:t>
      </w:r>
    </w:p>
    <w:p w14:paraId="0C65BCE1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360BC2E7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</w:p>
    <w:p w14:paraId="7C40F679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</w:p>
    <w:p w14:paraId="633C8900" w14:textId="77777777" w:rsidR="000F6F09" w:rsidRPr="00BD0EE8" w:rsidRDefault="000F6F09" w:rsidP="000F6F09">
      <w:pPr>
        <w:rPr>
          <w:rFonts w:ascii="Arial" w:hAnsi="Arial" w:cs="Arial"/>
          <w:b/>
          <w:sz w:val="22"/>
          <w:szCs w:val="22"/>
        </w:rPr>
      </w:pPr>
    </w:p>
    <w:sectPr w:rsidR="000F6F09" w:rsidRPr="00BD0EE8" w:rsidSect="0065578B">
      <w:headerReference w:type="default" r:id="rId15"/>
      <w:footerReference w:type="even" r:id="rId16"/>
      <w:footerReference w:type="default" r:id="rId17"/>
      <w:headerReference w:type="first" r:id="rId18"/>
      <w:pgSz w:w="11906" w:h="16838"/>
      <w:pgMar w:top="1702" w:right="1440" w:bottom="1440" w:left="144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7E7F3C" w14:textId="77777777" w:rsidR="001A671B" w:rsidRDefault="001A671B" w:rsidP="000B1A35">
      <w:r>
        <w:separator/>
      </w:r>
    </w:p>
  </w:endnote>
  <w:endnote w:type="continuationSeparator" w:id="0">
    <w:p w14:paraId="1C845C6A" w14:textId="77777777" w:rsidR="001A671B" w:rsidRDefault="001A671B" w:rsidP="000B1A35">
      <w:r>
        <w:continuationSeparator/>
      </w:r>
    </w:p>
  </w:endnote>
  <w:endnote w:type="continuationNotice" w:id="1">
    <w:p w14:paraId="76B8421B" w14:textId="77777777" w:rsidR="001A671B" w:rsidRDefault="001A67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87992947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3EBFF0" w14:textId="77777777" w:rsidR="000B1A35" w:rsidRDefault="000B1A35" w:rsidP="0067713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p>
    </w:sdtContent>
  </w:sdt>
  <w:p w14:paraId="61564CE7" w14:textId="77777777" w:rsidR="000B1A35" w:rsidRDefault="000B1A35" w:rsidP="000B1A3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104D54"/>
      </w:rPr>
      <w:id w:val="18903949"/>
      <w:docPartObj>
        <w:docPartGallery w:val="Page Numbers (Bottom of Page)"/>
        <w:docPartUnique/>
      </w:docPartObj>
    </w:sdtPr>
    <w:sdtEndPr>
      <w:rPr>
        <w:rStyle w:val="PageNumber"/>
        <w:rFonts w:ascii="Arial" w:hAnsi="Arial" w:cs="Arial"/>
        <w:b/>
        <w:bCs/>
      </w:rPr>
    </w:sdtEndPr>
    <w:sdtContent>
      <w:p w14:paraId="5E79C4F0" w14:textId="4FBC26E7" w:rsidR="000B1A35" w:rsidRPr="00B55AC3" w:rsidRDefault="000B1A35" w:rsidP="0067713C">
        <w:pPr>
          <w:pStyle w:val="Footer"/>
          <w:framePr w:wrap="none" w:vAnchor="text" w:hAnchor="margin" w:xAlign="right" w:y="1"/>
          <w:rPr>
            <w:rStyle w:val="PageNumber"/>
            <w:rFonts w:ascii="Arial" w:hAnsi="Arial" w:cs="Arial"/>
            <w:b/>
            <w:bCs/>
            <w:color w:val="104D54"/>
          </w:rPr>
        </w:pPr>
        <w:r>
          <w:rPr>
            <w:rStyle w:val="PageNumber"/>
            <w:rFonts w:ascii="Arial" w:hAnsi="Arial" w:cs="Arial"/>
            <w:b/>
            <w:color w:val="104D54"/>
          </w:rPr>
          <w:fldChar w:fldCharType="begin"/>
        </w:r>
        <w:r>
          <w:rPr>
            <w:rStyle w:val="PageNumber"/>
            <w:rFonts w:ascii="Arial" w:hAnsi="Arial" w:cs="Arial"/>
            <w:b/>
            <w:color w:val="104D54"/>
          </w:rPr>
          <w:instrText xml:space="preserve"> PAGE </w:instrText>
        </w:r>
        <w:r>
          <w:rPr>
            <w:rStyle w:val="PageNumber"/>
            <w:rFonts w:ascii="Arial" w:hAnsi="Arial" w:cs="Arial"/>
            <w:b/>
            <w:color w:val="104D54"/>
          </w:rPr>
          <w:fldChar w:fldCharType="separate"/>
        </w:r>
        <w:r>
          <w:rPr>
            <w:rStyle w:val="PageNumber"/>
            <w:rFonts w:ascii="Arial" w:hAnsi="Arial" w:cs="Arial"/>
            <w:b/>
            <w:color w:val="104D54"/>
          </w:rPr>
          <w:t>4</w:t>
        </w:r>
        <w:r>
          <w:rPr>
            <w:rStyle w:val="PageNumber"/>
            <w:rFonts w:ascii="Arial" w:hAnsi="Arial" w:cs="Arial"/>
            <w:b/>
            <w:color w:val="104D54"/>
          </w:rPr>
          <w:fldChar w:fldCharType="end"/>
        </w:r>
      </w:p>
    </w:sdtContent>
  </w:sdt>
  <w:p w14:paraId="008524F3" w14:textId="77777777" w:rsidR="000B1A35" w:rsidRPr="00B55AC3" w:rsidRDefault="000B1A35" w:rsidP="000B1A35">
    <w:pPr>
      <w:pStyle w:val="Footer"/>
      <w:ind w:right="360"/>
      <w:rPr>
        <w:rFonts w:ascii="Arial" w:hAnsi="Arial" w:cs="Arial"/>
        <w:b/>
        <w:bCs/>
        <w:color w:val="104D5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82C16" w14:textId="77777777" w:rsidR="001A671B" w:rsidRDefault="001A671B" w:rsidP="000B1A35">
      <w:r>
        <w:separator/>
      </w:r>
    </w:p>
  </w:footnote>
  <w:footnote w:type="continuationSeparator" w:id="0">
    <w:p w14:paraId="62BF8D73" w14:textId="77777777" w:rsidR="001A671B" w:rsidRDefault="001A671B" w:rsidP="000B1A35">
      <w:r>
        <w:continuationSeparator/>
      </w:r>
    </w:p>
  </w:footnote>
  <w:footnote w:type="continuationNotice" w:id="1">
    <w:p w14:paraId="13444E59" w14:textId="77777777" w:rsidR="001A671B" w:rsidRDefault="001A671B"/>
  </w:footnote>
  <w:footnote w:id="2">
    <w:p w14:paraId="71CB9891" w14:textId="150129FD" w:rsidR="00BA16C1" w:rsidRPr="00587A6A" w:rsidRDefault="00BA16C1" w:rsidP="00BA16C1">
      <w:pPr>
        <w:pStyle w:val="FootnoteText"/>
        <w:rPr>
          <w:rFonts w:ascii="Arial" w:hAnsi="Arial" w:cs="Arial"/>
          <w:sz w:val="18"/>
          <w:szCs w:val="18"/>
        </w:rPr>
      </w:pPr>
      <w:r>
        <w:rPr>
          <w:rStyle w:val="FootnoteReference"/>
          <w:rFonts w:ascii="Arial" w:hAnsi="Arial" w:cs="Arial"/>
          <w:sz w:val="18"/>
          <w:szCs w:val="18"/>
        </w:rPr>
        <w:footnoteRef/>
      </w:r>
      <w:r>
        <w:rPr>
          <w:rFonts w:ascii="Arial" w:hAnsi="Arial"/>
          <w:sz w:val="18"/>
        </w:rPr>
        <w:t xml:space="preserve"> </w:t>
      </w:r>
      <w:r>
        <w:tab/>
      </w:r>
      <w:r>
        <w:rPr>
          <w:rFonts w:ascii="Arial" w:hAnsi="Arial"/>
          <w:sz w:val="18"/>
        </w:rPr>
        <w:t>Limitazzjoni tal-obbligu li jiġu ttrasferiti s-Settijiet ta’ Data tal-Fornituri u s-Settijiet ta’ Data ta’ Partijiet Terzi, ma tillimitax l-obbligi tal-Fornitur deskritti fl-Artikolu 6 u fl-Artikolu 11.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EFCFD7" w14:textId="21D143BA" w:rsidR="00F237EA" w:rsidRDefault="00176E68">
    <w:pPr>
      <w:pStyle w:val="Header"/>
      <w:rPr>
        <w:rFonts w:ascii="Arial" w:hAnsi="Arial" w:cs="Arial"/>
        <w:b/>
        <w:bCs/>
        <w:color w:val="FFFFFF" w:themeColor="background1"/>
      </w:rPr>
    </w:pPr>
    <w:r>
      <w:rPr>
        <w:noProof/>
        <w:color w:val="FFFFFF" w:themeColor="background1"/>
        <w:u w:val="single"/>
      </w:rPr>
      <w:drawing>
        <wp:anchor distT="0" distB="0" distL="114300" distR="114300" simplePos="0" relativeHeight="251660288" behindDoc="1" locked="0" layoutInCell="1" allowOverlap="1" wp14:anchorId="33C77C43" wp14:editId="06F6EE29">
          <wp:simplePos x="0" y="0"/>
          <wp:positionH relativeFrom="column">
            <wp:posOffset>-914400</wp:posOffset>
          </wp:positionH>
          <wp:positionV relativeFrom="paragraph">
            <wp:posOffset>-450216</wp:posOffset>
          </wp:positionV>
          <wp:extent cx="7585656" cy="927135"/>
          <wp:effectExtent l="0" t="0" r="0" b="0"/>
          <wp:wrapNone/>
          <wp:docPr id="126458354" name="Picture 1264583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536" cy="928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FFFFFF" w:themeColor="background1"/>
        <w:u w:val="single"/>
      </w:rPr>
      <w:t xml:space="preserve"> </w:t>
    </w:r>
    <w:hyperlink r:id="rId2" w:history="1">
      <w:r>
        <w:rPr>
          <w:rStyle w:val="Hyperlink"/>
          <w:rFonts w:ascii="Arial" w:hAnsi="Arial"/>
          <w:color w:val="FFFFFF" w:themeColor="background1"/>
          <w:sz w:val="20"/>
          <w:u w:val="single"/>
        </w:rPr>
        <w:t>Akkwist tal-IA |</w:t>
      </w:r>
    </w:hyperlink>
    <w:hyperlink r:id="rId3" w:history="1">
      <w:r>
        <w:rPr>
          <w:rStyle w:val="Hyperlink"/>
          <w:rFonts w:ascii="Arial" w:hAnsi="Arial"/>
          <w:color w:val="FFFFFF" w:themeColor="background1"/>
          <w:sz w:val="20"/>
          <w:u w:val="single"/>
        </w:rPr>
        <w:t xml:space="preserve"> Komunità tax-Xerrejja Pubbliċi</w:t>
      </w:r>
    </w:hyperlink>
    <w:r>
      <w:tab/>
    </w:r>
    <w:r>
      <w:rPr>
        <w:rFonts w:ascii="Arial" w:hAnsi="Arial"/>
        <w:color w:val="FFFFFF" w:themeColor="background1"/>
      </w:rPr>
      <w:t xml:space="preserve">  </w:t>
    </w:r>
    <w:r>
      <w:tab/>
    </w:r>
    <w:r>
      <w:rPr>
        <w:rFonts w:ascii="Arial" w:hAnsi="Arial"/>
        <w:b/>
        <w:color w:val="FFFFFF" w:themeColor="background1"/>
      </w:rPr>
      <w:t>MCC-AI-LIGHT</w:t>
    </w:r>
  </w:p>
  <w:p w14:paraId="1A055AFA" w14:textId="657C8F6A" w:rsidR="002403BC" w:rsidRDefault="002403BC">
    <w:pPr>
      <w:pStyle w:val="Header"/>
      <w:rPr>
        <w:rFonts w:ascii="Arial" w:hAnsi="Arial" w:cs="Arial"/>
        <w:b/>
        <w:bCs/>
        <w:color w:val="FFFFFF" w:themeColor="background1"/>
      </w:rPr>
    </w:pPr>
  </w:p>
  <w:p w14:paraId="5A7FE390" w14:textId="77777777" w:rsidR="000B1A35" w:rsidRPr="00663E0A" w:rsidRDefault="000B1A35">
    <w:pPr>
      <w:pStyle w:val="Header"/>
      <w:rPr>
        <w:color w:val="FFFFFF" w:themeColor="background1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0DFCB" w14:textId="77777777" w:rsidR="000B1A35" w:rsidRDefault="000B1A35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A1B49E0" wp14:editId="13EDEBF2">
          <wp:simplePos x="0" y="0"/>
          <wp:positionH relativeFrom="column">
            <wp:posOffset>-914400</wp:posOffset>
          </wp:positionH>
          <wp:positionV relativeFrom="paragraph">
            <wp:posOffset>-421186</wp:posOffset>
          </wp:positionV>
          <wp:extent cx="7533182" cy="10656941"/>
          <wp:effectExtent l="0" t="0" r="0" b="0"/>
          <wp:wrapNone/>
          <wp:docPr id="1506667429" name="Picture 15066674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4483187" name="Picture 96448318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3182" cy="106569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F06B4"/>
    <w:multiLevelType w:val="multilevel"/>
    <w:tmpl w:val="D8143294"/>
    <w:lvl w:ilvl="0">
      <w:start w:val="1"/>
      <w:numFmt w:val="bullet"/>
      <w:pStyle w:val="doBullets1"/>
      <w:lvlText w:val=""/>
      <w:lvlJc w:val="left"/>
      <w:pPr>
        <w:ind w:left="851" w:hanging="851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01" w:hanging="85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52" w:hanging="851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02" w:hanging="85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53" w:hanging="851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103" w:hanging="85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3"/>
        </w:tabs>
        <w:ind w:left="5954" w:hanging="851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54"/>
        </w:tabs>
        <w:ind w:left="6804" w:hanging="85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655" w:hanging="851"/>
      </w:pPr>
      <w:rPr>
        <w:rFonts w:ascii="Wingdings" w:hAnsi="Wingdings" w:hint="default"/>
      </w:rPr>
    </w:lvl>
  </w:abstractNum>
  <w:abstractNum w:abstractNumId="1" w15:restartNumberingAfterBreak="0">
    <w:nsid w:val="08583C5C"/>
    <w:multiLevelType w:val="multilevel"/>
    <w:tmpl w:val="BE2A068E"/>
    <w:lvl w:ilvl="0">
      <w:start w:val="1"/>
      <w:numFmt w:val="decimal"/>
      <w:pStyle w:val="doLijstnummering7"/>
      <w:lvlText w:val="Artikolu %1"/>
      <w:lvlJc w:val="left"/>
      <w:pPr>
        <w:tabs>
          <w:tab w:val="num" w:pos="851"/>
        </w:tabs>
        <w:ind w:left="851" w:hanging="851"/>
      </w:pPr>
      <w:rPr>
        <w:rFonts w:hint="default"/>
        <w:b w:val="0"/>
        <w:u w:val="single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="Arial" w:hAnsi="Arial" w:cs="Arial" w:hint="default"/>
        <w:b w:val="0"/>
        <w:i w:val="0"/>
        <w:sz w:val="22"/>
        <w:szCs w:val="22"/>
      </w:rPr>
    </w:lvl>
    <w:lvl w:ilvl="2">
      <w:start w:val="1"/>
      <w:numFmt w:val="lowerLetter"/>
      <w:lvlText w:val="%3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3">
      <w:start w:val="1"/>
      <w:numFmt w:val="lowerRoman"/>
      <w:lvlText w:val="%4.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</w:abstractNum>
  <w:abstractNum w:abstractNumId="2" w15:restartNumberingAfterBreak="0">
    <w:nsid w:val="283824ED"/>
    <w:multiLevelType w:val="multilevel"/>
    <w:tmpl w:val="40008F20"/>
    <w:lvl w:ilvl="0">
      <w:start w:val="1"/>
      <w:numFmt w:val="lowerRoman"/>
      <w:pStyle w:val="doLijstnummering4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low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low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low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low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low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low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low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3" w15:restartNumberingAfterBreak="0">
    <w:nsid w:val="38222A4F"/>
    <w:multiLevelType w:val="hybridMultilevel"/>
    <w:tmpl w:val="3C585E60"/>
    <w:lvl w:ilvl="0" w:tplc="E21C0E82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EF005D"/>
    <w:multiLevelType w:val="multilevel"/>
    <w:tmpl w:val="7FDCB5BC"/>
    <w:lvl w:ilvl="0">
      <w:start w:val="1"/>
      <w:numFmt w:val="bullet"/>
      <w:pStyle w:val="PurpleBullet"/>
      <w:lvlText w:val=""/>
      <w:lvlJc w:val="left"/>
      <w:pPr>
        <w:ind w:left="720" w:hanging="363"/>
      </w:pPr>
      <w:rPr>
        <w:rFonts w:ascii="Symbol" w:hAnsi="Symbol" w:hint="default"/>
        <w:color w:val="FF4F3D"/>
      </w:rPr>
    </w:lvl>
    <w:lvl w:ilvl="1">
      <w:start w:val="1"/>
      <w:numFmt w:val="bullet"/>
      <w:lvlText w:val=""/>
      <w:lvlJc w:val="left"/>
      <w:pPr>
        <w:ind w:left="1264" w:hanging="363"/>
      </w:pPr>
      <w:rPr>
        <w:rFonts w:ascii="Symbol" w:hAnsi="Symbol" w:hint="default"/>
        <w:color w:val="FF4F3D"/>
      </w:rPr>
    </w:lvl>
    <w:lvl w:ilvl="2">
      <w:start w:val="1"/>
      <w:numFmt w:val="bullet"/>
      <w:lvlText w:val=""/>
      <w:lvlJc w:val="left"/>
      <w:pPr>
        <w:ind w:left="1805" w:hanging="360"/>
      </w:pPr>
      <w:rPr>
        <w:rFonts w:ascii="Symbol" w:hAnsi="Symbol" w:hint="default"/>
        <w:color w:val="FF4F3D"/>
      </w:rPr>
    </w:lvl>
    <w:lvl w:ilvl="3">
      <w:start w:val="1"/>
      <w:numFmt w:val="bullet"/>
      <w:lvlText w:val=""/>
      <w:lvlJc w:val="left"/>
      <w:pPr>
        <w:ind w:left="2352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896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440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984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528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072" w:hanging="363"/>
      </w:pPr>
      <w:rPr>
        <w:rFonts w:ascii="Wingdings" w:hAnsi="Wingdings" w:hint="default"/>
      </w:rPr>
    </w:lvl>
  </w:abstractNum>
  <w:abstractNum w:abstractNumId="5" w15:restartNumberingAfterBreak="0">
    <w:nsid w:val="652E5F89"/>
    <w:multiLevelType w:val="multilevel"/>
    <w:tmpl w:val="26B2CF48"/>
    <w:lvl w:ilvl="0">
      <w:start w:val="1"/>
      <w:numFmt w:val="upperRoman"/>
      <w:pStyle w:val="doLijstnummering3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upp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upp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upp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upp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upp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upp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6" w15:restartNumberingAfterBreak="0">
    <w:nsid w:val="68490AFA"/>
    <w:multiLevelType w:val="multilevel"/>
    <w:tmpl w:val="479EE3FA"/>
    <w:lvl w:ilvl="0">
      <w:start w:val="1"/>
      <w:numFmt w:val="decimal"/>
      <w:pStyle w:val="doLijstnummering5"/>
      <w:lvlText w:val="%1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 w:val="0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7" w15:restartNumberingAfterBreak="0">
    <w:nsid w:val="74802BA1"/>
    <w:multiLevelType w:val="hybridMultilevel"/>
    <w:tmpl w:val="0D9EE790"/>
    <w:lvl w:ilvl="0" w:tplc="B9C8A8BE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8" w15:restartNumberingAfterBreak="0">
    <w:nsid w:val="7A5560F6"/>
    <w:multiLevelType w:val="hybridMultilevel"/>
    <w:tmpl w:val="164A8EC4"/>
    <w:lvl w:ilvl="0" w:tplc="64C676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AD7C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7372366">
    <w:abstractNumId w:val="3"/>
  </w:num>
  <w:num w:numId="2" w16cid:durableId="1455057341">
    <w:abstractNumId w:val="4"/>
  </w:num>
  <w:num w:numId="3" w16cid:durableId="1522668214">
    <w:abstractNumId w:val="8"/>
  </w:num>
  <w:num w:numId="4" w16cid:durableId="1184053088">
    <w:abstractNumId w:val="7"/>
  </w:num>
  <w:num w:numId="5" w16cid:durableId="1176337999">
    <w:abstractNumId w:val="0"/>
  </w:num>
  <w:num w:numId="6" w16cid:durableId="32268302">
    <w:abstractNumId w:val="1"/>
  </w:num>
  <w:num w:numId="7" w16cid:durableId="1738745719">
    <w:abstractNumId w:val="5"/>
  </w:num>
  <w:num w:numId="8" w16cid:durableId="1801878948">
    <w:abstractNumId w:val="2"/>
  </w:num>
  <w:num w:numId="9" w16cid:durableId="397017417">
    <w:abstractNumId w:val="6"/>
  </w:num>
  <w:num w:numId="10" w16cid:durableId="108222219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58020431">
    <w:abstractNumId w:val="1"/>
  </w:num>
  <w:num w:numId="12" w16cid:durableId="720444428">
    <w:abstractNumId w:val="1"/>
  </w:num>
  <w:num w:numId="13" w16cid:durableId="247731967">
    <w:abstractNumId w:val="1"/>
  </w:num>
  <w:num w:numId="14" w16cid:durableId="705563970">
    <w:abstractNumId w:val="1"/>
  </w:num>
  <w:num w:numId="15" w16cid:durableId="35090016">
    <w:abstractNumId w:val="1"/>
  </w:num>
  <w:num w:numId="16" w16cid:durableId="905067315">
    <w:abstractNumId w:val="1"/>
  </w:num>
  <w:num w:numId="17" w16cid:durableId="1768965762">
    <w:abstractNumId w:val="1"/>
  </w:num>
  <w:num w:numId="18" w16cid:durableId="1153791597">
    <w:abstractNumId w:val="1"/>
  </w:num>
  <w:num w:numId="19" w16cid:durableId="541794588">
    <w:abstractNumId w:val="1"/>
  </w:num>
  <w:num w:numId="20" w16cid:durableId="16500934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06068770">
    <w:abstractNumId w:val="1"/>
  </w:num>
  <w:num w:numId="22" w16cid:durableId="292172860">
    <w:abstractNumId w:val="1"/>
  </w:num>
  <w:num w:numId="23" w16cid:durableId="317929584">
    <w:abstractNumId w:val="1"/>
  </w:num>
  <w:num w:numId="24" w16cid:durableId="6719589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0B1A35"/>
    <w:rsid w:val="00002575"/>
    <w:rsid w:val="00006004"/>
    <w:rsid w:val="0000691D"/>
    <w:rsid w:val="00007FF9"/>
    <w:rsid w:val="00027B87"/>
    <w:rsid w:val="00036997"/>
    <w:rsid w:val="00036BE2"/>
    <w:rsid w:val="00037398"/>
    <w:rsid w:val="00041544"/>
    <w:rsid w:val="00045093"/>
    <w:rsid w:val="00074176"/>
    <w:rsid w:val="00081A11"/>
    <w:rsid w:val="00081DBA"/>
    <w:rsid w:val="000968D7"/>
    <w:rsid w:val="00097747"/>
    <w:rsid w:val="000B1A35"/>
    <w:rsid w:val="000C30D6"/>
    <w:rsid w:val="000C3F8C"/>
    <w:rsid w:val="000C4BBB"/>
    <w:rsid w:val="000C6DBC"/>
    <w:rsid w:val="000D00A9"/>
    <w:rsid w:val="000D01FA"/>
    <w:rsid w:val="000D2695"/>
    <w:rsid w:val="000E5159"/>
    <w:rsid w:val="000F19C1"/>
    <w:rsid w:val="000F1F04"/>
    <w:rsid w:val="000F6F09"/>
    <w:rsid w:val="0010258B"/>
    <w:rsid w:val="00104CF1"/>
    <w:rsid w:val="00115AFB"/>
    <w:rsid w:val="0015639E"/>
    <w:rsid w:val="001657E8"/>
    <w:rsid w:val="00176170"/>
    <w:rsid w:val="00176E68"/>
    <w:rsid w:val="00180D7B"/>
    <w:rsid w:val="00197E80"/>
    <w:rsid w:val="001A1DB4"/>
    <w:rsid w:val="001A2C1E"/>
    <w:rsid w:val="001A671B"/>
    <w:rsid w:val="001A7E31"/>
    <w:rsid w:val="001B22EC"/>
    <w:rsid w:val="001B53BF"/>
    <w:rsid w:val="001B6D6B"/>
    <w:rsid w:val="001C026D"/>
    <w:rsid w:val="001C5152"/>
    <w:rsid w:val="001C60AD"/>
    <w:rsid w:val="001C71D1"/>
    <w:rsid w:val="001D565B"/>
    <w:rsid w:val="001D6FF9"/>
    <w:rsid w:val="001E363C"/>
    <w:rsid w:val="001E7393"/>
    <w:rsid w:val="0021250A"/>
    <w:rsid w:val="00220DD3"/>
    <w:rsid w:val="00221900"/>
    <w:rsid w:val="00232BFE"/>
    <w:rsid w:val="00233405"/>
    <w:rsid w:val="00233638"/>
    <w:rsid w:val="002403BC"/>
    <w:rsid w:val="00242812"/>
    <w:rsid w:val="00243816"/>
    <w:rsid w:val="00252775"/>
    <w:rsid w:val="00261217"/>
    <w:rsid w:val="002715F2"/>
    <w:rsid w:val="0027316C"/>
    <w:rsid w:val="00283995"/>
    <w:rsid w:val="0028753D"/>
    <w:rsid w:val="002A36B1"/>
    <w:rsid w:val="002A644D"/>
    <w:rsid w:val="002B6F0E"/>
    <w:rsid w:val="002E4073"/>
    <w:rsid w:val="002F0892"/>
    <w:rsid w:val="002F32D4"/>
    <w:rsid w:val="003210B7"/>
    <w:rsid w:val="00322153"/>
    <w:rsid w:val="00335F43"/>
    <w:rsid w:val="00342F3C"/>
    <w:rsid w:val="003513E1"/>
    <w:rsid w:val="003603D9"/>
    <w:rsid w:val="00360601"/>
    <w:rsid w:val="003606E6"/>
    <w:rsid w:val="003638E6"/>
    <w:rsid w:val="00370488"/>
    <w:rsid w:val="00372781"/>
    <w:rsid w:val="003772EE"/>
    <w:rsid w:val="00383E04"/>
    <w:rsid w:val="003868C1"/>
    <w:rsid w:val="00395953"/>
    <w:rsid w:val="003A4BBD"/>
    <w:rsid w:val="003E5429"/>
    <w:rsid w:val="003E72D0"/>
    <w:rsid w:val="003F45EE"/>
    <w:rsid w:val="004019AA"/>
    <w:rsid w:val="004029BE"/>
    <w:rsid w:val="0040327A"/>
    <w:rsid w:val="00414279"/>
    <w:rsid w:val="0041678B"/>
    <w:rsid w:val="004169B9"/>
    <w:rsid w:val="00420DBF"/>
    <w:rsid w:val="0042196A"/>
    <w:rsid w:val="00426073"/>
    <w:rsid w:val="004349E2"/>
    <w:rsid w:val="00442824"/>
    <w:rsid w:val="00442E9E"/>
    <w:rsid w:val="004536D1"/>
    <w:rsid w:val="00455082"/>
    <w:rsid w:val="00463975"/>
    <w:rsid w:val="00467E4D"/>
    <w:rsid w:val="00471616"/>
    <w:rsid w:val="0048328A"/>
    <w:rsid w:val="00493BEA"/>
    <w:rsid w:val="004A17DE"/>
    <w:rsid w:val="004B3F91"/>
    <w:rsid w:val="004B7420"/>
    <w:rsid w:val="004C3A0D"/>
    <w:rsid w:val="004C7E31"/>
    <w:rsid w:val="004E1E9B"/>
    <w:rsid w:val="00504D64"/>
    <w:rsid w:val="0051019E"/>
    <w:rsid w:val="005112B8"/>
    <w:rsid w:val="00520188"/>
    <w:rsid w:val="00542951"/>
    <w:rsid w:val="00564D65"/>
    <w:rsid w:val="00577D84"/>
    <w:rsid w:val="005848B9"/>
    <w:rsid w:val="00587A6A"/>
    <w:rsid w:val="00592294"/>
    <w:rsid w:val="00592734"/>
    <w:rsid w:val="005A77D1"/>
    <w:rsid w:val="005D01D2"/>
    <w:rsid w:val="005D4004"/>
    <w:rsid w:val="005E0452"/>
    <w:rsid w:val="005F6386"/>
    <w:rsid w:val="00604B41"/>
    <w:rsid w:val="00610872"/>
    <w:rsid w:val="00631530"/>
    <w:rsid w:val="00644C6D"/>
    <w:rsid w:val="00647690"/>
    <w:rsid w:val="0065157E"/>
    <w:rsid w:val="0065578B"/>
    <w:rsid w:val="00663E0A"/>
    <w:rsid w:val="00671C56"/>
    <w:rsid w:val="00681F56"/>
    <w:rsid w:val="00685884"/>
    <w:rsid w:val="006873F3"/>
    <w:rsid w:val="0069530D"/>
    <w:rsid w:val="0069571E"/>
    <w:rsid w:val="006A54AF"/>
    <w:rsid w:val="006B0F35"/>
    <w:rsid w:val="006B28C0"/>
    <w:rsid w:val="006D5AA1"/>
    <w:rsid w:val="006F33F2"/>
    <w:rsid w:val="007034FF"/>
    <w:rsid w:val="00707B3E"/>
    <w:rsid w:val="0071325D"/>
    <w:rsid w:val="00714F61"/>
    <w:rsid w:val="00727DD8"/>
    <w:rsid w:val="007515F7"/>
    <w:rsid w:val="00753D62"/>
    <w:rsid w:val="00757F3C"/>
    <w:rsid w:val="00760F64"/>
    <w:rsid w:val="0077245C"/>
    <w:rsid w:val="007733BA"/>
    <w:rsid w:val="00777C2E"/>
    <w:rsid w:val="00786D8F"/>
    <w:rsid w:val="00794C66"/>
    <w:rsid w:val="00796EBA"/>
    <w:rsid w:val="007A1C7B"/>
    <w:rsid w:val="007B0EC4"/>
    <w:rsid w:val="007B4344"/>
    <w:rsid w:val="007B43D2"/>
    <w:rsid w:val="007C587B"/>
    <w:rsid w:val="007E2E87"/>
    <w:rsid w:val="007F415F"/>
    <w:rsid w:val="007F5733"/>
    <w:rsid w:val="007F5AF0"/>
    <w:rsid w:val="00805C45"/>
    <w:rsid w:val="00817A94"/>
    <w:rsid w:val="00823FBD"/>
    <w:rsid w:val="00825E58"/>
    <w:rsid w:val="00847252"/>
    <w:rsid w:val="00852916"/>
    <w:rsid w:val="00855482"/>
    <w:rsid w:val="00863BB8"/>
    <w:rsid w:val="0087271F"/>
    <w:rsid w:val="00876ED4"/>
    <w:rsid w:val="00881CBB"/>
    <w:rsid w:val="00894AD3"/>
    <w:rsid w:val="00896A6B"/>
    <w:rsid w:val="00896F5A"/>
    <w:rsid w:val="008A5629"/>
    <w:rsid w:val="008B0AE9"/>
    <w:rsid w:val="008B0F7B"/>
    <w:rsid w:val="008B2A0A"/>
    <w:rsid w:val="008C7392"/>
    <w:rsid w:val="008E71A8"/>
    <w:rsid w:val="00900F32"/>
    <w:rsid w:val="0092617F"/>
    <w:rsid w:val="009262D9"/>
    <w:rsid w:val="00926F88"/>
    <w:rsid w:val="00931F81"/>
    <w:rsid w:val="009369A7"/>
    <w:rsid w:val="00945E8F"/>
    <w:rsid w:val="00952BCA"/>
    <w:rsid w:val="009542D2"/>
    <w:rsid w:val="009543CD"/>
    <w:rsid w:val="009575C8"/>
    <w:rsid w:val="009614B5"/>
    <w:rsid w:val="00963079"/>
    <w:rsid w:val="00971516"/>
    <w:rsid w:val="009717AA"/>
    <w:rsid w:val="00971CCA"/>
    <w:rsid w:val="00982CDF"/>
    <w:rsid w:val="009832AB"/>
    <w:rsid w:val="00987CDE"/>
    <w:rsid w:val="009950EF"/>
    <w:rsid w:val="0099610D"/>
    <w:rsid w:val="009A315D"/>
    <w:rsid w:val="009D1C05"/>
    <w:rsid w:val="009E1686"/>
    <w:rsid w:val="009E4AD9"/>
    <w:rsid w:val="009E7717"/>
    <w:rsid w:val="009E78A6"/>
    <w:rsid w:val="009F65B8"/>
    <w:rsid w:val="00A034DC"/>
    <w:rsid w:val="00A05758"/>
    <w:rsid w:val="00A10E62"/>
    <w:rsid w:val="00A11369"/>
    <w:rsid w:val="00A1507F"/>
    <w:rsid w:val="00A20CA4"/>
    <w:rsid w:val="00A21CC2"/>
    <w:rsid w:val="00A24CAA"/>
    <w:rsid w:val="00A3690B"/>
    <w:rsid w:val="00A40D8C"/>
    <w:rsid w:val="00A44F78"/>
    <w:rsid w:val="00A4676A"/>
    <w:rsid w:val="00A5091D"/>
    <w:rsid w:val="00A50D4D"/>
    <w:rsid w:val="00A6218C"/>
    <w:rsid w:val="00A70B60"/>
    <w:rsid w:val="00A923CC"/>
    <w:rsid w:val="00A94946"/>
    <w:rsid w:val="00AA3063"/>
    <w:rsid w:val="00AB1857"/>
    <w:rsid w:val="00AB2829"/>
    <w:rsid w:val="00AB60DA"/>
    <w:rsid w:val="00AF0004"/>
    <w:rsid w:val="00AF141A"/>
    <w:rsid w:val="00AF6623"/>
    <w:rsid w:val="00B063EF"/>
    <w:rsid w:val="00B27DAA"/>
    <w:rsid w:val="00B33D0F"/>
    <w:rsid w:val="00B544B1"/>
    <w:rsid w:val="00B55AC3"/>
    <w:rsid w:val="00B5641B"/>
    <w:rsid w:val="00B579BE"/>
    <w:rsid w:val="00B61CD1"/>
    <w:rsid w:val="00B71F90"/>
    <w:rsid w:val="00BA16C1"/>
    <w:rsid w:val="00BA5A56"/>
    <w:rsid w:val="00BB1ECA"/>
    <w:rsid w:val="00BB7E2F"/>
    <w:rsid w:val="00BD060D"/>
    <w:rsid w:val="00BD0EE8"/>
    <w:rsid w:val="00BD5ED5"/>
    <w:rsid w:val="00BE2463"/>
    <w:rsid w:val="00BF1059"/>
    <w:rsid w:val="00C02E1C"/>
    <w:rsid w:val="00C2438E"/>
    <w:rsid w:val="00C36498"/>
    <w:rsid w:val="00C5181A"/>
    <w:rsid w:val="00C52417"/>
    <w:rsid w:val="00C60202"/>
    <w:rsid w:val="00C72B64"/>
    <w:rsid w:val="00C758CB"/>
    <w:rsid w:val="00C90B5A"/>
    <w:rsid w:val="00CA25BA"/>
    <w:rsid w:val="00CA3936"/>
    <w:rsid w:val="00CA3D74"/>
    <w:rsid w:val="00CD46A1"/>
    <w:rsid w:val="00CE2EF9"/>
    <w:rsid w:val="00CE6E80"/>
    <w:rsid w:val="00CF3257"/>
    <w:rsid w:val="00CF3CDB"/>
    <w:rsid w:val="00CF70F4"/>
    <w:rsid w:val="00CF715B"/>
    <w:rsid w:val="00D05A39"/>
    <w:rsid w:val="00D10B6A"/>
    <w:rsid w:val="00D12693"/>
    <w:rsid w:val="00D23C82"/>
    <w:rsid w:val="00D32A70"/>
    <w:rsid w:val="00D33B49"/>
    <w:rsid w:val="00D753EA"/>
    <w:rsid w:val="00D87486"/>
    <w:rsid w:val="00D973FF"/>
    <w:rsid w:val="00DB24E3"/>
    <w:rsid w:val="00DD1784"/>
    <w:rsid w:val="00DD3E4F"/>
    <w:rsid w:val="00DD508B"/>
    <w:rsid w:val="00DE147F"/>
    <w:rsid w:val="00DE1E54"/>
    <w:rsid w:val="00DE38B8"/>
    <w:rsid w:val="00DE53F7"/>
    <w:rsid w:val="00E0118B"/>
    <w:rsid w:val="00E117A3"/>
    <w:rsid w:val="00E22239"/>
    <w:rsid w:val="00E23CDD"/>
    <w:rsid w:val="00E25FF5"/>
    <w:rsid w:val="00E33CA8"/>
    <w:rsid w:val="00E35D4C"/>
    <w:rsid w:val="00E42D60"/>
    <w:rsid w:val="00E520A8"/>
    <w:rsid w:val="00E539D0"/>
    <w:rsid w:val="00E57FD1"/>
    <w:rsid w:val="00E84AC9"/>
    <w:rsid w:val="00E8635C"/>
    <w:rsid w:val="00E86418"/>
    <w:rsid w:val="00E91FAA"/>
    <w:rsid w:val="00E92467"/>
    <w:rsid w:val="00E926AD"/>
    <w:rsid w:val="00E95234"/>
    <w:rsid w:val="00EA5073"/>
    <w:rsid w:val="00EB21E4"/>
    <w:rsid w:val="00EB3656"/>
    <w:rsid w:val="00EB4EEC"/>
    <w:rsid w:val="00EC48D6"/>
    <w:rsid w:val="00ED209A"/>
    <w:rsid w:val="00ED6385"/>
    <w:rsid w:val="00ED6F91"/>
    <w:rsid w:val="00EE008C"/>
    <w:rsid w:val="00EF59D8"/>
    <w:rsid w:val="00EF66D5"/>
    <w:rsid w:val="00F0489D"/>
    <w:rsid w:val="00F13405"/>
    <w:rsid w:val="00F237EA"/>
    <w:rsid w:val="00F23C53"/>
    <w:rsid w:val="00F244E5"/>
    <w:rsid w:val="00F40578"/>
    <w:rsid w:val="00F425D1"/>
    <w:rsid w:val="00F56CDC"/>
    <w:rsid w:val="00F756FF"/>
    <w:rsid w:val="00F87ADD"/>
    <w:rsid w:val="00F87DDA"/>
    <w:rsid w:val="00F9102F"/>
    <w:rsid w:val="00FA26D3"/>
    <w:rsid w:val="00FB6D67"/>
    <w:rsid w:val="00FC16B4"/>
    <w:rsid w:val="00FD0514"/>
    <w:rsid w:val="00FD6885"/>
    <w:rsid w:val="00FD7B84"/>
    <w:rsid w:val="00FE1B28"/>
    <w:rsid w:val="00FE5E28"/>
    <w:rsid w:val="00FF141C"/>
    <w:rsid w:val="00FF7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0AF02FB"/>
  <w15:chartTrackingRefBased/>
  <w15:docId w15:val="{7B21ECDA-1CF2-4B4B-B89D-F8BE9588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mt-M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4019AA"/>
    <w:pPr>
      <w:widowControl w:val="0"/>
      <w:autoSpaceDE w:val="0"/>
      <w:autoSpaceDN w:val="0"/>
      <w:adjustRightInd w:val="0"/>
      <w:outlineLvl w:val="0"/>
    </w:pPr>
    <w:rPr>
      <w:rFonts w:ascii="Arial" w:eastAsiaTheme="minorEastAsia" w:hAnsi="Arial" w:cs="Arial"/>
      <w:b/>
      <w:bCs/>
      <w:color w:val="034EA2"/>
      <w:sz w:val="40"/>
      <w:szCs w:val="40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44B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44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44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A35"/>
  </w:style>
  <w:style w:type="paragraph" w:styleId="Footer">
    <w:name w:val="footer"/>
    <w:basedOn w:val="Normal"/>
    <w:link w:val="Foot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A35"/>
  </w:style>
  <w:style w:type="character" w:styleId="PageNumber">
    <w:name w:val="page number"/>
    <w:basedOn w:val="DefaultParagraphFont"/>
    <w:uiPriority w:val="99"/>
    <w:semiHidden/>
    <w:unhideWhenUsed/>
    <w:rsid w:val="000B1A35"/>
  </w:style>
  <w:style w:type="character" w:customStyle="1" w:styleId="Heading1Char">
    <w:name w:val="Heading 1 Char"/>
    <w:basedOn w:val="DefaultParagraphFont"/>
    <w:link w:val="Heading1"/>
    <w:uiPriority w:val="1"/>
    <w:rsid w:val="004019AA"/>
    <w:rPr>
      <w:rFonts w:ascii="Arial" w:eastAsiaTheme="minorEastAsia" w:hAnsi="Arial" w:cs="Arial"/>
      <w:b/>
      <w:bCs/>
      <w:color w:val="034EA2"/>
      <w:sz w:val="40"/>
      <w:szCs w:val="40"/>
      <w:lang w:val="mt-MT" w:eastAsia="en-GB"/>
    </w:rPr>
  </w:style>
  <w:style w:type="paragraph" w:styleId="BodyText">
    <w:name w:val="Body Text"/>
    <w:basedOn w:val="Normal"/>
    <w:link w:val="BodyTextChar"/>
    <w:uiPriority w:val="1"/>
    <w:qFormat/>
    <w:rsid w:val="004019AA"/>
    <w:pPr>
      <w:widowControl w:val="0"/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character" w:customStyle="1" w:styleId="BodyTextChar">
    <w:name w:val="Body Text Char"/>
    <w:basedOn w:val="DefaultParagraphFont"/>
    <w:link w:val="BodyText"/>
    <w:uiPriority w:val="1"/>
    <w:rsid w:val="004019AA"/>
    <w:rPr>
      <w:rFonts w:ascii="Arial" w:eastAsiaTheme="minorEastAsia" w:hAnsi="Arial" w:cs="Arial"/>
      <w:color w:val="034EA2"/>
      <w:sz w:val="18"/>
      <w:szCs w:val="18"/>
      <w:lang w:val="mt-MT" w:eastAsia="en-GB"/>
    </w:rPr>
  </w:style>
  <w:style w:type="paragraph" w:styleId="Title">
    <w:name w:val="Title"/>
    <w:basedOn w:val="Normal"/>
    <w:next w:val="Normal"/>
    <w:link w:val="TitleChar"/>
    <w:uiPriority w:val="1"/>
    <w:qFormat/>
    <w:rsid w:val="004019AA"/>
    <w:pPr>
      <w:keepNext/>
      <w:keepLines/>
      <w:widowControl w:val="0"/>
      <w:autoSpaceDE w:val="0"/>
      <w:autoSpaceDN w:val="0"/>
      <w:adjustRightInd w:val="0"/>
      <w:contextualSpacing/>
    </w:pPr>
    <w:rPr>
      <w:rFonts w:ascii="Arial" w:eastAsiaTheme="minorEastAsia" w:hAnsi="Arial" w:cs="Arial"/>
      <w:b/>
      <w:bCs/>
      <w:sz w:val="22"/>
      <w:szCs w:val="22"/>
      <w:lang w:eastAsia="en-GB"/>
    </w:rPr>
  </w:style>
  <w:style w:type="character" w:customStyle="1" w:styleId="TitleChar">
    <w:name w:val="Title Char"/>
    <w:basedOn w:val="DefaultParagraphFont"/>
    <w:link w:val="Title"/>
    <w:uiPriority w:val="1"/>
    <w:rsid w:val="004019AA"/>
    <w:rPr>
      <w:rFonts w:ascii="Arial" w:eastAsiaTheme="minorEastAsia" w:hAnsi="Arial" w:cs="Arial"/>
      <w:b/>
      <w:bCs/>
      <w:sz w:val="22"/>
      <w:szCs w:val="22"/>
      <w:lang w:val="mt-MT" w:eastAsia="en-GB"/>
    </w:rPr>
  </w:style>
  <w:style w:type="paragraph" w:styleId="ListParagraph">
    <w:name w:val="List Paragraph"/>
    <w:basedOn w:val="Normal"/>
    <w:uiPriority w:val="1"/>
    <w:qFormat/>
    <w:rsid w:val="004019AA"/>
    <w:pPr>
      <w:widowControl w:val="0"/>
      <w:numPr>
        <w:numId w:val="1"/>
      </w:numPr>
      <w:tabs>
        <w:tab w:val="left" w:pos="241"/>
      </w:tabs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table" w:styleId="TableGrid">
    <w:name w:val="Table Grid"/>
    <w:basedOn w:val="TableNormal"/>
    <w:uiPriority w:val="59"/>
    <w:rsid w:val="004019AA"/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uiPriority w:val="99"/>
    <w:unhideWhenUsed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34EA2"/>
      <w:sz w:val="36"/>
      <w:szCs w:val="36"/>
      <w:lang w:eastAsia="en-GB"/>
    </w:rPr>
  </w:style>
  <w:style w:type="character" w:customStyle="1" w:styleId="DateChar">
    <w:name w:val="Date Char"/>
    <w:basedOn w:val="DefaultParagraphFont"/>
    <w:link w:val="Date"/>
    <w:uiPriority w:val="99"/>
    <w:rsid w:val="004019AA"/>
    <w:rPr>
      <w:rFonts w:ascii="Arial" w:eastAsiaTheme="minorEastAsia" w:hAnsi="Arial" w:cs="Arial"/>
      <w:color w:val="034EA2"/>
      <w:sz w:val="36"/>
      <w:szCs w:val="36"/>
      <w:lang w:val="mt-MT" w:eastAsia="en-GB"/>
    </w:rPr>
  </w:style>
  <w:style w:type="paragraph" w:customStyle="1" w:styleId="Location">
    <w:name w:val="Location"/>
    <w:basedOn w:val="Normal"/>
    <w:autoRedefine/>
    <w:uiPriority w:val="1"/>
    <w:qFormat/>
    <w:rsid w:val="004019AA"/>
    <w:pPr>
      <w:widowControl w:val="0"/>
      <w:pBdr>
        <w:left w:val="single" w:sz="18" w:space="1" w:color="4472C4" w:themeColor="accent1"/>
      </w:pBdr>
      <w:autoSpaceDE w:val="0"/>
      <w:autoSpaceDN w:val="0"/>
      <w:adjustRightInd w:val="0"/>
    </w:pPr>
    <w:rPr>
      <w:rFonts w:ascii="Arial" w:eastAsiaTheme="minorEastAsia" w:hAnsi="Arial" w:cs="Arial"/>
      <w:color w:val="104D55"/>
      <w:sz w:val="36"/>
      <w:szCs w:val="36"/>
      <w:lang w:eastAsia="en-GB"/>
    </w:rPr>
  </w:style>
  <w:style w:type="paragraph" w:customStyle="1" w:styleId="Time">
    <w:name w:val="Time"/>
    <w:basedOn w:val="Normal"/>
    <w:uiPriority w:val="1"/>
    <w:qFormat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8"/>
      <w:szCs w:val="18"/>
      <w:lang w:eastAsia="en-GB"/>
    </w:rPr>
  </w:style>
  <w:style w:type="paragraph" w:customStyle="1" w:styleId="Style1">
    <w:name w:val="Style1"/>
    <w:basedOn w:val="Location"/>
    <w:qFormat/>
    <w:rsid w:val="004019AA"/>
  </w:style>
  <w:style w:type="character" w:customStyle="1" w:styleId="Heading2Char">
    <w:name w:val="Heading 2 Char"/>
    <w:basedOn w:val="DefaultParagraphFont"/>
    <w:link w:val="Heading2"/>
    <w:uiPriority w:val="9"/>
    <w:semiHidden/>
    <w:rsid w:val="00B544B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44B1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44B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Heading">
    <w:name w:val="TOC Heading"/>
    <w:basedOn w:val="Heading1"/>
    <w:next w:val="Normal"/>
    <w:uiPriority w:val="39"/>
    <w:unhideWhenUsed/>
    <w:qFormat/>
    <w:rsid w:val="00B544B1"/>
    <w:pPr>
      <w:keepNext/>
      <w:keepLines/>
      <w:widowControl/>
      <w:autoSpaceDE/>
      <w:autoSpaceDN/>
      <w:adjustRightInd/>
      <w:spacing w:before="480" w:line="276" w:lineRule="auto"/>
      <w:outlineLvl w:val="9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  <w:lang w:eastAsia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544B1"/>
    <w:pPr>
      <w:spacing w:before="360" w:after="360"/>
    </w:pPr>
    <w:rPr>
      <w:rFonts w:cstheme="minorHAnsi"/>
      <w:b/>
      <w:bCs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B544B1"/>
    <w:rPr>
      <w:rFonts w:cstheme="minorHAnsi"/>
      <w:b/>
      <w:bCs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B544B1"/>
    <w:rPr>
      <w:rFonts w:cstheme="minorHAnsi"/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customStyle="1" w:styleId="Body">
    <w:name w:val="Body"/>
    <w:basedOn w:val="Normal"/>
    <w:uiPriority w:val="99"/>
    <w:qFormat/>
    <w:rsid w:val="00B544B1"/>
    <w:pPr>
      <w:suppressAutoHyphens/>
      <w:autoSpaceDE w:val="0"/>
      <w:autoSpaceDN w:val="0"/>
      <w:adjustRightInd w:val="0"/>
      <w:spacing w:line="288" w:lineRule="auto"/>
      <w:jc w:val="both"/>
      <w:textAlignment w:val="center"/>
    </w:pPr>
    <w:rPr>
      <w:rFonts w:ascii="Verdana" w:eastAsia="Calibri" w:hAnsi="Verdana" w:cs="Arial"/>
      <w:color w:val="0A0A0A"/>
      <w:sz w:val="20"/>
      <w:szCs w:val="20"/>
    </w:rPr>
  </w:style>
  <w:style w:type="paragraph" w:customStyle="1" w:styleId="PurpleBullet">
    <w:name w:val="Purple Bullet"/>
    <w:basedOn w:val="Normal"/>
    <w:rsid w:val="00B544B1"/>
    <w:pPr>
      <w:numPr>
        <w:numId w:val="2"/>
      </w:numPr>
      <w:spacing w:after="160" w:line="259" w:lineRule="auto"/>
    </w:pPr>
    <w:rPr>
      <w:rFonts w:ascii="Verdana" w:eastAsia="Calibri" w:hAnsi="Verdana" w:cs="Arial"/>
      <w:color w:val="0A0A0A"/>
      <w:sz w:val="20"/>
      <w:szCs w:val="22"/>
    </w:rPr>
  </w:style>
  <w:style w:type="table" w:styleId="ListTable4-Accent1">
    <w:name w:val="List Table 4 Accent 1"/>
    <w:basedOn w:val="TableNormal"/>
    <w:uiPriority w:val="49"/>
    <w:rsid w:val="00CF3257"/>
    <w:tblPr>
      <w:tblStyleRowBandSize w:val="1"/>
      <w:tblStyleColBandSize w:val="1"/>
      <w:tblBorders>
        <w:top w:val="single" w:sz="4" w:space="0" w:color="3CC4C7"/>
        <w:left w:val="single" w:sz="4" w:space="0" w:color="3CC4C7"/>
        <w:bottom w:val="single" w:sz="4" w:space="0" w:color="3CC4C7"/>
        <w:right w:val="single" w:sz="4" w:space="0" w:color="3CC4C7"/>
        <w:insideH w:val="single" w:sz="4" w:space="0" w:color="3CC4C7"/>
      </w:tblBorders>
    </w:tblPr>
    <w:tcPr>
      <w:shd w:val="clear" w:color="auto" w:fill="104D54"/>
    </w:tcPr>
    <w:tblStylePr w:type="firstRow">
      <w:rPr>
        <w:b/>
        <w:bCs/>
        <w:color w:val="FFFFFF" w:themeColor="background1"/>
      </w:rPr>
      <w:tblPr/>
      <w:tcPr>
        <w:shd w:val="clear" w:color="auto" w:fill="3CC4C7"/>
      </w:tcPr>
    </w:tblStylePr>
    <w:tblStylePr w:type="lastRow">
      <w:rPr>
        <w:b/>
        <w:bCs/>
      </w:rPr>
      <w:tblPr/>
      <w:tcPr>
        <w:shd w:val="clear" w:color="auto" w:fill="3CC4C7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3CC4C7"/>
      </w:tcPr>
    </w:tblStylePr>
  </w:style>
  <w:style w:type="paragraph" w:customStyle="1" w:styleId="doBullets1">
    <w:name w:val="do_Bullets1"/>
    <w:basedOn w:val="Normal"/>
    <w:qFormat/>
    <w:rsid w:val="000F6F09"/>
    <w:pPr>
      <w:numPr>
        <w:numId w:val="5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7">
    <w:name w:val="do_Lijstnummering7"/>
    <w:basedOn w:val="Normal"/>
    <w:qFormat/>
    <w:rsid w:val="000F6F09"/>
    <w:pPr>
      <w:numPr>
        <w:numId w:val="6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character" w:styleId="Hyperlink">
    <w:name w:val="Hyperlink"/>
    <w:basedOn w:val="DefaultParagraphFont"/>
    <w:uiPriority w:val="99"/>
    <w:unhideWhenUsed/>
    <w:rsid w:val="00036BE2"/>
    <w:rPr>
      <w:color w:val="104D54"/>
      <w:u w:val="non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E2EF9"/>
    <w:rPr>
      <w:color w:val="605E5C"/>
      <w:shd w:val="clear" w:color="auto" w:fill="E1DFDD"/>
    </w:rPr>
  </w:style>
  <w:style w:type="paragraph" w:customStyle="1" w:styleId="Default">
    <w:name w:val="Default"/>
    <w:rsid w:val="00CE2EF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customStyle="1" w:styleId="doLijstnummering3">
    <w:name w:val="do_Lijstnummering3"/>
    <w:basedOn w:val="Normal"/>
    <w:qFormat/>
    <w:rsid w:val="00CE2EF9"/>
    <w:pPr>
      <w:numPr>
        <w:numId w:val="7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customStyle="1" w:styleId="doLijstnummering4">
    <w:name w:val="do_Lijstnummering4"/>
    <w:basedOn w:val="Normal"/>
    <w:qFormat/>
    <w:rsid w:val="00CE2EF9"/>
    <w:pPr>
      <w:numPr>
        <w:numId w:val="8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5">
    <w:name w:val="do_Lijstnummering5"/>
    <w:basedOn w:val="Normal"/>
    <w:qFormat/>
    <w:rsid w:val="00CE2EF9"/>
    <w:pPr>
      <w:numPr>
        <w:numId w:val="9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styleId="FootnoteText">
    <w:name w:val="footnote text"/>
    <w:basedOn w:val="Normal"/>
    <w:link w:val="FootnoteTextChar"/>
    <w:uiPriority w:val="99"/>
    <w:rsid w:val="00CE2EF9"/>
    <w:pPr>
      <w:tabs>
        <w:tab w:val="left" w:pos="284"/>
      </w:tabs>
      <w:ind w:left="284" w:hanging="284"/>
    </w:pPr>
    <w:rPr>
      <w:rFonts w:ascii="Verdana" w:hAnsi="Verdana"/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E2EF9"/>
    <w:rPr>
      <w:rFonts w:ascii="Verdana" w:hAnsi="Verdana"/>
      <w:sz w:val="14"/>
      <w:szCs w:val="20"/>
      <w:lang w:val="mt-MT"/>
    </w:rPr>
  </w:style>
  <w:style w:type="character" w:styleId="FootnoteReference">
    <w:name w:val="footnote reference"/>
    <w:basedOn w:val="DefaultParagraphFont"/>
    <w:uiPriority w:val="99"/>
    <w:semiHidden/>
    <w:unhideWhenUsed/>
    <w:rsid w:val="00CE2EF9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CF3CDB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F3CDB"/>
  </w:style>
  <w:style w:type="paragraph" w:customStyle="1" w:styleId="TITLEStyle">
    <w:name w:val="TITLE_Style"/>
    <w:basedOn w:val="Normal"/>
    <w:qFormat/>
    <w:rsid w:val="00036BE2"/>
    <w:rPr>
      <w:rFonts w:ascii="Arial" w:hAnsi="Arial" w:cs="Arial"/>
      <w:b/>
      <w:bCs/>
      <w:color w:val="104D54"/>
      <w:sz w:val="44"/>
      <w:szCs w:val="44"/>
    </w:rPr>
  </w:style>
  <w:style w:type="paragraph" w:customStyle="1" w:styleId="SubtitleStyle">
    <w:name w:val="Subtitle_Style"/>
    <w:basedOn w:val="Normal"/>
    <w:qFormat/>
    <w:rsid w:val="00036BE2"/>
    <w:pPr>
      <w:spacing w:line="360" w:lineRule="auto"/>
    </w:pPr>
    <w:rPr>
      <w:rFonts w:ascii="Arial" w:hAnsi="Arial" w:cs="Arial"/>
      <w:color w:val="104D55"/>
      <w:sz w:val="36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36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363C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53D62"/>
  </w:style>
  <w:style w:type="character" w:styleId="CommentReference">
    <w:name w:val="annotation reference"/>
    <w:basedOn w:val="DefaultParagraphFont"/>
    <w:uiPriority w:val="99"/>
    <w:semiHidden/>
    <w:unhideWhenUsed/>
    <w:rsid w:val="00F87D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87D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87D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7D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7DDA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B0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78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public-buyers-community.ec.europa.eu/communities/procurement-ai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public-buyers-community.ec.europa.eu/communities/procurement-ai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public-buyers-community.ec.europa.eu/communities/procurement-ai" TargetMode="External"/><Relationship Id="rId2" Type="http://schemas.openxmlformats.org/officeDocument/2006/relationships/hyperlink" Target="https://public-buyers-community.ec.europa.eu/communities/procurement-ai" TargetMode="External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chiveDeleteDate xmlns="http://schemas.econnect.nl/" xmlns:ns1="http://www.w3.org/2001/XMLSchema-instance" ns1:nil="true"/>
    <AutoGenerated xmlns="http://schemas.econnect.nl/">false</AutoGenerated>
    <Van xmlns="http://schemas.econnect.nl/" xmlns:ns1="http://www.w3.org/2001/XMLSchema-instance" ns1:nil="true"/>
    <Aan xmlns="http://schemas.econnect.nl/" xmlns:ns1="http://www.w3.org/2001/XMLSchema-instance" ns1:nil="true"/>
    <DatumDocument xmlns="http://schemas.econnect.nl/" xmlns:ns1="http://www.w3.org/2001/XMLSchema-instance" ns1:nil="true"/>
    <DatumOntvangst xmlns="http://schemas.econnect.nl/" xmlns:ns1="http://www.w3.org/2001/XMLSchema-instance" ns1:nil="true"/>
    <DocumentStatus xmlns="http://schemas.econnect.nl/">Concept</DocumentStatus>
    <TaxCatchAll xmlns="06132217-2756-4ecf-ab91-5bbcd433d1e6"/>
    <SectieTaxHTField0 xmlns="http://schemas.econnect.nl/">
      <Terms xmlns="http://schemas.microsoft.com/office/infopath/2007/PartnerControls">
        <TermInfo>
          <TermName>Innovatie, Privacy ＆ Technologie</TermName>
          <TermId>542a2c3a-4ffa-462e-99ef-841a0025a7f1</TermId>
        </TermInfo>
      </Terms>
    </SectieTaxHTField0>
    <Zaaknaam xmlns="http://schemas.econnect.nl/">European Commission - AI Clauses</Zaaknaam>
    <PelsClientTaxHTField0 xmlns="http://schemas.econnect.nl/">
      <Terms xmlns="http://schemas.microsoft.com/office/infopath/2007/PartnerControls">
        <TermInfo>
          <TermName>European Commission</TermName>
          <TermId>79355260-dde8-4717-b390-1a05499ea82d</TermId>
        </TermInfo>
      </Terms>
    </PelsClientTaxHTField0>
    <CaseStartDate xmlns="http://schemas.econnect.nl/">2023-03-30T22:00:00+00:00</CaseStartDate>
    <RechtsgebiedTaxHTField0 xmlns="http://schemas.econnect.nl/">
      <Terms xmlns="http://schemas.microsoft.com/office/infopath/2007/PartnerControls">
        <TermInfo>
          <TermName>ICT</TermName>
          <TermId>63aaa646-8006-45f2-9a88-341353711253</TermId>
        </TermInfo>
      </Terms>
    </RechtsgebiedTaxHTField0>
    <CaseManager xmlns="http://schemas.econnect.nl/">
      <UserInfo>
        <DisplayName>Jeroen Naves | Pels Rijcken</DisplayName>
        <AccountId>144</AccountId>
        <AccountType/>
      </UserInfo>
    </CaseManager>
    <SectorTaxHTField0 xmlns="http://schemas.econnect.nl/">
      <Terms xmlns="http://schemas.microsoft.com/office/infopath/2007/PartnerControls">
        <TermInfo>
          <TermName>Andere overheden</TermName>
          <TermId>b5a7a1ab-6803-411c-aead-ebae066a035d</TermId>
        </TermInfo>
      </Terms>
    </SectorTaxHTField0>
    <CaseOwner xmlns="http://schemas.econnect.nl/">
      <UserInfo>
        <DisplayName>Jeroen Naves | Pels Rijcken</DisplayName>
        <AccountId>144</AccountId>
        <AccountType/>
      </UserInfo>
    </CaseOwner>
    <Zaakomschrijving xmlns="http://schemas.econnect.nl/">European Commission - AI Clauses</Zaakomschrijving>
    <SharedCaseName xmlns="http://schemas.econnect.nl/">11020018</SharedCaseName>
    <ParentTaxHTField0 xmlns="http://schemas.econnect.nl/">
      <Terms xmlns="http://schemas.microsoft.com/office/infopath/2007/PartnerControls">
        <TermInfo>
          <TermName>European Commission</TermName>
          <TermId>79355260-dde8-4717-b390-1a05499ea82d</TermId>
        </TermInfo>
      </Terms>
    </ParentTaxHTField0>
    <Zaaknummer xmlns="http://schemas.econnect.nl/">11020018</Zaaknummer>
    <_dlc_DocId xmlns="06132217-2756-4ecf-ab91-5bbcd433d1e6">PRDF-6697282</_dlc_DocId>
    <_dlc_DocIdUrl xmlns="06132217-2756-4ecf-ab91-5bbcd433d1e6">
      <Url>http://dms.pelsrijcken.nl/matter/49/11020018/_layouts/15/DocIdRedir.aspx?ID=PRDF-6697282</Url>
      <Description>PRDF-6697282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untry xmlns="6d5ad584-533d-4d9e-8d12-f1eda2044479" xsi:nil="true"/>
    <Person xmlns="6d5ad584-533d-4d9e-8d12-f1eda2044479">
      <UserInfo>
        <DisplayName/>
        <AccountId xsi:nil="true"/>
        <AccountType/>
      </UserInfo>
    </Person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2B821FD596CA4199F5E15CA8AF115B" ma:contentTypeVersion="14" ma:contentTypeDescription="Create a new document." ma:contentTypeScope="" ma:versionID="8650d3972cf75cd4e3c7ef59c675ce1c">
  <xsd:schema xmlns:xsd="http://www.w3.org/2001/XMLSchema" xmlns:xs="http://www.w3.org/2001/XMLSchema" xmlns:p="http://schemas.microsoft.com/office/2006/metadata/properties" xmlns:ns2="6d5ad584-533d-4d9e-8d12-f1eda2044479" xmlns:ns3="93584799-4ddd-4bd3-91b5-fd19e73f04ec" targetNamespace="http://schemas.microsoft.com/office/2006/metadata/properties" ma:root="true" ma:fieldsID="283871b9795b1c2b0783d4cdc755a1ad" ns2:_="" ns3:_="">
    <xsd:import namespace="6d5ad584-533d-4d9e-8d12-f1eda2044479"/>
    <xsd:import namespace="93584799-4ddd-4bd3-91b5-fd19e73f04ec"/>
    <xsd:element name="properties">
      <xsd:complexType>
        <xsd:sequence>
          <xsd:element name="documentManagement">
            <xsd:complexType>
              <xsd:all>
                <xsd:element ref="ns2:Country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Pers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5ad584-533d-4d9e-8d12-f1eda2044479" elementFormDefault="qualified">
    <xsd:import namespace="http://schemas.microsoft.com/office/2006/documentManagement/types"/>
    <xsd:import namespace="http://schemas.microsoft.com/office/infopath/2007/PartnerControls"/>
    <xsd:element name="Country" ma:index="8" nillable="true" ma:displayName="Country" ma:format="Dropdown" ma:internalName="Country">
      <xsd:simpleType>
        <xsd:restriction base="dms:Choice">
          <xsd:enumeration value="BE"/>
          <xsd:enumeration value="LUX"/>
          <xsd:enumeration value="DE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Person" ma:index="21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584799-4ddd-4bd3-91b5-fd19e73f04e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A057165-881C-4183-9A4F-CD58BF3B9A56}">
  <ds:schemaRefs>
    <ds:schemaRef ds:uri="http://schemas.microsoft.com/office/2006/metadata/properties"/>
    <ds:schemaRef ds:uri="http://schemas.microsoft.com/office/infopath/2007/PartnerControls"/>
    <ds:schemaRef ds:uri="http://schemas.econnect.nl/"/>
    <ds:schemaRef ds:uri="06132217-2756-4ecf-ab91-5bbcd433d1e6"/>
  </ds:schemaRefs>
</ds:datastoreItem>
</file>

<file path=customXml/itemProps2.xml><?xml version="1.0" encoding="utf-8"?>
<ds:datastoreItem xmlns:ds="http://schemas.openxmlformats.org/officeDocument/2006/customXml" ds:itemID="{DC39A6FF-EB1D-4F31-9330-5533E032AE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1B6CDC-D0B6-48C0-AB48-031C90064C5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DBB80CF-98D8-4797-B7EA-C4440B081803}">
  <ds:schemaRefs>
    <ds:schemaRef ds:uri="http://schemas.microsoft.com/office/2006/metadata/properties"/>
    <ds:schemaRef ds:uri="http://schemas.microsoft.com/office/infopath/2007/PartnerControls"/>
    <ds:schemaRef ds:uri="6d5ad584-533d-4d9e-8d12-f1eda2044479"/>
  </ds:schemaRefs>
</ds:datastoreItem>
</file>

<file path=customXml/itemProps5.xml><?xml version="1.0" encoding="utf-8"?>
<ds:datastoreItem xmlns:ds="http://schemas.openxmlformats.org/officeDocument/2006/customXml" ds:itemID="{50A087B4-04C8-40A7-AE5E-8938C4A1AC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5ad584-533d-4d9e-8d12-f1eda2044479"/>
    <ds:schemaRef ds:uri="93584799-4ddd-4bd3-91b5-fd19e73f04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7E68C5AD-41FE-40F9-8BA7-8DC3DAED5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22</Pages>
  <Words>4363</Words>
  <Characters>33122</Characters>
  <Application>Microsoft Office Word</Application>
  <DocSecurity>0</DocSecurity>
  <Lines>662</Lines>
  <Paragraphs>221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ZOUMPOULI Effie</dc:creator>
  <cp:keywords/>
  <dc:description/>
  <cp:lastModifiedBy>Translator (DGT)</cp:lastModifiedBy>
  <cp:revision>4</cp:revision>
  <cp:lastPrinted>2023-10-05T08:08:00Z</cp:lastPrinted>
  <dcterms:created xsi:type="dcterms:W3CDTF">2025-05-08T14:26:00Z</dcterms:created>
  <dcterms:modified xsi:type="dcterms:W3CDTF">2025-05-21T09:09:00Z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2023-10-17T08:21:03Z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a05ecd3b-29f3-4ddd-9a18-7a360fb20876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0x010100852B821FD596CA4199F5E15CA8AF115B</vt:lpwstr>
  </property>
  <property fmtid="{D5CDD505-2E9C-101B-9397-08002B2CF9AE}" pid="10" name="ContentType">
    <vt:lpwstr>Notitie</vt:lpwstr>
  </property>
  <property fmtid="{D5CDD505-2E9C-101B-9397-08002B2CF9AE}" pid="11" name="Sectie">
    <vt:lpwstr>334;#Innovatie, Privacy ＆ Technologie|542a2c3a-4ffa-462e-99ef-841a0025a7f1</vt:lpwstr>
  </property>
  <property fmtid="{D5CDD505-2E9C-101B-9397-08002B2CF9AE}" pid="12" name="PelsClient">
    <vt:lpwstr>523;#European Commission|79355260-dde8-4717-b390-1a05499ea82d</vt:lpwstr>
  </property>
  <property fmtid="{D5CDD505-2E9C-101B-9397-08002B2CF9AE}" pid="13" name="ProcessNameTaxHTField0">
    <vt:lpwstr>49|{307288a2-e8a5-43d9-8106-4e8589797ebb}</vt:lpwstr>
  </property>
  <property fmtid="{D5CDD505-2E9C-101B-9397-08002B2CF9AE}" pid="14" name="ProcessName">
    <vt:lpwstr>1;#49|{307288a2-e8a5-43d9-8106-4e8589797ebb}</vt:lpwstr>
  </property>
  <property fmtid="{D5CDD505-2E9C-101B-9397-08002B2CF9AE}" pid="15" name="Rechtsgebied">
    <vt:lpwstr>506;#ICT|63aaa646-8006-45f2-9a88-341353711253</vt:lpwstr>
  </property>
  <property fmtid="{D5CDD505-2E9C-101B-9397-08002B2CF9AE}" pid="16" name="_dlc_DocIdItemGuid">
    <vt:lpwstr>aeef6629-fcc6-4f56-b9f3-d4cfd8a7079c</vt:lpwstr>
  </property>
  <property fmtid="{D5CDD505-2E9C-101B-9397-08002B2CF9AE}" pid="17" name="Parent">
    <vt:lpwstr>523;#European Commission|79355260-dde8-4717-b390-1a05499ea82d</vt:lpwstr>
  </property>
  <property fmtid="{D5CDD505-2E9C-101B-9397-08002B2CF9AE}" pid="18" name="Sector">
    <vt:lpwstr>55;#Andere overheden|b5a7a1ab-6803-411c-aead-ebae066a035d</vt:lpwstr>
  </property>
  <property fmtid="{D5CDD505-2E9C-101B-9397-08002B2CF9AE}" pid="19" name="PelsClientTaxHTField0">
    <vt:lpwstr>European Commission|79355260-dde8-4717-b390-1a05499ea82d</vt:lpwstr>
  </property>
  <property fmtid="{D5CDD505-2E9C-101B-9397-08002B2CF9AE}" pid="20" name="ParentTaxHTField0">
    <vt:lpwstr>European Commission|79355260-dde8-4717-b390-1a05499ea82d</vt:lpwstr>
  </property>
  <property fmtid="{D5CDD505-2E9C-101B-9397-08002B2CF9AE}" pid="21" name="SectorTaxHTField0">
    <vt:lpwstr>Andere overheden|b5a7a1ab-6803-411c-aead-ebae066a035d</vt:lpwstr>
  </property>
  <property fmtid="{D5CDD505-2E9C-101B-9397-08002B2CF9AE}" pid="22" name="SectieTaxHTField0">
    <vt:lpwstr>Innovatie, Privacy ＆ Technologie|542a2c3a-4ffa-462e-99ef-841a0025a7f1</vt:lpwstr>
  </property>
  <property fmtid="{D5CDD505-2E9C-101B-9397-08002B2CF9AE}" pid="23" name="RechtsgebiedTaxHTField0">
    <vt:lpwstr>ICT|63aaa646-8006-45f2-9a88-341353711253</vt:lpwstr>
  </property>
  <property fmtid="{D5CDD505-2E9C-101B-9397-08002B2CF9AE}" pid="24" name="Zaaknaam">
    <vt:lpwstr>European Commission - AI Clauses</vt:lpwstr>
  </property>
  <property fmtid="{D5CDD505-2E9C-101B-9397-08002B2CF9AE}" pid="25" name="Zaakomschrijving">
    <vt:lpwstr>European Commission - AI Clauses</vt:lpwstr>
  </property>
  <property fmtid="{D5CDD505-2E9C-101B-9397-08002B2CF9AE}" pid="26" name="AutoGenerated">
    <vt:bool>false</vt:bool>
  </property>
  <property fmtid="{D5CDD505-2E9C-101B-9397-08002B2CF9AE}" pid="27" name="CaseOwner">
    <vt:lpwstr>144</vt:lpwstr>
  </property>
  <property fmtid="{D5CDD505-2E9C-101B-9397-08002B2CF9AE}" pid="28" name="DocumentStatus">
    <vt:lpwstr>Concept</vt:lpwstr>
  </property>
  <property fmtid="{D5CDD505-2E9C-101B-9397-08002B2CF9AE}" pid="29" name="CaseManager">
    <vt:lpwstr>144</vt:lpwstr>
  </property>
  <property fmtid="{D5CDD505-2E9C-101B-9397-08002B2CF9AE}" pid="30" name="CaseStartDate">
    <vt:filetime>2023-03-30T22:00:00Z</vt:filetime>
  </property>
  <property fmtid="{D5CDD505-2E9C-101B-9397-08002B2CF9AE}" pid="31" name="_dlc_DocId">
    <vt:lpwstr>PRDF-6697287</vt:lpwstr>
  </property>
  <property fmtid="{D5CDD505-2E9C-101B-9397-08002B2CF9AE}" pid="32" name="TaxCatchAll">
    <vt:lpwstr>55;#;#523;#;#506;#;#334;#;#1;#</vt:lpwstr>
  </property>
  <property fmtid="{D5CDD505-2E9C-101B-9397-08002B2CF9AE}" pid="33" name="SharedCaseName">
    <vt:lpwstr>11020018</vt:lpwstr>
  </property>
  <property fmtid="{D5CDD505-2E9C-101B-9397-08002B2CF9AE}" pid="34" name="Zaaknummer">
    <vt:lpwstr>11020018</vt:lpwstr>
  </property>
  <property fmtid="{D5CDD505-2E9C-101B-9397-08002B2CF9AE}" pid="35" name="_dlc_DocIdUrl">
    <vt:lpwstr>http://dms.pelsrijcken.nl/matter/49/11020018/_layouts/15/DocIdRedir.aspx?ID=PRDF-6697287, PRDF-6697287</vt:lpwstr>
  </property>
</Properties>
</file>