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000000" w:rsidP="00876ED4">
      <w:pPr>
        <w:ind w:left="-57"/>
      </w:pPr>
      <w:hyperlink r:id="rId13" w:history="1">
        <w:r>
          <w:rPr>
            <w:rStyle w:val="Hyperlink"/>
            <w:b/>
            <w:sz w:val="44"/>
            <w:rFonts w:ascii="Arial" w:hAnsi="Arial"/>
          </w:rPr>
          <w:t xml:space="preserve">Comunidade de contratação de IA</w:t>
        </w:r>
      </w:hyperlink>
      <w:r>
        <w:br w:type="page"/>
      </w:r>
      <w:r>
        <mc:AlternateContent>
          <mc:Choice Requires="wps">
            <w:drawing>
              <wp:anchor distT="0" distB="0" distL="114300" distR="114300" simplePos="0" relativeHeight="251672576" behindDoc="0" locked="1" layoutInCell="1" allowOverlap="1" wp14:anchorId="2460A762" wp14:editId="07C7B482">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0DC93EC5" w:rsidR="00C758CB" w:rsidRPr="0065578B" w:rsidRDefault="007E2E87" w:rsidP="00C758CB">
                            <w:pPr>
                              <w:spacing w:line="360" w:lineRule="auto"/>
                              <w:rPr>
                                <w:color w:val="104D55"/>
                                <w:sz w:val="36"/>
                                <w:szCs w:val="36"/>
                                <w:rFonts w:ascii="Arial" w:hAnsi="Arial" w:cs="Arial"/>
                              </w:rPr>
                            </w:pPr>
                            <w:r>
                              <w:rPr>
                                <w:color w:val="104D55"/>
                                <w:sz w:val="36"/>
                                <w:rFonts w:ascii="Arial" w:hAnsi="Arial"/>
                              </w:rPr>
                              <w:t xml:space="preserve">Versão de fevereiro de 2025 — Contratação de IA de risco não elevado</w:t>
                            </w:r>
                            <w:r>
                              <w:rPr>
                                <w:color w:val="104D55"/>
                                <w:sz w:val="36"/>
                                <w:rFonts w:ascii="Arial" w:hAnsi="Arial"/>
                              </w:rPr>
                              <w:t xml:space="preserve">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0DC93EC5" w:rsidR="00C758CB" w:rsidRPr="0065578B" w:rsidRDefault="007E2E87" w:rsidP="00C758CB">
                      <w:pPr>
                        <w:spacing w:line="360" w:lineRule="auto"/>
                        <w:rPr>
                          <w:color w:val="104D55"/>
                          <w:sz w:val="36"/>
                          <w:szCs w:val="36"/>
                          <w:rFonts w:ascii="Arial" w:hAnsi="Arial" w:cs="Arial"/>
                        </w:rPr>
                      </w:pPr>
                      <w:r>
                        <w:rPr>
                          <w:color w:val="104D55"/>
                          <w:sz w:val="36"/>
                          <w:rFonts w:ascii="Arial" w:hAnsi="Arial"/>
                        </w:rPr>
                        <w:t xml:space="preserve">Versão de fevereiro de 2025 — Contratação de IA de risco não elevado</w:t>
                      </w:r>
                      <w:r>
                        <w:rPr>
                          <w:color w:val="104D55"/>
                          <w:sz w:val="36"/>
                          <w:rFonts w:ascii="Arial" w:hAnsi="Arial"/>
                        </w:rPr>
                        <w:t xml:space="preserve">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Cláusulas contratuais-tipo para a contratação pública de IA de risco não elevado</w:t>
                            </w:r>
                            <w:bookmarkEnd w:id="0"/>
                            <w:r>
                              <w:t xml:space="preserve"> («CCT-IA-Baixo-Risco»)</w:t>
                            </w:r>
                          </w:p>
                          <w:p w14:paraId="7F27BF72" w14:textId="040D44C0" w:rsidR="00CF3CDB" w:rsidRPr="00CF3CDB" w:rsidRDefault="00F237EA" w:rsidP="00036BE2">
                            <w:pPr>
                              <w:pStyle w:val="TITLEStyle"/>
                            </w:pPr>
                            <w:r>
                              <w:t xml:space="preserve">organizações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 xml:space="preserve">Cláusulas contratuais-tipo para a contratação pública de IA de risco não elevado</w:t>
                      </w:r>
                      <w:bookmarkEnd w:id="1"/>
                      <w:r>
                        <w:t xml:space="preserve"> («CCT-IA-Baixo-Risco»)</w:t>
                      </w:r>
                    </w:p>
                    <w:p w14:paraId="7F27BF72" w14:textId="040D44C0" w:rsidR="00CF3CDB" w:rsidRPr="00CF3CDB" w:rsidRDefault="00F237EA" w:rsidP="00036BE2">
                      <w:pPr>
                        <w:pStyle w:val="TITLEStyle"/>
                      </w:pPr>
                      <w:r>
                        <w:t xml:space="preserve">organizações</w:t>
                      </w:r>
                    </w:p>
                  </w:txbxContent>
                </v:textbox>
                <w10:wrap anchorx="margin" anchory="page"/>
                <w10:anchorlock/>
              </v:shape>
            </w:pict>
          </mc:Fallback>
        </mc:AlternateContent>
      </w:r>
    </w:p>
    <w:p w14:paraId="321764DC" w14:textId="77777777" w:rsidR="009832AB" w:rsidRPr="00BD0EE8" w:rsidRDefault="009832AB" w:rsidP="00BA16C1">
      <w:pPr>
        <w:rPr>
          <w:b/>
        </w:rPr>
      </w:pPr>
      <w:r>
        <w:rPr>
          <w:color w:val="FFFFFF" w:themeColor="background1"/>
          <w:sz w:val="22"/>
          <w:rFonts w:ascii="Arial" w:hAnsi="Arial"/>
        </w:rPr>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DECLARAÇÃO DE EXONERAÇÃO DE RESPONSABILIDADE</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O presente documento de trabalho é criado pela Comissão Europeia para ajudar a comunidade de práticas em matéria de contratação de IA para orientar as administrações públicas na contratação de soluções de IA.</w:t>
                            </w:r>
                            <w:r>
                              <w:rPr>
                                <w:b/>
                                <w:color w:val="3B3838" w:themeColor="background2" w:themeShade="40"/>
                                <w:sz w:val="20"/>
                                <w:rFonts w:ascii="Arial" w:hAnsi="Arial"/>
                              </w:rPr>
                              <w:t xml:space="preserve"> </w:t>
                            </w:r>
                            <w:r>
                              <w:rPr>
                                <w:b/>
                                <w:color w:val="3B3838" w:themeColor="background2" w:themeShade="40"/>
                                <w:sz w:val="20"/>
                                <w:rFonts w:ascii="Arial" w:hAnsi="Arial"/>
                              </w:rPr>
                              <w:t xml:space="preserve">Trata-se de um documento de trabalho em curso, que não reflete uma posição oficial da Comissão Europeia.</w:t>
                            </w:r>
                            <w:r>
                              <w:rPr>
                                <w:b/>
                                <w:color w:val="3B3838" w:themeColor="background2" w:themeShade="40"/>
                                <w:sz w:val="20"/>
                                <w:rFonts w:ascii="Arial" w:hAnsi="Arial"/>
                              </w:rPr>
                              <w:t xml:space="preserv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Os intervenientes que decidam utilizar o presente documento de trabalho assumem a plena responsabilidade pela sua utilização no âmbito da contratação pública.</w:t>
                            </w:r>
                            <w:r>
                              <w:rPr>
                                <w:b/>
                                <w:color w:val="3B3838" w:themeColor="background2" w:themeShade="40"/>
                                <w:sz w:val="20"/>
                                <w:rFonts w:ascii="Arial" w:hAnsi="Arial"/>
                              </w:rPr>
                              <w:t xml:space="preserv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Estas cláusulas-tipo para a IA de risco não elevado não prejudicam a aplicação dos requisitos decorrentes do Regulamento Inteligência Artificial.</w:t>
                            </w:r>
                            <w:r>
                              <w:rPr>
                                <w:b/>
                                <w:color w:val="3B3838" w:themeColor="background2" w:themeShade="40"/>
                                <w:sz w:val="20"/>
                                <w:rFonts w:ascii="Arial" w:hAnsi="Arial"/>
                              </w:rPr>
                              <w:t xml:space="preserve">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DECLARAÇÃO DE EXONERAÇÃO DE RESPONSABILIDADE</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O presente documento de trabalho é criado pela Comissão Europeia para ajudar a comunidade de práticas em matéria de contratação de IA para orientar as administrações públicas na contratação de soluções de IA.</w:t>
                      </w:r>
                      <w:r>
                        <w:rPr>
                          <w:b/>
                          <w:color w:val="3B3838" w:themeColor="background2" w:themeShade="40"/>
                          <w:sz w:val="20"/>
                          <w:rFonts w:ascii="Arial" w:hAnsi="Arial"/>
                        </w:rPr>
                        <w:t xml:space="preserve"> </w:t>
                      </w:r>
                      <w:r>
                        <w:rPr>
                          <w:b/>
                          <w:color w:val="3B3838" w:themeColor="background2" w:themeShade="40"/>
                          <w:sz w:val="20"/>
                          <w:rFonts w:ascii="Arial" w:hAnsi="Arial"/>
                        </w:rPr>
                        <w:t xml:space="preserve">Trata-se de um documento de trabalho em curso, que não reflete uma posição oficial da Comissão Europeia.</w:t>
                      </w:r>
                      <w:r>
                        <w:rPr>
                          <w:b/>
                          <w:color w:val="3B3838" w:themeColor="background2" w:themeShade="40"/>
                          <w:sz w:val="20"/>
                          <w:rFonts w:ascii="Arial" w:hAnsi="Arial"/>
                        </w:rPr>
                        <w:t xml:space="preserv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Os intervenientes que decidam utilizar o presente documento de trabalho assumem a plena responsabilidade pela sua utilização no âmbito da contratação pública.</w:t>
                      </w:r>
                      <w:r>
                        <w:rPr>
                          <w:b/>
                          <w:color w:val="3B3838" w:themeColor="background2" w:themeShade="40"/>
                          <w:sz w:val="20"/>
                          <w:rFonts w:ascii="Arial" w:hAnsi="Arial"/>
                        </w:rPr>
                        <w:t xml:space="preserv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Estas cláusulas-tipo para a IA de risco não elevado não prejudicam a aplicação dos requisitos decorrentes do Regulamento Inteligência Artificial.</w:t>
                      </w:r>
                      <w:r>
                        <w:rPr>
                          <w:b/>
                          <w:color w:val="3B3838" w:themeColor="background2" w:themeShade="40"/>
                          <w:sz w:val="20"/>
                          <w:rFonts w:ascii="Arial" w:hAnsi="Arial"/>
                        </w:rPr>
                        <w:t xml:space="preserve">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Secção A — Definições</w:t>
      </w:r>
    </w:p>
    <w:p w14:paraId="1DD14AC7" w14:textId="4A871940" w:rsidR="00F9102F" w:rsidRPr="0010258B" w:rsidRDefault="00F9102F" w:rsidP="000F1F04">
      <w:pPr>
        <w:pStyle w:val="doLijstnummering7"/>
        <w:rPr>
          <w:color w:val="3B3838" w:themeColor="background2" w:themeShade="40"/>
          <w:sz w:val="22"/>
          <w:szCs w:val="22"/>
          <w:rFonts w:ascii="Arial" w:eastAsia="Calibri" w:hAnsi="Arial" w:cs="Arial"/>
        </w:rPr>
      </w:pPr>
      <w:r>
        <w:rPr>
          <w:color w:val="3B3838" w:themeColor="background2" w:themeShade="40"/>
          <w:sz w:val="22"/>
          <w:rFonts w:ascii="Arial" w:hAnsi="Arial"/>
        </w:rPr>
        <w:t xml:space="preserve">Definições:</w:t>
      </w:r>
      <w:r>
        <w:rPr>
          <w:color w:val="3B3838" w:themeColor="background2" w:themeShade="40"/>
          <w:sz w:val="22"/>
          <w:rFonts w:ascii="Arial" w:hAnsi="Arial"/>
        </w:rPr>
        <w:t xml:space="preserve"> </w:t>
      </w:r>
      <w:r>
        <w:rPr>
          <w:color w:val="3B3838" w:themeColor="background2" w:themeShade="40"/>
          <w:sz w:val="22"/>
          <w:rFonts w:ascii="Arial" w:hAnsi="Arial"/>
        </w:rPr>
        <w:t xml:space="preserve">as palavras escritas com letra inicial maiúscula utilizadas nas presentes cláusulas contratuais-tipo IA-Baixo-Risco terão o significado definido no presente artigo.</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sz w:val="22"/>
          <w:szCs w:val="22"/>
          <w:rFonts w:ascii="Arial" w:hAnsi="Arial" w:cs="Arial"/>
        </w:rPr>
      </w:pPr>
      <w:r>
        <w:rPr>
          <w:sz w:val="22"/>
          <w:u w:val="single"/>
          <w:rFonts w:ascii="Arial" w:hAnsi="Arial"/>
        </w:rPr>
        <w:t xml:space="preserve">Acordo</w:t>
      </w:r>
      <w:r>
        <w:rPr>
          <w:sz w:val="22"/>
          <w:rFonts w:ascii="Arial" w:hAnsi="Arial"/>
        </w:rPr>
        <w:t xml:space="preserve">:</w:t>
      </w:r>
      <w:r>
        <w:rPr>
          <w:sz w:val="22"/>
          <w:rFonts w:ascii="Arial" w:hAnsi="Arial"/>
        </w:rPr>
        <w:t xml:space="preserve"> </w:t>
      </w:r>
      <w:r>
        <w:rPr>
          <w:sz w:val="22"/>
          <w:rFonts w:ascii="Arial" w:hAnsi="Arial"/>
        </w:rPr>
        <w:t xml:space="preserve">a totalidade do acordo do qual as CCT-IA-Baixo-Risco, enquanto apêndice, são parte integrante;</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sz w:val="22"/>
          <w:szCs w:val="22"/>
          <w:rFonts w:ascii="Arial" w:hAnsi="Arial" w:cs="Arial"/>
        </w:rPr>
      </w:pPr>
      <w:r>
        <w:rPr>
          <w:sz w:val="22"/>
          <w:u w:val="single"/>
          <w:rFonts w:ascii="Arial" w:hAnsi="Arial"/>
        </w:rPr>
        <w:t xml:space="preserve">Sistema de IA</w:t>
      </w:r>
      <w:r>
        <w:rPr>
          <w:sz w:val="22"/>
          <w:rFonts w:ascii="Arial" w:hAnsi="Arial"/>
        </w:rPr>
        <w:t xml:space="preserve">:</w:t>
      </w:r>
      <w:r>
        <w:rPr>
          <w:sz w:val="22"/>
          <w:rFonts w:ascii="Arial" w:hAnsi="Arial"/>
        </w:rPr>
        <w:t xml:space="preserve"> </w:t>
      </w:r>
      <w:r>
        <w:rPr>
          <w:sz w:val="22"/>
          <w:rFonts w:ascii="Arial" w:hAnsi="Arial"/>
        </w:rPr>
        <w:t xml:space="preserve">o(s) sistema(s) de IA a que se refere o </w:t>
      </w:r>
      <w:r>
        <w:rPr>
          <w:sz w:val="22"/>
          <w:b/>
          <w:rFonts w:ascii="Arial" w:hAnsi="Arial"/>
        </w:rPr>
        <w:t xml:space="preserve">anexo A</w:t>
      </w:r>
      <w:r>
        <w:rPr>
          <w:sz w:val="22"/>
          <w:rFonts w:ascii="Arial" w:hAnsi="Arial"/>
        </w:rPr>
        <w:t xml:space="preserve">, incluindo quaisquer novas versões do(s) mesmo(s);</w:t>
      </w:r>
      <w:r>
        <w:rPr>
          <w:sz w:val="22"/>
          <w:rFonts w:ascii="Arial" w:hAnsi="Arial"/>
        </w:rPr>
        <w:t xml:space="preserve">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sz w:val="22"/>
          <w:szCs w:val="22"/>
          <w:rFonts w:ascii="Arial" w:hAnsi="Arial" w:cs="Arial"/>
        </w:rPr>
      </w:pPr>
      <w:r>
        <w:rPr>
          <w:sz w:val="22"/>
          <w:u w:val="single"/>
          <w:rFonts w:ascii="Arial" w:hAnsi="Arial"/>
        </w:rPr>
        <w:t xml:space="preserve">CCT-IA-Baixo-Risco</w:t>
      </w:r>
      <w:r>
        <w:rPr>
          <w:sz w:val="22"/>
          <w:rFonts w:ascii="Arial" w:hAnsi="Arial"/>
        </w:rPr>
        <w:t xml:space="preserve">:</w:t>
      </w:r>
      <w:r>
        <w:rPr>
          <w:sz w:val="22"/>
          <w:rFonts w:ascii="Arial" w:hAnsi="Arial"/>
        </w:rPr>
        <w:t xml:space="preserve"> </w:t>
      </w:r>
      <w:r>
        <w:rPr>
          <w:sz w:val="22"/>
          <w:rFonts w:ascii="Arial" w:hAnsi="Arial"/>
        </w:rPr>
        <w:t xml:space="preserve">as presentes cláusulas contratuais-tipo para a contratação de sistemas de inteligência artificial de risco não elevado por organizações públicas;</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Conjuntos de Dados das Organizações Públicas</w:t>
      </w:r>
      <w:r>
        <w:rPr>
          <w:sz w:val="22"/>
          <w:rFonts w:ascii="Arial" w:hAnsi="Arial"/>
        </w:rPr>
        <w:t xml:space="preserve">:</w:t>
      </w:r>
      <w:r>
        <w:rPr>
          <w:sz w:val="22"/>
          <w:rFonts w:ascii="Arial" w:hAnsi="Arial"/>
        </w:rPr>
        <w:t xml:space="preserve"> </w:t>
      </w:r>
      <w:r>
        <w:rPr>
          <w:sz w:val="22"/>
          <w:rFonts w:ascii="Arial" w:hAnsi="Arial"/>
        </w:rPr>
        <w:t xml:space="preserve">os Conjuntos de Dados (ou partes destes) i) fornecidos pela Organização Pública ao Fornecedor ao abrigo do Acordo ou ii) a criar ou recolher no âmbito do Acordo, incluindo quaisquer versões alteradas ou alargadas dos Conjuntos de Dados referidos nas subalíneas i) e ii) (por exemplo, devido a anotação, rotulagem, limpeza, enriquecimento ou agregação);</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Conjuntos de Dados</w:t>
      </w:r>
      <w:r>
        <w:rPr>
          <w:sz w:val="22"/>
          <w:rFonts w:ascii="Arial" w:hAnsi="Arial"/>
        </w:rPr>
        <w:t xml:space="preserve">:</w:t>
      </w:r>
      <w:r>
        <w:rPr>
          <w:sz w:val="22"/>
          <w:rFonts w:ascii="Arial" w:hAnsi="Arial"/>
        </w:rPr>
        <w:t xml:space="preserve"> </w:t>
      </w:r>
      <w:r>
        <w:rPr>
          <w:sz w:val="22"/>
          <w:rFonts w:ascii="Arial" w:hAnsi="Arial"/>
        </w:rPr>
        <w:t xml:space="preserve">todos os conjuntos de dados utilizados no desenvolvimento do Sistema de IA, incluindo o ou os conjuntos de dados descritos no </w:t>
      </w:r>
      <w:r>
        <w:rPr>
          <w:sz w:val="22"/>
          <w:b/>
          <w:rFonts w:ascii="Arial" w:hAnsi="Arial"/>
        </w:rPr>
        <w:t xml:space="preserve">anexo B</w:t>
      </w:r>
      <w:r>
        <w:rPr>
          <w:sz w:val="22"/>
          <w:rFonts w:ascii="Arial" w:hAnsi="Arial"/>
        </w:rPr>
        <w:t xml:space="preserve">;</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Entrega</w:t>
      </w:r>
      <w:r>
        <w:rPr>
          <w:sz w:val="22"/>
          <w:rFonts w:ascii="Arial" w:hAnsi="Arial"/>
        </w:rPr>
        <w:t xml:space="preserve">:</w:t>
      </w:r>
      <w:r>
        <w:rPr>
          <w:sz w:val="22"/>
          <w:rFonts w:ascii="Arial" w:hAnsi="Arial"/>
        </w:rPr>
        <w:t xml:space="preserve"> </w:t>
      </w:r>
      <w:r>
        <w:rPr>
          <w:sz w:val="22"/>
          <w:rFonts w:ascii="Arial" w:hAnsi="Arial"/>
        </w:rPr>
        <w:t xml:space="preserve">o momento em que o Fornecedor informa a Organização Pública de que o Sistema de IA satisfaz todas as condições acordadas e está pronto a ser utilizado;</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Finalidade Prevista</w:t>
      </w:r>
      <w:r>
        <w:rPr>
          <w:sz w:val="22"/>
          <w:rFonts w:ascii="Arial" w:hAnsi="Arial"/>
        </w:rPr>
        <w:t xml:space="preserve">:</w:t>
      </w:r>
      <w:r>
        <w:rPr>
          <w:sz w:val="22"/>
          <w:rFonts w:ascii="Arial" w:hAnsi="Arial"/>
        </w:rPr>
        <w:t xml:space="preserve"> </w:t>
      </w:r>
      <w:r>
        <w:rPr>
          <w:sz w:val="22"/>
          <w:rFonts w:ascii="Arial" w:hAnsi="Arial"/>
        </w:rPr>
        <w:t xml:space="preserve">a utilização à qual a Organização Pública destina o Sistema de IA, incluindo o contexto específico e as condições de utilização, conforme especificado no anexo B, as informações facultadas pelo Fornecedor nas instruções de utilização, nos materiais e declarações promocionais ou de venda, bem como na documentação técnica;</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color w:val="000000"/>
          <w:sz w:val="22"/>
          <w:szCs w:val="22"/>
          <w:shd w:val="clear" w:color="auto" w:fill="FFFFFF"/>
          <w:rFonts w:ascii="Arial" w:hAnsi="Arial" w:cs="Arial"/>
        </w:rPr>
      </w:pPr>
      <w:r>
        <w:rPr>
          <w:color w:val="000000"/>
          <w:sz w:val="22"/>
          <w:shd w:val="clear" w:color="auto" w:fill="FFFFFF"/>
          <w:u w:val="single"/>
          <w:rFonts w:ascii="Arial" w:hAnsi="Arial"/>
        </w:rPr>
        <w:t xml:space="preserve">Utilização Indevida Razoavelmente Previsível</w:t>
      </w:r>
      <w:r>
        <w:rPr>
          <w:color w:val="000000"/>
          <w:sz w:val="22"/>
          <w:shd w:val="clear" w:color="auto" w:fill="FFFFFF"/>
          <w:rFonts w:ascii="Arial" w:hAnsi="Arial"/>
        </w:rPr>
        <w:t xml:space="preserve">:</w:t>
      </w:r>
      <w:r>
        <w:rPr>
          <w:color w:val="000000"/>
          <w:sz w:val="22"/>
          <w:shd w:val="clear" w:color="auto" w:fill="FFFFFF"/>
          <w:rFonts w:ascii="Arial" w:hAnsi="Arial"/>
        </w:rPr>
        <w:t xml:space="preserve"> </w:t>
      </w:r>
      <w:r>
        <w:rPr>
          <w:color w:val="000000"/>
          <w:sz w:val="22"/>
          <w:shd w:val="clear" w:color="auto" w:fill="FFFFFF"/>
          <w:rFonts w:ascii="Arial" w:hAnsi="Arial"/>
        </w:rPr>
        <w:t xml:space="preserve">a utilização do Sistema de IA de uma forma não conforme com a sua Finalidade Prevista, mas que pode resultar de comportamentos humanos ou de interações com outros sistemas razoavelmente previsíveis;</w:t>
      </w:r>
      <w:r>
        <w:rPr>
          <w:color w:val="000000"/>
          <w:sz w:val="22"/>
          <w:shd w:val="clear" w:color="auto" w:fill="FFFFFF"/>
          <w:rFonts w:ascii="Arial" w:hAnsi="Arial"/>
        </w:rPr>
        <w:t xml:space="preserve"> </w:t>
      </w:r>
      <w:r>
        <w:rPr>
          <w:color w:val="000000"/>
          <w:sz w:val="22"/>
          <w:shd w:val="clear" w:color="auto" w:fill="FFFFFF"/>
          <w:rFonts w:ascii="Arial" w:hAnsi="Arial"/>
        </w:rPr>
        <w:t xml:space="preserve">incluindo outros sistemas de IA;</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Modificação Substancial</w:t>
      </w:r>
      <w:r>
        <w:rPr>
          <w:sz w:val="22"/>
          <w:rFonts w:ascii="Arial" w:hAnsi="Arial"/>
        </w:rPr>
        <w:t xml:space="preserve">:</w:t>
      </w:r>
      <w:r>
        <w:rPr>
          <w:sz w:val="22"/>
          <w:rFonts w:ascii="Arial" w:hAnsi="Arial"/>
        </w:rPr>
        <w:t xml:space="preserve"> </w:t>
      </w:r>
      <w:r>
        <w:rPr>
          <w:sz w:val="22"/>
          <w:rFonts w:ascii="Arial" w:hAnsi="Arial"/>
        </w:rPr>
        <w:t xml:space="preserve">uma alteração do Sistema de IA após a sua Entrega que afeta a conformidade do Sistema de IA com os requisitos estabelecidos nas presentes CCT-IA-Baixo-Risco ou conduz a uma modificação da Finalidade Prevista;</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color w:val="000000"/>
          <w:sz w:val="22"/>
          <w:szCs w:val="22"/>
          <w:shd w:val="clear" w:color="auto" w:fill="FFFFFF"/>
          <w:rFonts w:ascii="Arial" w:hAnsi="Arial" w:cs="Arial"/>
        </w:rPr>
      </w:pPr>
      <w:r>
        <w:rPr>
          <w:sz w:val="22"/>
          <w:u w:val="single"/>
          <w:rFonts w:ascii="Arial" w:hAnsi="Arial"/>
        </w:rPr>
        <w:t xml:space="preserve">Fornecedor</w:t>
      </w:r>
      <w:r>
        <w:rPr>
          <w:sz w:val="22"/>
          <w:rFonts w:ascii="Arial" w:hAnsi="Arial"/>
        </w:rPr>
        <w:t xml:space="preserve">:</w:t>
      </w:r>
      <w:r>
        <w:rPr>
          <w:sz w:val="22"/>
          <w:rFonts w:ascii="Arial" w:hAnsi="Arial"/>
        </w:rPr>
        <w:t xml:space="preserve"> </w:t>
      </w:r>
      <w:r>
        <w:rPr>
          <w:sz w:val="22"/>
          <w:rFonts w:ascii="Arial" w:hAnsi="Arial"/>
        </w:rPr>
        <w:t xml:space="preserve">a pessoa </w:t>
      </w:r>
      <w:r>
        <w:rPr>
          <w:sz w:val="22"/>
          <w:color w:val="000000"/>
          <w:shd w:val="clear" w:color="auto" w:fill="FFFFFF"/>
          <w:rFonts w:ascii="Arial" w:hAnsi="Arial"/>
        </w:rPr>
        <w:t xml:space="preserve">singular ou coletiva, autoridade pública, agência ou outro organismo que fornece o Sistema de IA à Organização Pública nos termos do Acordo;</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sz w:val="22"/>
          <w:szCs w:val="22"/>
          <w:rFonts w:ascii="Arial" w:hAnsi="Arial" w:cs="Arial"/>
        </w:rPr>
      </w:pPr>
      <w:r>
        <w:rPr>
          <w:sz w:val="22"/>
          <w:u w:val="single"/>
          <w:rFonts w:ascii="Arial" w:hAnsi="Arial"/>
        </w:rPr>
        <w:t xml:space="preserve">Conjuntos de Dados do Fornecedor e Conjuntos de Dados de Terceiros</w:t>
      </w:r>
      <w:r>
        <w:rPr>
          <w:sz w:val="22"/>
          <w:rFonts w:ascii="Arial" w:hAnsi="Arial"/>
        </w:rPr>
        <w:t xml:space="preserve">:</w:t>
      </w:r>
      <w:r>
        <w:rPr>
          <w:sz w:val="22"/>
          <w:rFonts w:ascii="Arial" w:hAnsi="Arial"/>
        </w:rPr>
        <w:t xml:space="preserve"> </w:t>
      </w:r>
      <w:r>
        <w:rPr>
          <w:sz w:val="22"/>
          <w:rFonts w:ascii="Arial" w:hAnsi="Arial"/>
        </w:rPr>
        <w:t xml:space="preserve">os Conjuntos de Dados (ou partes destes) que não são considerados Conjuntos de Dados das Organizações Públicas.</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b/>
          <w:bCs/>
          <w:sz w:val="26"/>
          <w:szCs w:val="26"/>
          <w:rFonts w:ascii="Arial" w:hAnsi="Arial" w:cs="Arial"/>
        </w:rPr>
      </w:pPr>
      <w:r>
        <w:rPr>
          <w:b/>
          <w:sz w:val="26"/>
          <w:rFonts w:ascii="Arial" w:hAnsi="Arial"/>
        </w:rPr>
        <w:t xml:space="preserve">Secção B — Requisitos essenciais relativos ao Sistema de IA</w:t>
      </w:r>
      <w:r>
        <w:rPr>
          <w:b/>
          <w:sz w:val="26"/>
          <w:rFonts w:ascii="Arial" w:hAnsi="Arial"/>
        </w:rPr>
        <w:t xml:space="preserve">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sz w:val="22"/>
          <w:szCs w:val="22"/>
          <w:rFonts w:ascii="Arial" w:hAnsi="Arial" w:cs="Arial"/>
        </w:rPr>
      </w:pPr>
      <w:r>
        <w:rPr>
          <w:sz w:val="22"/>
          <w:rFonts w:ascii="Arial" w:hAnsi="Arial"/>
        </w:rPr>
        <w:t xml:space="preserve">Sistema de gestão de riscos</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assegura que, antes da Entrega do Sistema de IA, procederá à criação, aplicação, documentação e manutenção de um sistema de gestão de riscos no que diz respeito ao Sistema de IA.</w:t>
      </w:r>
      <w:r>
        <w:rPr>
          <w:sz w:val="22"/>
          <w:rFonts w:ascii="Arial" w:hAnsi="Arial"/>
        </w:rPr>
        <w:t xml:space="preserve"> </w:t>
      </w:r>
    </w:p>
    <w:p w14:paraId="045958FB" w14:textId="77777777"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O sistema de gestão de riscos deve incluir, pelo menos, as seguintes etapas:</w:t>
      </w:r>
    </w:p>
    <w:p w14:paraId="72B75086" w14:textId="1C7E6638"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identificação, estimativa e avaliação dos riscos conhecidos e razoavelmente previsíveis que o Sistema de IA de risco elevado pode representar para a saúde, a segurança ou os direitos fundamentais quando é utilizado em conformidade com a sua Finalidade Prevista;</w:t>
      </w:r>
    </w:p>
    <w:p w14:paraId="7D991F7C" w14:textId="06BD4879" w:rsidR="00592294" w:rsidRPr="00BD0EE8" w:rsidRDefault="00592294" w:rsidP="00592294">
      <w:pPr>
        <w:pStyle w:val="doLijstnummering7"/>
        <w:numPr>
          <w:ilvl w:val="2"/>
          <w:numId w:val="6"/>
        </w:numPr>
        <w:rPr>
          <w:color w:val="000000"/>
          <w:sz w:val="22"/>
          <w:shd w:val="clear" w:color="auto" w:fill="FFFFFF"/>
          <w:rFonts w:ascii="Arial" w:hAnsi="Arial"/>
        </w:rPr>
      </w:pPr>
      <w:r>
        <w:rPr>
          <w:color w:val="000000"/>
          <w:sz w:val="22"/>
          <w:shd w:val="clear" w:color="auto" w:fill="FFFFFF"/>
          <w:rFonts w:ascii="Arial" w:hAnsi="Arial"/>
        </w:rPr>
        <w:t xml:space="preserve">A estimativa e avaliação dos riscos que podem surgir quando o Sistema de IA é utilizado em conformidade com a sua Finalidade Prevista e em condições de Utilização Indevida Razoavelmente Previsível;</w:t>
      </w:r>
    </w:p>
    <w:p w14:paraId="7659CD28" w14:textId="0003832F" w:rsidR="00592294" w:rsidRPr="00BD0EE8" w:rsidRDefault="00592294" w:rsidP="00592294">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avaliação de outros riscos que possam surgir, baseada na análise dos dados recolhidos a partir do sistema de acompanhamento pós-comercialização;</w:t>
      </w:r>
    </w:p>
    <w:p w14:paraId="6E207422" w14:textId="438E5D80" w:rsidR="00592294" w:rsidRPr="00360601" w:rsidRDefault="00592294" w:rsidP="00592294">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adoção de medidas adequadas e específicas de gestão de riscos destinadas a fazer face aos riscos identificados nos termos da alínea a) do presente número, em conformidade com o disposto nos números seguintes.</w:t>
      </w:r>
    </w:p>
    <w:p w14:paraId="6E143F40" w14:textId="77777777" w:rsidR="00592294" w:rsidRPr="00360601" w:rsidRDefault="00592294" w:rsidP="00592294">
      <w:pPr>
        <w:pStyle w:val="doLijstnummering7"/>
        <w:numPr>
          <w:ilvl w:val="1"/>
          <w:numId w:val="6"/>
        </w:numPr>
        <w:rPr>
          <w:sz w:val="22"/>
          <w:szCs w:val="22"/>
          <w:rFonts w:ascii="Arial" w:hAnsi="Arial" w:cs="Arial"/>
        </w:rPr>
      </w:pPr>
      <w:r>
        <w:rPr>
          <w:sz w:val="22"/>
          <w:rFonts w:ascii="Arial" w:hAnsi="Arial"/>
        </w:rPr>
        <w:t xml:space="preserve">Os riscos a que se refere o presente artigo dizem apenas respeito aos riscos suscetíveis de serem razoavelmente</w:t>
      </w:r>
    </w:p>
    <w:p w14:paraId="7E3C2284" w14:textId="2900A4A9" w:rsidR="00A20CA4" w:rsidRDefault="00592294" w:rsidP="00A20CA4">
      <w:pPr>
        <w:pStyle w:val="doLijstnummering7"/>
        <w:numPr>
          <w:ilvl w:val="0"/>
          <w:numId w:val="0"/>
        </w:numPr>
        <w:ind w:left="706"/>
        <w:rPr>
          <w:sz w:val="22"/>
          <w:szCs w:val="22"/>
          <w:rFonts w:ascii="Arial" w:hAnsi="Arial" w:cs="Arial"/>
        </w:rPr>
      </w:pPr>
      <w:r>
        <w:rPr>
          <w:sz w:val="22"/>
          <w:rFonts w:ascii="Arial" w:hAnsi="Arial"/>
        </w:rPr>
        <w:t xml:space="preserve">atenuados ou eliminados durante o desenvolvimento ou a conceção do Sistema de IA ou o fornecimento de informações técnicas adequadas.</w:t>
      </w:r>
      <w:r>
        <w:rPr>
          <w:sz w:val="22"/>
          <w:rFonts w:ascii="Arial" w:hAnsi="Arial"/>
        </w:rPr>
        <w:t xml:space="preserve"> </w:t>
      </w:r>
    </w:p>
    <w:p w14:paraId="7FC684A7" w14:textId="151B7D6B" w:rsidR="00442824" w:rsidRPr="00BD0EE8" w:rsidRDefault="00442824" w:rsidP="00A20CA4">
      <w:pPr>
        <w:pStyle w:val="doLijstnummering7"/>
        <w:numPr>
          <w:ilvl w:val="1"/>
          <w:numId w:val="6"/>
        </w:numPr>
        <w:ind w:left="706"/>
        <w:rPr>
          <w:sz w:val="22"/>
          <w:szCs w:val="22"/>
          <w:rFonts w:ascii="Arial" w:hAnsi="Arial" w:cs="Arial"/>
        </w:rPr>
      </w:pPr>
      <w:r>
        <w:rPr>
          <w:sz w:val="22"/>
          <w:rFonts w:ascii="Arial" w:hAnsi="Arial"/>
        </w:rPr>
        <w:t xml:space="preserve">Os riscos referidos no presente número devem ter em devida consideração os efeitos e a eventual interação resultantes da aplicação combinada dos requisitos estabelecidos na Secção B, com vista a minimizar os riscos de forma mais eficaz e, ao mesmo tempo, alcançar um equilíbrio adequado na aplicação das medidas destinadas a cumprir esses requisitos.</w:t>
      </w:r>
    </w:p>
    <w:p w14:paraId="2A48B261" w14:textId="32DDA1EB"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As medidas de gestão de riscos a que se refere o artigo 2.2, alínea d), devem levar a que os riscos residuais pertinentes associados a cada perigo, bem como o risco residual global associado aos Sistemas de IA, sejam considerados aceitáveis pelo Fornecedor, contanto que o Sistema de IA seja usado em conformidade com a Finalidade Prevista ou em condições de Utilização Indevida Razoavelmente Previsível.</w:t>
      </w:r>
    </w:p>
    <w:p w14:paraId="41EFEB6F" w14:textId="7B997B66"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Ao identificar as medidas de gestão de riscos mais apropriadas mencionadas no artigo 2.2, alínea d), deve assegurar-se o seguinte:</w:t>
      </w:r>
    </w:p>
    <w:p w14:paraId="2C27E402" w14:textId="4A1FFFC0"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Eliminação ou redução dos riscos identificados e avaliados nos termos do artigo 2.2, tanto quanto tecnicamente viável através da conceção e do desenvolvimento adequados do Sistema de IA;</w:t>
      </w:r>
    </w:p>
    <w:p w14:paraId="1162DCAC" w14:textId="48A340CA"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Se for caso disso, adoção de medidas de atenuação e controlo adequadas para fazer face aos riscos que não possam ser eliminados;</w:t>
      </w:r>
    </w:p>
    <w:p w14:paraId="18B871F4" w14:textId="39F96FA2" w:rsidR="00592294" w:rsidRPr="00BD0EE8" w:rsidRDefault="00592294" w:rsidP="006A54AF">
      <w:pPr>
        <w:pStyle w:val="doLijstnummering7"/>
        <w:numPr>
          <w:ilvl w:val="2"/>
          <w:numId w:val="6"/>
        </w:numPr>
        <w:rPr>
          <w:sz w:val="22"/>
          <w:szCs w:val="22"/>
          <w:rFonts w:ascii="Arial" w:hAnsi="Arial" w:cs="Arial"/>
        </w:rPr>
      </w:pPr>
      <w:r>
        <w:rPr>
          <w:sz w:val="22"/>
          <w:bdr w:val="none" w:sz="0" w:space="0" w:color="auto" w:frame="1"/>
          <w:rFonts w:ascii="Arial" w:hAnsi="Arial"/>
        </w:rPr>
        <w:t xml:space="preserve">Prestação de informações adequadas à Organização Pública e, se for caso disso, ministração de formação aos responsáveis pela implantação.</w:t>
      </w:r>
    </w:p>
    <w:p w14:paraId="76F84B58" w14:textId="65754BA7"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rFonts w:ascii="Arial" w:hAnsi="Arial"/>
        </w:rPr>
        <w:t xml:space="preserve">O Fornecedor assegura que o Sistema de IA é testado antes da sua Entrega, a fim de identificar se este cumpre as CCT-IA-Baixo-Risco e se as medidas de gestão de riscos a que se refere o artigo 2.2, alínea d), são eficazes à luz da Finalidade Prevista e da Utilização Indevida Razoavelmente Previsível.</w:t>
      </w:r>
      <w:r>
        <w:rPr>
          <w:sz w:val="22"/>
          <w:bdr w:val="none" w:sz="0" w:space="0" w:color="auto" w:frame="1"/>
          <w:rFonts w:ascii="Arial" w:hAnsi="Arial"/>
        </w:rPr>
        <w:t xml:space="preserve"> </w:t>
      </w:r>
      <w:r>
        <w:rPr>
          <w:sz w:val="22"/>
          <w:bdr w:val="none" w:sz="0" w:space="0" w:color="auto" w:frame="1"/>
          <w:rFonts w:ascii="Arial" w:hAnsi="Arial"/>
        </w:rPr>
        <w:t xml:space="preserve">Se a Organização Pública o solicitar, o Fornecedor é obrigado a testar o Sistema de IA no ambiente da Organização Pública.</w:t>
      </w:r>
      <w:r>
        <w:rPr>
          <w:sz w:val="22"/>
          <w:bdr w:val="none" w:sz="0" w:space="0" w:color="auto" w:frame="1"/>
          <w:rFonts w:ascii="Arial" w:hAnsi="Arial"/>
        </w:rPr>
        <w:t xml:space="preserve"> </w:t>
      </w:r>
    </w:p>
    <w:p w14:paraId="2E6F6788" w14:textId="77777777"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Os testes do Sistema de IA devem ser realizados, consoante apropriado, em qualquer momento durante o processo de desenvolvimento e, em qualquer caso, antes da Entrega.</w:t>
      </w:r>
      <w:r>
        <w:rPr>
          <w:sz w:val="22"/>
          <w:bdr w:val="none" w:sz="0" w:space="0" w:color="auto" w:frame="1"/>
          <w:rFonts w:ascii="Arial" w:hAnsi="Arial"/>
        </w:rPr>
        <w:t xml:space="preserve"> </w:t>
      </w:r>
      <w:r>
        <w:rPr>
          <w:sz w:val="22"/>
          <w:bdr w:val="none" w:sz="0" w:space="0" w:color="auto" w:frame="1"/>
          <w:rFonts w:ascii="Arial" w:hAnsi="Arial"/>
        </w:rPr>
        <w:t xml:space="preserve">Os testes devem ser realizados com base em parâmetros e limiares probabilísticos previamente definidos que sejam adequados à Finalidade Prevista do Sistema de IA.</w:t>
      </w:r>
    </w:p>
    <w:p w14:paraId="02E389ED" w14:textId="77777777"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Todos os riscos identificados, medidas tomadas e testes realizados no contexto da conformidade com o presente artigo devem ser documentados pelo Fornecedor.</w:t>
      </w:r>
      <w:r>
        <w:rPr>
          <w:sz w:val="22"/>
          <w:bdr w:val="none" w:sz="0" w:space="0" w:color="auto" w:frame="1"/>
          <w:rFonts w:ascii="Arial" w:hAnsi="Arial"/>
        </w:rPr>
        <w:t xml:space="preserve"> </w:t>
      </w:r>
      <w:r>
        <w:rPr>
          <w:sz w:val="22"/>
          <w:bdr w:val="none" w:sz="0" w:space="0" w:color="auto" w:frame="1"/>
          <w:rFonts w:ascii="Arial" w:hAnsi="Arial"/>
        </w:rPr>
        <w:t xml:space="preserve">O Fornecedor deve disponibilizar esta documentação à Organização Pública, o mais tardar, no momento da Entrega do Sistema de IA.</w:t>
      </w:r>
      <w:r>
        <w:rPr>
          <w:sz w:val="22"/>
          <w:bdr w:val="none" w:sz="0" w:space="0" w:color="auto" w:frame="1"/>
          <w:rFonts w:ascii="Arial" w:hAnsi="Arial"/>
        </w:rPr>
        <w:t xml:space="preserve"> </w:t>
      </w:r>
      <w:r>
        <w:rPr>
          <w:sz w:val="22"/>
          <w:bdr w:val="none" w:sz="0" w:space="0" w:color="auto" w:frame="1"/>
          <w:rFonts w:ascii="Arial" w:hAnsi="Arial"/>
        </w:rPr>
        <w:t xml:space="preserve">Tal documentação pode fazer parte da documentação técnica e/ou das instruções de utilização.</w:t>
      </w:r>
    </w:p>
    <w:p w14:paraId="6E2F0171" w14:textId="07335716"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O sistema de gestão de riscos deve ser entendido como um processo iterativo e contínuo planeado e executado ao longo de todo o período de vigência do Acordo.</w:t>
      </w:r>
      <w:r>
        <w:rPr>
          <w:sz w:val="22"/>
          <w:bdr w:val="none" w:sz="0" w:space="0" w:color="auto" w:frame="1"/>
          <w:rFonts w:ascii="Arial" w:hAnsi="Arial"/>
        </w:rPr>
        <w:t xml:space="preserve"> </w:t>
      </w:r>
      <w:r>
        <w:rPr>
          <w:sz w:val="22"/>
          <w:bdr w:val="none" w:sz="0" w:space="0" w:color="auto" w:frame="1"/>
          <w:rFonts w:ascii="Arial" w:hAnsi="Arial"/>
        </w:rPr>
        <w:t xml:space="preserve">Após a Entrega do Sistema de IA, o Fornecedor deve, por conseguinte:</w:t>
      </w:r>
    </w:p>
    <w:p w14:paraId="1C573CAC" w14:textId="3BB27BD4" w:rsidR="00592294" w:rsidRPr="00BD0EE8" w:rsidRDefault="00592294" w:rsidP="0059229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Rever e atualizar regularmente o processo de gestão de riscos, a fim de assegurar a sua eficácia contínua;</w:t>
      </w:r>
      <w:r>
        <w:rPr>
          <w:sz w:val="22"/>
          <w:bdr w:val="none" w:sz="0" w:space="0" w:color="auto" w:frame="1"/>
          <w:rFonts w:ascii="Arial" w:hAnsi="Arial"/>
        </w:rPr>
        <w:t xml:space="preserve"> </w:t>
      </w:r>
    </w:p>
    <w:p w14:paraId="59BF5D30" w14:textId="59DD804C" w:rsidR="00592294" w:rsidRPr="00BD0EE8" w:rsidRDefault="00592294" w:rsidP="00592294">
      <w:pPr>
        <w:pStyle w:val="doLijstnummering7"/>
        <w:numPr>
          <w:ilvl w:val="2"/>
          <w:numId w:val="6"/>
        </w:numPr>
        <w:rPr>
          <w:sz w:val="22"/>
          <w:szCs w:val="22"/>
          <w:bdr w:val="none" w:sz="0" w:space="0" w:color="auto" w:frame="1"/>
          <w:rFonts w:ascii="Arial" w:hAnsi="Arial" w:cs="Arial"/>
        </w:rPr>
      </w:pPr>
      <w:r>
        <w:rPr>
          <w:sz w:val="22"/>
          <w:rFonts w:ascii="Arial" w:hAnsi="Arial"/>
        </w:rPr>
        <w:t xml:space="preserve">Manter atualizada a documentação descrita no artigo 2.7;</w:t>
      </w:r>
      <w:r>
        <w:rPr>
          <w:sz w:val="22"/>
          <w:bdr w:val="none" w:sz="0" w:space="0" w:color="auto" w:frame="1"/>
          <w:rFonts w:ascii="Arial" w:hAnsi="Arial"/>
        </w:rPr>
        <w:t xml:space="preserve"> </w:t>
      </w:r>
      <w:r>
        <w:rPr>
          <w:sz w:val="22"/>
          <w:bdr w:val="none" w:sz="0" w:space="0" w:color="auto" w:frame="1"/>
          <w:rFonts w:ascii="Arial" w:hAnsi="Arial"/>
        </w:rPr>
        <w:t xml:space="preserve">e</w:t>
      </w:r>
    </w:p>
    <w:p w14:paraId="1D66D7F3" w14:textId="218FBE5A" w:rsidR="00592294" w:rsidRPr="00BD0EE8" w:rsidRDefault="00592294" w:rsidP="0059229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Disponibilizar sem demora à Organização Pública qualquer nova versão da documentação descrita no artigo 2.7.</w:t>
      </w:r>
    </w:p>
    <w:p w14:paraId="0D775322" w14:textId="77777777"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Se tal for razoavelmente exigido para a correta execução do sistema de gestão de riscos pelo Fornecedor, a Organização Pública fornecerá ao Fornecedor, mediante pedido, as informações necessárias, na medida em que as mesmas não sejam de natureza confidencial.</w:t>
      </w:r>
    </w:p>
    <w:p w14:paraId="35BCE843" w14:textId="2748D346"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b/>
          <w:rFonts w:ascii="Arial" w:hAnsi="Arial"/>
        </w:rPr>
        <w:t xml:space="preserve">[Facultativo]</w:t>
      </w:r>
      <w:r>
        <w:rPr>
          <w:sz w:val="22"/>
          <w:bdr w:val="none" w:sz="0" w:space="0" w:color="auto" w:frame="1"/>
          <w:rFonts w:ascii="Arial" w:hAnsi="Arial"/>
        </w:rPr>
        <w:t xml:space="preserve"> Se a utilização do Sistema de IA pela Organização Pública continuar para além do período de vigência do Acordo, no final do período de vigência do Acordo, o Fornecedor disponibilizará à Organização Pública as informações necessárias para que esta proceda à manutenção do sistema de gestão de riscos por si só.</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sz w:val="22"/>
          <w:szCs w:val="22"/>
          <w:rFonts w:ascii="Arial" w:hAnsi="Arial" w:cs="Arial"/>
        </w:rPr>
      </w:pPr>
      <w:r>
        <w:rPr>
          <w:sz w:val="22"/>
          <w:b/>
          <w:rFonts w:ascii="Arial" w:hAnsi="Arial"/>
        </w:rPr>
        <w:t xml:space="preserve">[O artigo 3.º só é relevante para os Sistemas de IA que utilizam técnicas que envolvem o treino de modelos com dados.</w:t>
      </w:r>
      <w:r>
        <w:rPr>
          <w:sz w:val="22"/>
          <w:b/>
          <w:rFonts w:ascii="Arial" w:hAnsi="Arial"/>
        </w:rPr>
        <w:t xml:space="preserve"> </w:t>
      </w:r>
      <w:r>
        <w:rPr>
          <w:sz w:val="22"/>
          <w:b/>
          <w:rFonts w:ascii="Arial" w:hAnsi="Arial"/>
        </w:rPr>
        <w:t xml:space="preserve">O artigo 3.º pressupõe que o Fornecedor (ou os seus subcontratantes) tenha(m) pleno acesso aos Conjuntos de Dados.</w:t>
      </w:r>
      <w:r>
        <w:rPr>
          <w:sz w:val="22"/>
          <w:b/>
          <w:rFonts w:ascii="Arial" w:hAnsi="Arial"/>
        </w:rPr>
        <w:t xml:space="preserve"> </w:t>
      </w:r>
      <w:r>
        <w:rPr>
          <w:sz w:val="22"/>
          <w:b/>
          <w:rFonts w:ascii="Arial" w:hAnsi="Arial"/>
        </w:rPr>
        <w:t xml:space="preserve">Se os Conjuntos de Dados forem detidos exclusivamente pela Organização Pública, será necessário tomar outras medidas.]</w:t>
      </w:r>
      <w:r>
        <w:rPr>
          <w:sz w:val="22"/>
          <w:rFonts w:ascii="Arial" w:hAnsi="Arial"/>
        </w:rPr>
        <w:t xml:space="preserve"> Dados e governação de dados</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assegura que os Conjuntos de Dados utilizados no desenvolvimento do Sistema de IA, incluindo os de treino, validação e teste, foram e devem estar sujeitos a uma práticas de governação e gestão de dados adequadas à Finalidade Prevista do Sistema de IA.</w:t>
      </w:r>
      <w:r>
        <w:rPr>
          <w:sz w:val="22"/>
          <w:rFonts w:ascii="Arial" w:hAnsi="Arial"/>
        </w:rPr>
        <w:t xml:space="preserve"> </w:t>
      </w:r>
      <w:r>
        <w:rPr>
          <w:sz w:val="22"/>
          <w:rFonts w:ascii="Arial" w:hAnsi="Arial"/>
        </w:rPr>
        <w:t xml:space="preserve">Essas medidas dizem nomeadamente respeito:</w:t>
      </w:r>
    </w:p>
    <w:p w14:paraId="5F619976"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Às escolhas de conceção tomadas;</w:t>
      </w:r>
    </w:p>
    <w:p w14:paraId="3E49292C" w14:textId="6962624B"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A processos de recolha de dados e à origem dos dados e, no caso dos dados pessoais, à finalidade original da recolha desses dados;</w:t>
      </w:r>
    </w:p>
    <w:p w14:paraId="17BD5DA5"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Às operações de tratamento necessárias para a preparação dos dados, tais como anotação, rotulagem, limpeza, atualização, enriquecimento e agregação;</w:t>
      </w:r>
    </w:p>
    <w:p w14:paraId="56BE428E" w14:textId="0DB3B9D0"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À formulação dos pressupostos, nomeadamente no que diz respeito às informações que os dados devem medir e representar;</w:t>
      </w:r>
    </w:p>
    <w:p w14:paraId="5C0C2397"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À avaliação da disponibilidade, quantidade e adequação dos conjuntos de dados que são necessários;</w:t>
      </w:r>
    </w:p>
    <w:p w14:paraId="58BE482C" w14:textId="73E98AE6"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Ao exame para detetar eventuais enviesamentos suscetíveis de afetar a saúde e a segurança das pessoas, de ter repercussões negativas nos direitos fundamentais ou de resultar em discriminações proibidas pelo direito da União, especialmente quando os resultados obtidos a partir dos dados influenciam os dados de entrada para operações futuras;</w:t>
      </w:r>
    </w:p>
    <w:p w14:paraId="16E3A48A" w14:textId="618296FC"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Às medidas adequadas para detetar, prevenir e atenuar eventuais enviesamentos identificados nos termos da alínea f);</w:t>
      </w:r>
    </w:p>
    <w:p w14:paraId="362C12D5" w14:textId="69E71E15"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À identificação de lacunas ou insuficiências de dados pertinentes que impeçam o cumprimento das presentes CCT-IA-Baixo-Risco, bem como da forma como essas lacunas e insuficiências podem ser colmatadas.</w:t>
      </w:r>
    </w:p>
    <w:p w14:paraId="53DB40E8" w14:textId="629083BE"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assegura que os Conjuntos de Dados utilizados no desenvolvimento do Sistema de IA </w:t>
      </w:r>
      <w:r>
        <w:rPr>
          <w:sz w:val="22"/>
          <w:bdr w:val="none" w:sz="0" w:space="0" w:color="auto" w:frame="1"/>
          <w:rFonts w:ascii="Arial" w:hAnsi="Arial"/>
        </w:rPr>
        <w:t xml:space="preserve">são pertinentes, suficientemente representativos</w:t>
      </w:r>
      <w:r>
        <w:rPr>
          <w:sz w:val="22"/>
          <w:rFonts w:ascii="Arial" w:hAnsi="Arial"/>
        </w:rPr>
        <w:t xml:space="preserve"> e, na medida do possível, isentos de erros e completos tendo em conta a Finalidade Prevista.</w:t>
      </w:r>
      <w:r>
        <w:rPr>
          <w:sz w:val="22"/>
          <w:bdr w:val="none" w:sz="0" w:space="0" w:color="auto" w:frame="1"/>
          <w:rFonts w:ascii="Arial" w:hAnsi="Arial"/>
        </w:rPr>
        <w:t xml:space="preserve"> </w:t>
      </w:r>
      <w:r>
        <w:rPr>
          <w:sz w:val="22"/>
          <w:bdr w:val="none" w:sz="0" w:space="0" w:color="auto" w:frame="1"/>
          <w:rFonts w:ascii="Arial" w:hAnsi="Arial"/>
        </w:rPr>
        <w:t xml:space="preserve">O Fornecedor assegura que os Conjuntos de Dados têm as propriedades estatísticas adequadas, nomeadamente, quando aplicável, no tocante às pessoas ou grupos de pessoas em relação às quais se pretende que o Sistema de IA seja utilizado.</w:t>
      </w:r>
      <w:r>
        <w:rPr>
          <w:sz w:val="22"/>
          <w:bdr w:val="none" w:sz="0" w:space="0" w:color="auto" w:frame="1"/>
          <w:rFonts w:ascii="Arial" w:hAnsi="Arial"/>
        </w:rPr>
        <w:t xml:space="preserve"> </w:t>
      </w:r>
      <w:r>
        <w:rPr>
          <w:sz w:val="22"/>
          <w:bdr w:val="none" w:sz="0" w:space="0" w:color="auto" w:frame="1"/>
          <w:rFonts w:ascii="Arial" w:hAnsi="Arial"/>
        </w:rPr>
        <w:t xml:space="preserve">Estas características dos Conjuntos de Dados devem ser satisfeitas ao nível dos conjuntos de dados individuais ou de uma combinação dos mesmos.</w:t>
      </w:r>
    </w:p>
    <w:p w14:paraId="1D55E1B8" w14:textId="1B8F9DCA"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assegura que os Conjuntos de Dados utilizados no desenvolvimento do Sistema de IA tiveram em consideração, na medida do exigido pela Finalidade Prevista ou pela Utilização Indevida Razoavelmente Previsível, as características ou os elementos que são idiossincráticos do enquadramento geográfico, contextual, comportamental ou funcional específico no qual o Sistema de IA se destina a ser utilizado.</w:t>
      </w:r>
    </w:p>
    <w:p w14:paraId="02C116BB" w14:textId="77777777"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As obrigações previstas no presente artigo aplicam-se não só ao desenvolvimento do Sistema de IA antes da Entrega, mas também a qualquer utilização de Conjuntos de Dados pelo Fornecedor que possa afetar o funcionamento do Sistema de IA em qualquer outro momento durante o período de vigência do Acordo.</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sz w:val="22"/>
          <w:szCs w:val="22"/>
          <w:rFonts w:ascii="Arial" w:hAnsi="Arial" w:cs="Arial"/>
        </w:rPr>
      </w:pPr>
      <w:r>
        <w:rPr>
          <w:sz w:val="22"/>
          <w:rFonts w:ascii="Arial" w:hAnsi="Arial"/>
        </w:rPr>
        <w:t xml:space="preserve">Documentação técnica e instruções de utilização</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A </w:t>
      </w:r>
      <w:r>
        <w:rPr>
          <w:sz w:val="22"/>
          <w:bdr w:val="none" w:sz="0" w:space="0" w:color="auto" w:frame="1"/>
          <w:rFonts w:ascii="Arial" w:hAnsi="Arial"/>
        </w:rPr>
        <w:t xml:space="preserve">Entrega</w:t>
      </w:r>
      <w:r>
        <w:rPr>
          <w:sz w:val="22"/>
          <w:rFonts w:ascii="Arial" w:hAnsi="Arial"/>
        </w:rPr>
        <w:t xml:space="preserve"> do Sistema de IA pelo Fornecedor inclui a entrega da documentação técnica e das instruções de utilização.</w:t>
      </w:r>
    </w:p>
    <w:p w14:paraId="3A1EED1F" w14:textId="6684C8CE"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A documentação técnica deve permitir à Organização Pública ou a um terceiro avaliar a conformidade do Sistema de IA com o disposto nos requisitos estabelecidos nas presentes CCT-IA-Baixo-Risco e satisfazer, pelo menos, as condições descritas no </w:t>
      </w:r>
      <w:r>
        <w:rPr>
          <w:sz w:val="22"/>
          <w:b/>
          <w:rFonts w:ascii="Arial" w:hAnsi="Arial"/>
        </w:rPr>
        <w:t xml:space="preserve">anexo C</w:t>
      </w:r>
      <w:r>
        <w:rPr>
          <w:sz w:val="22"/>
          <w:rFonts w:ascii="Arial" w:hAnsi="Arial"/>
        </w:rPr>
        <w:t xml:space="preserve">.</w:t>
      </w:r>
      <w:r>
        <w:rPr>
          <w:sz w:val="22"/>
          <w:rFonts w:ascii="Arial" w:hAnsi="Arial"/>
        </w:rPr>
        <w:t xml:space="preserve"> </w:t>
      </w:r>
    </w:p>
    <w:p w14:paraId="4F7B9182" w14:textId="7777777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As instruções de utilização devem incluir </w:t>
      </w:r>
      <w:r>
        <w:rPr>
          <w:sz w:val="22"/>
          <w:color w:val="000000"/>
          <w:shd w:val="clear" w:color="auto" w:fill="FFFFFF"/>
          <w:rFonts w:ascii="Arial" w:hAnsi="Arial"/>
        </w:rPr>
        <w:t xml:space="preserve">informações concisas, completas, corretas e claras que sejam pertinentes, acessíveis e compreensíveis para a Organização Pública.</w:t>
      </w:r>
      <w:r>
        <w:rPr>
          <w:sz w:val="22"/>
          <w:color w:val="000000"/>
          <w:shd w:val="clear" w:color="auto" w:fill="FFFFFF"/>
          <w:rFonts w:ascii="Arial" w:hAnsi="Arial"/>
        </w:rPr>
        <w:t xml:space="preserve"> </w:t>
      </w:r>
      <w:r>
        <w:rPr>
          <w:sz w:val="22"/>
          <w:color w:val="000000"/>
          <w:shd w:val="clear" w:color="auto" w:fill="FFFFFF"/>
          <w:rFonts w:ascii="Arial" w:hAnsi="Arial"/>
        </w:rPr>
        <w:t xml:space="preserve">As instruções de utilização devem satisfazer, pelo menos, as condições descritas no </w:t>
      </w:r>
      <w:r>
        <w:rPr>
          <w:sz w:val="22"/>
          <w:color w:val="000000"/>
          <w:shd w:val="clear" w:color="auto" w:fill="FFFFFF"/>
          <w:b/>
          <w:rFonts w:ascii="Arial" w:hAnsi="Arial"/>
        </w:rPr>
        <w:t xml:space="preserve">anexo D</w:t>
      </w:r>
      <w:r>
        <w:rPr>
          <w:sz w:val="22"/>
          <w:color w:val="000000"/>
          <w:shd w:val="clear" w:color="auto" w:fill="FFFFFF"/>
          <w:rFonts w:ascii="Arial" w:hAnsi="Arial"/>
        </w:rPr>
        <w:t xml:space="preserve">.</w:t>
      </w:r>
    </w:p>
    <w:p w14:paraId="5289FA7F" w14:textId="27004A09"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rFonts w:ascii="Arial" w:hAnsi="Arial"/>
        </w:rPr>
        <w:t xml:space="preserve">O Fornecedor deve atualizar esta documentação, pelo menos, por ocasião de cada Modificação Substancial durante o período de vigência do Acordo e, subsequentemente, disponibilizá-la à Organização Pública.</w:t>
      </w:r>
    </w:p>
    <w:p w14:paraId="125BC4EA" w14:textId="23874853" w:rsidR="00592294" w:rsidRPr="00BD0EE8" w:rsidRDefault="00FD0514" w:rsidP="00592294">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 documentação técnica e as instruções de utilização devem ser redigidas em inglês.</w:t>
      </w:r>
    </w:p>
    <w:p w14:paraId="659DF243" w14:textId="7CDD0E52" w:rsidR="00592294" w:rsidRPr="00BD0EE8" w:rsidRDefault="00FD0514" w:rsidP="00592294">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 Organização Pública tem o direito de fazer cópias da documentação técnica e das instruções de utilização, na medida do necessário, para uso interno no seio da Organização Pública, sem prejuízo do disposto no artigo 6.º e no artigo 11.º.</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sz w:val="22"/>
          <w:szCs w:val="22"/>
          <w:rFonts w:ascii="Arial" w:hAnsi="Arial" w:cs="Arial"/>
        </w:rPr>
      </w:pPr>
      <w:r>
        <w:rPr>
          <w:sz w:val="22"/>
          <w:rFonts w:ascii="Arial" w:hAnsi="Arial"/>
        </w:rPr>
        <w:t xml:space="preserve">Manutenção de registos</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garante que os sistemas de IA têm capacidade técnica para permitir o registo automático de eventos («registos») durante a vida útil do Sistema de IA.</w:t>
      </w:r>
      <w:r>
        <w:rPr>
          <w:sz w:val="22"/>
          <w:rFonts w:ascii="Arial" w:hAnsi="Arial"/>
        </w:rPr>
        <w:t xml:space="preserve"> </w:t>
      </w:r>
    </w:p>
    <w:p w14:paraId="36C33259" w14:textId="70AF2F4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As capacidades de registo devem assegurar um nível de rastreabilidade do Sistema de IA que seja adequado tendo em conta a Finalidade Prevista do sistema e a Utilização Indevida Razoavelmente Previsível.</w:t>
      </w:r>
      <w:r>
        <w:rPr>
          <w:sz w:val="22"/>
          <w:rFonts w:ascii="Arial" w:hAnsi="Arial"/>
        </w:rPr>
        <w:t xml:space="preserve"> </w:t>
      </w:r>
      <w:r>
        <w:rPr>
          <w:sz w:val="22"/>
          <w:rFonts w:ascii="Arial" w:hAnsi="Arial"/>
        </w:rPr>
        <w:t xml:space="preserve">Devem permitir o registo de eventos pertinentes para a identificação de situações que possam:</w:t>
      </w:r>
      <w:r>
        <w:rPr>
          <w:sz w:val="22"/>
          <w:rFonts w:ascii="Arial" w:hAnsi="Arial"/>
        </w:rPr>
        <w:t xml:space="preserve"> </w:t>
      </w:r>
    </w:p>
    <w:p w14:paraId="796F6003"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Ter como resultado que o Sistema de IA represente um risco para a saúde, a segurança ou a proteção dos direitos fundamentais das pessoas;</w:t>
      </w:r>
      <w:r>
        <w:rPr>
          <w:sz w:val="22"/>
          <w:rFonts w:ascii="Arial" w:hAnsi="Arial"/>
        </w:rPr>
        <w:t xml:space="preserve"> </w:t>
      </w:r>
      <w:r>
        <w:rPr>
          <w:sz w:val="22"/>
          <w:rFonts w:ascii="Arial" w:hAnsi="Arial"/>
        </w:rPr>
        <w:t xml:space="preserve">ou</w:t>
      </w:r>
      <w:r>
        <w:rPr>
          <w:sz w:val="22"/>
          <w:rFonts w:ascii="Arial" w:hAnsi="Arial"/>
        </w:rPr>
        <w:t xml:space="preserve"> </w:t>
      </w:r>
    </w:p>
    <w:p w14:paraId="40C35192"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Conduzir a uma Modificação Substancial.</w:t>
      </w:r>
    </w:p>
    <w:p w14:paraId="201D18E5" w14:textId="443A01F0" w:rsidR="00592294" w:rsidRPr="00BD0EE8" w:rsidRDefault="00592294" w:rsidP="00592294">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O Fornecedor permitirá à Organização Pública aceder aos registos gerados automaticamente pelo Sistema de IA em tempo real.</w:t>
      </w:r>
    </w:p>
    <w:p w14:paraId="1750CE47" w14:textId="77777777" w:rsidR="00592294" w:rsidRPr="00A20CA4"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deve conservar os registos gerados automaticamente pelo Sistema de IA, na medida em que esses registos estejam sob o seu controlo com base no Acordo, durante o período de vigência do mesmo.</w:t>
      </w:r>
      <w:r>
        <w:rPr>
          <w:sz w:val="22"/>
          <w:rFonts w:ascii="Arial" w:hAnsi="Arial"/>
        </w:rPr>
        <w:t xml:space="preserve"> </w:t>
      </w:r>
      <w:r>
        <w:rPr>
          <w:sz w:val="22"/>
          <w:rFonts w:ascii="Arial" w:hAnsi="Arial"/>
        </w:rPr>
        <w:t xml:space="preserve">No final do período de vigência do Acordo, o Fornecedor entregará esses registos à Organização Pública sem demora.</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sz w:val="22"/>
          <w:szCs w:val="22"/>
          <w:rFonts w:ascii="Arial" w:hAnsi="Arial" w:cs="Arial"/>
        </w:rPr>
      </w:pPr>
      <w:r>
        <w:rPr>
          <w:sz w:val="22"/>
          <w:rFonts w:ascii="Arial" w:hAnsi="Arial"/>
        </w:rPr>
        <w:t xml:space="preserve">Transparência do Sistema de IA</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assegura que o Sistema de IA foi e deve ser concebido e desenvolvido de modo que o funcionamento do Sistema de IA seja suficientemente transparente para permitir à Organização Pública interpretar o resultado do sistema e utilizá-lo de forma adequada.</w:t>
      </w:r>
    </w:p>
    <w:p w14:paraId="7586769D" w14:textId="6B541199" w:rsidR="009F65B8" w:rsidRPr="00BD0EE8" w:rsidRDefault="003A4BBD" w:rsidP="009F65B8">
      <w:pPr>
        <w:pStyle w:val="doLijstnummering7"/>
        <w:numPr>
          <w:ilvl w:val="1"/>
          <w:numId w:val="6"/>
        </w:numPr>
        <w:rPr>
          <w:sz w:val="22"/>
          <w:szCs w:val="22"/>
          <w:rFonts w:ascii="Arial" w:hAnsi="Arial" w:cs="Arial"/>
        </w:rPr>
      </w:pPr>
      <w:r>
        <w:rPr>
          <w:color w:val="000000"/>
          <w:sz w:val="22"/>
          <w:shd w:val="clear" w:color="auto" w:fill="FFFFFF"/>
          <w:rFonts w:ascii="Arial" w:hAnsi="Arial"/>
        </w:rPr>
        <w:t xml:space="preserve">O Sistema de IA deve ser acompanhado de instruções de utilização, num formato digital adequado, ou outro, que incluam informações concisas, completas, corretas e claras que sejam pertinentes, acessíveis e compreensíveis para a Organização Pública.</w:t>
      </w:r>
    </w:p>
    <w:p w14:paraId="42816E61" w14:textId="77777777" w:rsidR="009F65B8" w:rsidRPr="00BD0EE8" w:rsidRDefault="009F65B8" w:rsidP="009F65B8">
      <w:pPr>
        <w:pStyle w:val="doLijstnummering7"/>
        <w:numPr>
          <w:ilvl w:val="1"/>
          <w:numId w:val="6"/>
        </w:numPr>
        <w:rPr>
          <w:sz w:val="22"/>
          <w:szCs w:val="22"/>
          <w:rFonts w:ascii="Arial" w:hAnsi="Arial" w:cs="Arial"/>
        </w:rPr>
      </w:pPr>
      <w:r>
        <w:rPr>
          <w:sz w:val="22"/>
          <w:rFonts w:ascii="Arial" w:hAnsi="Arial"/>
        </w:rPr>
        <w:t xml:space="preserve">As instruções de utilização devem incluir, pelo menos, as seguintes informações:</w:t>
      </w:r>
    </w:p>
    <w:p w14:paraId="7A745720" w14:textId="77777777" w:rsidR="009F65B8" w:rsidRPr="00BD0EE8" w:rsidRDefault="009F65B8" w:rsidP="009F65B8">
      <w:pPr>
        <w:pStyle w:val="doLijstnummering7"/>
        <w:numPr>
          <w:ilvl w:val="2"/>
          <w:numId w:val="6"/>
        </w:numPr>
        <w:rPr>
          <w:sz w:val="22"/>
          <w:szCs w:val="22"/>
          <w:rFonts w:ascii="Arial" w:hAnsi="Arial" w:cs="Arial"/>
        </w:rPr>
      </w:pPr>
      <w:r>
        <w:rPr>
          <w:sz w:val="22"/>
          <w:rFonts w:ascii="Arial" w:hAnsi="Arial"/>
        </w:rPr>
        <w:t xml:space="preserve">A identidade e os dados de contacto do Fornecedor e, se for caso disso, do seu mandatário;</w:t>
      </w:r>
    </w:p>
    <w:p w14:paraId="5C3F694C" w14:textId="32AB28BD" w:rsidR="009F65B8" w:rsidRPr="00BD0EE8" w:rsidRDefault="009F65B8" w:rsidP="009F65B8">
      <w:pPr>
        <w:pStyle w:val="doLijstnummering7"/>
        <w:numPr>
          <w:ilvl w:val="2"/>
          <w:numId w:val="6"/>
        </w:numPr>
        <w:rPr>
          <w:sz w:val="22"/>
          <w:szCs w:val="22"/>
          <w:rFonts w:ascii="Arial" w:hAnsi="Arial" w:cs="Arial"/>
        </w:rPr>
      </w:pPr>
      <w:r>
        <w:rPr>
          <w:sz w:val="22"/>
          <w:rFonts w:ascii="Arial" w:hAnsi="Arial"/>
        </w:rPr>
        <w:t xml:space="preserve">As características, capacidades e limitações de desempenho do Sistema de IA, incluindo:</w:t>
      </w:r>
    </w:p>
    <w:p w14:paraId="07B7806C" w14:textId="77777777"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a sua Finalidade Prevista,</w:t>
      </w:r>
    </w:p>
    <w:p w14:paraId="25C673B9" w14:textId="14198663"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o nível de exatidão, incluindo as respetivas métricas, solidez e cibersegurança relativamente ao qual o Sistema de IA foi testado e validado e que pode ser esperado, bem como quaisquer circunstâncias conhecidas e previsíveis que possam ter um impacto nesse nível esperado de exatidão, solidez e cibersegurança,</w:t>
      </w:r>
    </w:p>
    <w:p w14:paraId="4952346F" w14:textId="517BC534"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qualquer circunstância conhecida ou previsível, relacionada com a utilização do Sistema de IA de acordo com a sua Finalidade Prevista ou em condições de Utilização Indevida Razoavelmente Previsível, que possa causar riscos para a saúde e a segurança ou os direitos fundamentais,</w:t>
      </w:r>
    </w:p>
    <w:p w14:paraId="71B250F3" w14:textId="77777777"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se for caso disso, as capacidades técnicas e as características do Sistema de IA para fornecer informações que sejam pertinentes para explicar os seus resultados,</w:t>
      </w:r>
    </w:p>
    <w:p w14:paraId="60D8772E" w14:textId="77777777"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quando oportuno, o seu desempenho em relação a determinadas pessoas ou grupos de pessoas específicos em que o sistema se destina a ser utilizado,</w:t>
      </w:r>
    </w:p>
    <w:p w14:paraId="6B61181E" w14:textId="13A759B8"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quando oportuno, especificações para os dados de entrada, ou quaisquer outras informações importantes em termos dos conjuntos de dados de treino, validação e teste usados, tendo em conta a Finalidade Prevista do Sistema de IA,</w:t>
      </w:r>
    </w:p>
    <w:p w14:paraId="06E73322" w14:textId="6B46AC54"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se for caso disso, informações que permitam à Organização pública interpretar os resultado do Sistema de IA e utilizá-los adequadamente;</w:t>
      </w:r>
    </w:p>
    <w:p w14:paraId="6EA1591E" w14:textId="32132C02" w:rsidR="009F65B8" w:rsidRDefault="009F65B8" w:rsidP="009F65B8">
      <w:pPr>
        <w:pStyle w:val="doLijstnummering7"/>
        <w:numPr>
          <w:ilvl w:val="2"/>
          <w:numId w:val="6"/>
        </w:numPr>
        <w:rPr>
          <w:sz w:val="22"/>
          <w:szCs w:val="22"/>
          <w:rFonts w:ascii="Arial" w:hAnsi="Arial" w:cs="Arial"/>
        </w:rPr>
      </w:pPr>
      <w:r>
        <w:rPr>
          <w:sz w:val="22"/>
          <w:rFonts w:ascii="Arial" w:hAnsi="Arial"/>
        </w:rPr>
        <w:t xml:space="preserve">As alterações do Sistema de IA e do seu desempenho que tenham sido predeterminadas pelo prestador aquando da avaliação da conformidade inicial, se for caso disso;</w:t>
      </w:r>
    </w:p>
    <w:p w14:paraId="3D015AD4" w14:textId="77777777" w:rsidR="00414279" w:rsidRDefault="00414279" w:rsidP="00414279">
      <w:pPr>
        <w:pStyle w:val="doLijstnummering7"/>
        <w:numPr>
          <w:ilvl w:val="2"/>
          <w:numId w:val="6"/>
        </w:numPr>
        <w:rPr>
          <w:sz w:val="22"/>
          <w:szCs w:val="22"/>
          <w:rFonts w:ascii="Arial" w:hAnsi="Arial" w:cs="Arial"/>
        </w:rPr>
      </w:pPr>
      <w:r>
        <w:rPr>
          <w:sz w:val="22"/>
          <w:rFonts w:ascii="Arial" w:hAnsi="Arial"/>
        </w:rPr>
        <w:t xml:space="preserve">As medidas de supervisão humana, incluindo as soluções técnicas adotadas para facilitar a interpretação dos resultados do Sistema de IA pelos responsáveis pela implantação;</w:t>
      </w:r>
    </w:p>
    <w:p w14:paraId="5714FFBB" w14:textId="77777777" w:rsidR="00414279" w:rsidRPr="00414279" w:rsidRDefault="00414279" w:rsidP="00414279">
      <w:pPr>
        <w:pStyle w:val="doLijstnummering7"/>
        <w:numPr>
          <w:ilvl w:val="2"/>
          <w:numId w:val="6"/>
        </w:numPr>
        <w:rPr>
          <w:sz w:val="22"/>
          <w:szCs w:val="22"/>
          <w:rFonts w:ascii="Arial" w:hAnsi="Arial" w:cs="Arial"/>
        </w:rPr>
      </w:pPr>
      <w:r>
        <w:rPr>
          <w:sz w:val="22"/>
          <w:rFonts w:ascii="Arial" w:hAnsi="Arial"/>
        </w:rPr>
        <w:t xml:space="preserve">Os recursos computacionais e de </w:t>
      </w:r>
      <w:r>
        <w:rPr>
          <w:sz w:val="22"/>
          <w:i/>
          <w:rFonts w:ascii="Arial" w:hAnsi="Arial"/>
        </w:rPr>
        <w:t xml:space="preserve">hardware</w:t>
      </w:r>
      <w:r>
        <w:rPr>
          <w:sz w:val="22"/>
          <w:rFonts w:ascii="Arial" w:hAnsi="Arial"/>
        </w:rPr>
        <w:t xml:space="preserve"> necessários, a vida útil esperada do Sistema de IA e quaisquer medidas de manutenção e assistência necessárias, incluindo a sua frequência, para assegurar o correto funcionamento desse Sistema de IA, inclusive no tocante a atualizações do </w:t>
      </w:r>
      <w:r>
        <w:rPr>
          <w:sz w:val="22"/>
          <w:i/>
          <w:rFonts w:ascii="Arial" w:hAnsi="Arial"/>
        </w:rPr>
        <w:t xml:space="preserve">software</w:t>
      </w:r>
      <w:r>
        <w:rPr>
          <w:sz w:val="22"/>
          <w:rFonts w:ascii="Arial" w:hAnsi="Arial"/>
        </w:rPr>
        <w:t xml:space="preserve">;</w:t>
      </w:r>
    </w:p>
    <w:p w14:paraId="5BA38C5D" w14:textId="77777777" w:rsidR="00414279" w:rsidRPr="00414279" w:rsidRDefault="00414279" w:rsidP="00414279">
      <w:pPr>
        <w:pStyle w:val="doLijstnummering7"/>
        <w:numPr>
          <w:ilvl w:val="2"/>
          <w:numId w:val="6"/>
        </w:numPr>
        <w:rPr>
          <w:sz w:val="22"/>
          <w:szCs w:val="22"/>
          <w:rFonts w:ascii="Arial" w:hAnsi="Arial" w:cs="Arial"/>
        </w:rPr>
      </w:pPr>
      <w:r>
        <w:rPr>
          <w:sz w:val="22"/>
          <w:rFonts w:ascii="Arial" w:hAnsi="Arial"/>
        </w:rPr>
        <w:t xml:space="preserve">Sempre que pertinente, uma descrição dos mecanismos incluídos no Sistema de IA que permita aos responsáveis pela implantação recolher, armazenar e interpretar corretamente os registos, de modo a garantir a devida transparência antes da Entrega do Sistema de IA.</w:t>
      </w:r>
      <w:r>
        <w:rPr>
          <w:sz w:val="22"/>
          <w:rFonts w:ascii="Arial" w:hAnsi="Arial"/>
        </w:rPr>
        <w:t xml:space="preserve"> </w:t>
      </w:r>
    </w:p>
    <w:p w14:paraId="2C4CA70D" w14:textId="77777777" w:rsidR="00414279" w:rsidRPr="00414279" w:rsidRDefault="00414279" w:rsidP="000968D7">
      <w:pPr>
        <w:pStyle w:val="doLijstnummering7"/>
        <w:numPr>
          <w:ilvl w:val="1"/>
          <w:numId w:val="6"/>
        </w:numPr>
        <w:rPr>
          <w:sz w:val="22"/>
          <w:szCs w:val="22"/>
          <w:rFonts w:ascii="Arial" w:hAnsi="Arial" w:cs="Arial"/>
        </w:rPr>
      </w:pPr>
      <w:r>
        <w:rPr>
          <w:sz w:val="22"/>
          <w:rFonts w:ascii="Arial" w:hAnsi="Arial"/>
        </w:rPr>
        <w:t xml:space="preserve">Antes da Entrega do Sistema de IA e a fim de assegurar uma transparência adequada, o Fornecedor deve aplicar, pelo menos, as medidas técnicas e organizacionais descritas no anexo E.</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sz w:val="22"/>
          <w:szCs w:val="22"/>
          <w:rFonts w:ascii="Arial" w:hAnsi="Arial" w:cs="Arial"/>
        </w:rPr>
      </w:pPr>
      <w:r>
        <w:rPr>
          <w:sz w:val="22"/>
          <w:rFonts w:ascii="Arial" w:hAnsi="Arial"/>
        </w:rPr>
        <w:t xml:space="preserve">Supervisão humana</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assegura que o Sistema de IA foi e deve ser concebido e desenvolvido de modo que possa ser eficazmente supervisionado por pessoas singulares durante o período em que é utilizado, nomeadamente com recurso a ferramentas adequadas de interface homem-máquina.</w:t>
      </w:r>
    </w:p>
    <w:p w14:paraId="294CC08F" w14:textId="344D4CAE" w:rsidR="000D00A9" w:rsidRPr="00BD0EE8" w:rsidRDefault="000D00A9" w:rsidP="000D00A9">
      <w:pPr>
        <w:pStyle w:val="doLijstnummering7"/>
        <w:numPr>
          <w:ilvl w:val="1"/>
          <w:numId w:val="6"/>
        </w:numPr>
        <w:rPr>
          <w:sz w:val="22"/>
          <w:szCs w:val="22"/>
          <w:rFonts w:ascii="Arial" w:hAnsi="Arial" w:cs="Arial"/>
        </w:rPr>
      </w:pPr>
      <w:r>
        <w:rPr>
          <w:sz w:val="22"/>
          <w:rFonts w:ascii="Arial" w:hAnsi="Arial"/>
        </w:rPr>
        <w:t xml:space="preserve">A supervisão humana deve procurar prevenir ou minimizar os riscos para a saúde, a segurança ou os direitos fundamentais que possam surgir quando um Sistema de IA é usado em conformidade com a sua Finalidade Prevista ou em condições de utilização indevida razoavelmente previsível, quando esses riscos persistem apesar da aplicação de outros requisitos estabelecidos na presente secção.</w:t>
      </w:r>
    </w:p>
    <w:p w14:paraId="7A5A6534" w14:textId="14C32E2F" w:rsidR="000D00A9" w:rsidRPr="00BD0EE8" w:rsidRDefault="000D00A9" w:rsidP="000D00A9">
      <w:pPr>
        <w:pStyle w:val="doLijstnummering7"/>
        <w:numPr>
          <w:ilvl w:val="1"/>
          <w:numId w:val="6"/>
        </w:numPr>
        <w:rPr>
          <w:sz w:val="22"/>
          <w:szCs w:val="22"/>
          <w:rFonts w:ascii="Arial" w:hAnsi="Arial" w:cs="Arial"/>
        </w:rPr>
      </w:pPr>
      <w:r>
        <w:rPr>
          <w:sz w:val="22"/>
          <w:rFonts w:ascii="Arial" w:hAnsi="Arial"/>
        </w:rPr>
        <w:t xml:space="preserve">As medidas de supervisão humana devem ser consentâneas com os riscos, ao nível de autonomia e ao contexto de utilização do Sistema de IA e a supervisão deve ser assegurada por meio de um ou de todos os seguintes tipos de medidas.</w:t>
      </w:r>
    </w:p>
    <w:p w14:paraId="1DB2160E" w14:textId="77777777" w:rsidR="00B61CD1" w:rsidRPr="00B61CD1" w:rsidRDefault="00592294" w:rsidP="00B61CD1">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O Fornecedor assegura que, antes da Entrega, devem ser incorporadas no Sistema de IA medidas adequadas para assegurar a supervisão humana.</w:t>
      </w:r>
      <w:r>
        <w:rPr>
          <w:sz w:val="22"/>
          <w:bdr w:val="none" w:sz="0" w:space="0" w:color="auto" w:frame="1"/>
          <w:rFonts w:ascii="Arial" w:hAnsi="Arial"/>
        </w:rPr>
        <w:t xml:space="preserve"> </w:t>
      </w:r>
      <w:r>
        <w:rPr>
          <w:sz w:val="22"/>
          <w:bdr w:val="none" w:sz="0" w:space="0" w:color="auto" w:frame="1"/>
          <w:rFonts w:ascii="Arial" w:hAnsi="Arial"/>
        </w:rPr>
        <w:t xml:space="preserve">Tais medidas devem assegurar que seja possível às pessoas singulares responsáveis pela supervisão humana, conforme adequado e de forma proporcionada:</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Compreender adequadamente as capacidades e limitações pertinentes do Sistema de IA e conseguir monitorizar devidamente o seu funcionamento, nomeadamente a fim de detetar e corrigir anomalias, disfuncionalidades e desempenhos inesperados;</w:t>
      </w:r>
    </w:p>
    <w:p w14:paraId="6E548C1A" w14:textId="535BB165"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Estar conscientes da possível tendência para confiar automaticamente ou confiar excessivamente no resultado produzido pelo Sistema de IA («enviesamento para a automatização»), em especial se o Sistema de IA for usado para fornecer informações ou recomendações com vista à tomada de decisões por pessoas singulares;</w:t>
      </w:r>
    </w:p>
    <w:p w14:paraId="3C8FA254" w14:textId="64335048"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Ser capaz de interpretar corretamente o resultado do Sistema de IA, tendo em conta, por exemplo, as características do sistema e as ferramentas e os métodos de interpretação disponíveis;</w:t>
      </w:r>
    </w:p>
    <w:p w14:paraId="6D53451B" w14:textId="1F9BD0FF"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Ser capazes de decidir, em qualquer situação específica, não usar o Sistema de IA ou ignorar, anular ou reverter o resultado produzido pelo Sistema de IA;</w:t>
      </w:r>
    </w:p>
    <w:p w14:paraId="2E8F1FC9" w14:textId="30F3FC34" w:rsidR="00592294" w:rsidRPr="00BD0EE8" w:rsidRDefault="00592294" w:rsidP="00592294">
      <w:pPr>
        <w:pStyle w:val="doLijstnummering7"/>
        <w:numPr>
          <w:ilvl w:val="2"/>
          <w:numId w:val="6"/>
        </w:numPr>
        <w:rPr>
          <w:sz w:val="22"/>
          <w:bdr w:val="none" w:sz="0" w:space="0" w:color="auto" w:frame="1"/>
          <w:rFonts w:ascii="Arial" w:hAnsi="Arial"/>
        </w:rPr>
      </w:pPr>
      <w:r>
        <w:rPr>
          <w:sz w:val="22"/>
          <w:bdr w:val="none" w:sz="0" w:space="0" w:color="auto" w:frame="1"/>
          <w:rFonts w:ascii="Arial" w:hAnsi="Arial"/>
        </w:rPr>
        <w:t xml:space="preserve">Intervir ou interromper o funcionamento do Sistema de IA por meio de um botão de «paragem» ou de um procedimento similar que permita parar o sistema de modo seguro.</w:t>
      </w:r>
    </w:p>
    <w:p w14:paraId="43C328FA" w14:textId="45DFFE1C" w:rsidR="00592294" w:rsidRPr="00BD0EE8" w:rsidRDefault="00FD0514" w:rsidP="00592294">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 fim de assegurar uma supervisão humana adequada, o Fornecedor deve, pelo menos, aplicar as medidas técnicas e organizacionais descritas no </w:t>
      </w:r>
      <w:r>
        <w:rPr>
          <w:sz w:val="22"/>
          <w:b/>
          <w:rFonts w:ascii="Arial" w:hAnsi="Arial"/>
        </w:rPr>
        <w:t xml:space="preserve">anexo F</w:t>
      </w:r>
      <w:r>
        <w:rPr>
          <w:sz w:val="22"/>
          <w:rFonts w:ascii="Arial" w:hAnsi="Arial"/>
        </w:rPr>
        <w:t xml:space="preserve"> antes da Entrega do Sistema de IA.</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sz w:val="22"/>
          <w:szCs w:val="22"/>
          <w:rFonts w:ascii="Arial" w:hAnsi="Arial" w:cs="Arial"/>
        </w:rPr>
      </w:pPr>
      <w:r>
        <w:rPr>
          <w:sz w:val="22"/>
          <w:rFonts w:ascii="Arial" w:hAnsi="Arial"/>
        </w:rPr>
        <w:t xml:space="preserve">Exatidão, solidez e cibersegurança</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O Fornecedor assegura que o Sistema de IA foi e deve ser concebido e desenvolvido de modo a atingir um nível adequado de exatidão, solidez, segurança e cibersegurança e a ter um desempenho coerente nesses aspetos.</w:t>
      </w:r>
      <w:r>
        <w:rPr>
          <w:sz w:val="22"/>
          <w:rFonts w:ascii="Arial" w:hAnsi="Arial"/>
        </w:rPr>
        <w:t xml:space="preserve"> </w:t>
      </w:r>
    </w:p>
    <w:p w14:paraId="3FEE1341" w14:textId="77777777"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Os níveis de exatidão e as métricas de exatidão pertinentes do Sistema de IA são descritos no </w:t>
      </w:r>
      <w:r>
        <w:rPr>
          <w:sz w:val="22"/>
          <w:bdr w:val="none" w:sz="0" w:space="0" w:color="auto" w:frame="1"/>
          <w:b/>
          <w:rFonts w:ascii="Arial" w:hAnsi="Arial"/>
        </w:rPr>
        <w:t xml:space="preserve">anexo G</w:t>
      </w:r>
      <w:r>
        <w:rPr>
          <w:sz w:val="22"/>
          <w:bdr w:val="none" w:sz="0" w:space="0" w:color="auto" w:frame="1"/>
          <w:rFonts w:ascii="Arial" w:hAnsi="Arial"/>
        </w:rPr>
        <w:t xml:space="preserve">.</w:t>
      </w:r>
    </w:p>
    <w:p w14:paraId="2B6579D0" w14:textId="1780795B" w:rsidR="00592294" w:rsidRPr="00BD0EE8" w:rsidRDefault="000F1F04" w:rsidP="00592294">
      <w:pPr>
        <w:pStyle w:val="doLijstnummering7"/>
        <w:numPr>
          <w:ilvl w:val="1"/>
          <w:numId w:val="6"/>
        </w:numPr>
        <w:rPr>
          <w:sz w:val="22"/>
          <w:szCs w:val="22"/>
          <w:rFonts w:ascii="Arial" w:hAnsi="Arial" w:cs="Arial"/>
        </w:rPr>
      </w:pPr>
      <w:r>
        <w:rPr>
          <w:sz w:val="22"/>
          <w:rFonts w:ascii="Arial" w:hAnsi="Arial"/>
        </w:rPr>
        <w:t xml:space="preserve">Para assegurar um nível adequado de solidez, segurança e cibersegurança, o Fornecedor deve, pelo menos, aplicar as medidas técnicas e organizacionais descritas no </w:t>
      </w:r>
      <w:r>
        <w:rPr>
          <w:sz w:val="22"/>
          <w:b/>
          <w:rFonts w:ascii="Arial" w:hAnsi="Arial"/>
        </w:rPr>
        <w:t xml:space="preserve">anexo H</w:t>
      </w:r>
      <w:r>
        <w:rPr>
          <w:sz w:val="22"/>
          <w:rFonts w:ascii="Arial" w:hAnsi="Arial"/>
        </w:rPr>
        <w:t xml:space="preserve"> antes da Entrega do Sistema de IA.</w:t>
      </w:r>
      <w:r>
        <w:rPr>
          <w:sz w:val="22"/>
          <w:rFonts w:ascii="Arial" w:hAnsi="Arial"/>
        </w:rPr>
        <w:t xml:space="preserve">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sz w:val="22"/>
          <w:szCs w:val="22"/>
          <w:rFonts w:ascii="Arial" w:hAnsi="Arial" w:cs="Arial"/>
        </w:rPr>
      </w:pPr>
      <w:r>
        <w:rPr>
          <w:sz w:val="22"/>
          <w:rFonts w:ascii="Arial" w:hAnsi="Arial"/>
        </w:rPr>
        <w:t xml:space="preserve">Conformidade</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b/>
          <w:bCs/>
          <w:iCs/>
          <w:sz w:val="22"/>
          <w:szCs w:val="22"/>
          <w:rFonts w:ascii="Arial" w:hAnsi="Arial" w:cs="Arial"/>
        </w:rPr>
      </w:pPr>
      <w:r>
        <w:rPr>
          <w:sz w:val="22"/>
          <w:rFonts w:ascii="Arial" w:hAnsi="Arial"/>
        </w:rPr>
        <w:t xml:space="preserve">O Fornecedor deve assegurar que, desde a Entrega do Sistema de IA até ao final do período de vigência do Acordo, o Sistema de IA cumpre as presentes CCT-IA-Baixo-Risco.</w:t>
      </w:r>
    </w:p>
    <w:p w14:paraId="40B21C42" w14:textId="4D7419F0"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A pedido inicial da Organização Pública, os Fornecedores devem disponibilizar à Organização Pública todas as informações necessárias para demonstrar o cumprimento das presentes CCT-IA-Baixo-Risco.</w:t>
      </w:r>
    </w:p>
    <w:p w14:paraId="0BF2F4AF" w14:textId="7A13EC3E"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Se, durante a vigência do Acordo, o Fornecedor considerar ou tiver motivos para considerar que o Sistema de IA não está em conformidade com as presentes CCT-IA-Baixo-Risco, quer em resposta a uma observação da Organização Pública quer não, deve tomar imediatamente as medidas corretivas necessárias para assegurar a conformidade do sistema.</w:t>
      </w:r>
      <w:r>
        <w:rPr>
          <w:sz w:val="22"/>
          <w:rFonts w:ascii="Arial" w:hAnsi="Arial"/>
        </w:rPr>
        <w:t xml:space="preserve"> </w:t>
      </w:r>
      <w:r>
        <w:rPr>
          <w:sz w:val="22"/>
          <w:rFonts w:ascii="Arial" w:hAnsi="Arial"/>
        </w:rPr>
        <w:t xml:space="preserve">O Fornecedor deve informar a Organização Pública adequadamente.</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noProof/>
          <w:sz w:val="22"/>
          <w:szCs w:val="22"/>
          <w:rFonts w:ascii="Arial" w:hAnsi="Arial" w:cs="Arial"/>
        </w:rPr>
      </w:pPr>
      <w:r>
        <w:rPr>
          <w:sz w:val="22"/>
          <w:rFonts w:ascii="Arial" w:hAnsi="Arial"/>
        </w:rPr>
        <w:t xml:space="preserve">Avaliação de impacto sobre os direitos fundamentais</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noProof/>
          <w:sz w:val="22"/>
          <w:szCs w:val="22"/>
          <w:rFonts w:ascii="Arial" w:hAnsi="Arial" w:cs="Arial"/>
        </w:rPr>
      </w:pPr>
      <w:r>
        <w:rPr>
          <w:sz w:val="22"/>
          <w:rFonts w:ascii="Arial" w:hAnsi="Arial"/>
        </w:rPr>
        <w:t xml:space="preserve">A pedido inicial da Organização Pública, o Fornecedor deve cooperar na realização, por parte da Organização Pública, de uma avaliação do impacto que a utilização do Sistema de IA possa ter sobre os direitos fundamentais.</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sz w:val="22"/>
          <w:szCs w:val="22"/>
          <w:rFonts w:ascii="Arial" w:hAnsi="Arial" w:cs="Arial"/>
        </w:rPr>
      </w:pPr>
      <w:r>
        <w:rPr>
          <w:sz w:val="22"/>
          <w:rFonts w:ascii="Arial" w:hAnsi="Arial"/>
        </w:rPr>
        <w:t xml:space="preserve">Obrigação de explicar o funcionamento do Sistema de IA a nível individual</w:t>
      </w:r>
      <w:r>
        <w:rPr>
          <w:sz w:val="22"/>
          <w:rFonts w:ascii="Arial" w:hAnsi="Arial"/>
        </w:rPr>
        <w:t xml:space="preserve">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sz w:val="22"/>
          <w:szCs w:val="22"/>
          <w:rFonts w:ascii="Arial" w:hAnsi="Arial" w:cs="Arial"/>
        </w:rPr>
      </w:pPr>
      <w:r>
        <w:rPr>
          <w:sz w:val="22"/>
          <w:rFonts w:ascii="Arial" w:hAnsi="Arial"/>
        </w:rPr>
        <w:t xml:space="preserve">Para além das obrigações descritas no artigo 6.º, o Fornecedor tem a obrigação de ajudar a Organização Pública, a pedido inicial desta, a fornecer uma explicação clara e significativa do papel do Sistema de IA no processo de decisão.</w:t>
      </w:r>
      <w:r>
        <w:rPr>
          <w:sz w:val="22"/>
          <w:rFonts w:ascii="Arial" w:hAnsi="Arial"/>
        </w:rPr>
        <w:t xml:space="preserve"> </w:t>
      </w:r>
      <w:r>
        <w:rPr>
          <w:sz w:val="22"/>
          <w:rFonts w:ascii="Arial" w:hAnsi="Arial"/>
        </w:rPr>
        <w:t xml:space="preserve">Esta explicação significativa deve, em especial (mas não exclusivamente), fornecer informações sobre os principais elementos das decisões tomadas pela Organização Pública com base nos resultados do Sistema de IA, relativamente a quaisquer pessoas afetadas por estas decisões</w:t>
      </w:r>
      <w:r>
        <w:rPr>
          <w:sz w:val="22"/>
          <w:rFonts w:ascii="Arial" w:hAnsi="Arial"/>
        </w:rPr>
        <w:t xml:space="preserve">.</w:t>
      </w:r>
    </w:p>
    <w:p w14:paraId="06E18BD1" w14:textId="7FBD770E" w:rsidR="00DB24E3" w:rsidRPr="00BD0EE8" w:rsidRDefault="00DB24E3" w:rsidP="00DB24E3">
      <w:pPr>
        <w:pStyle w:val="doLijstnummering7"/>
        <w:numPr>
          <w:ilvl w:val="1"/>
          <w:numId w:val="6"/>
        </w:numPr>
        <w:rPr>
          <w:sz w:val="22"/>
          <w:szCs w:val="22"/>
          <w:rFonts w:ascii="Arial" w:hAnsi="Arial" w:cs="Arial"/>
        </w:rPr>
      </w:pPr>
      <w:r>
        <w:rPr>
          <w:sz w:val="22"/>
          <w:rFonts w:ascii="Arial" w:hAnsi="Arial"/>
        </w:rPr>
        <w:t xml:space="preserve">A obrigação descrita no artigo 11.1 inclui a disponibilização à Organização Pública de todas as informações técnicas e outras necessárias para explicar de que forma o Sistema de IA produziu um determinado resultado e para oferecer às pessoas afetadas a oportunidade de verificar a forma como o Sistema de IA produziu tal resultado.</w:t>
      </w:r>
      <w:r>
        <w:rPr>
          <w:sz w:val="22"/>
          <w:rFonts w:ascii="Arial" w:hAnsi="Arial"/>
        </w:rPr>
        <w:t xml:space="preserve"> </w:t>
      </w:r>
      <w:r>
        <w:rPr>
          <w:sz w:val="22"/>
          <w:rFonts w:ascii="Arial" w:hAnsi="Arial"/>
        </w:rPr>
        <w:t xml:space="preserve">O Fornecedor concede à Organização Pública o direito de utilizar, partilhar e divulgar estas informações, se e na medida do que for necessário, para informar as pessoas afetadas pelas decisões.</w:t>
      </w:r>
    </w:p>
    <w:p w14:paraId="15BD7CE9" w14:textId="6D2D7EAA" w:rsidR="00DB24E3" w:rsidRPr="00BD0EE8" w:rsidRDefault="00FD0514" w:rsidP="00DB24E3">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As obrigações referidas nos artigos 11.1 e 11.2 incluem o código-fonte do Sistema de IA, as especificações técnicas utilizadas no desenvolvimento do Sistema de IA, os Conjuntos de Dados, as informações técnicas sobre a forma como os Conjuntos de Dados utilizados no desenvolvimento do Sistema de IA foram obtidos e editados, informações sobre o método de desenvolvimento e o processo de desenvolvimento utilizados, a fundamentação da escolha de um determinado modelo e dos seus parâmetros e informações sobre o desempenho do Sistema de IA.</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b/>
          <w:sz w:val="26"/>
          <w:szCs w:val="26"/>
          <w:rFonts w:ascii="Arial" w:hAnsi="Arial" w:cs="Arial"/>
        </w:rPr>
      </w:pPr>
      <w:r>
        <w:rPr>
          <w:b/>
          <w:sz w:val="26"/>
          <w:rFonts w:ascii="Arial" w:hAnsi="Arial"/>
        </w:rPr>
        <w:t xml:space="preserve">Secção C — Direitos de utilização dos Conjuntos de Dados</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sz w:val="22"/>
          <w:szCs w:val="22"/>
          <w:rFonts w:ascii="Arial" w:hAnsi="Arial" w:cs="Arial"/>
        </w:rPr>
      </w:pPr>
      <w:r>
        <w:rPr>
          <w:sz w:val="22"/>
          <w:rFonts w:ascii="Arial" w:hAnsi="Arial"/>
        </w:rPr>
        <w:t xml:space="preserve">Direitos sobre os Conjuntos de Dados das Organizações Públicas</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Todos os direitos, incluindo quaisquer direitos de propriedade intelectual, relacionados com os Conjuntos de Dados das Organizações Públicas reverterão para a Organização Pública ou para um terceiro designado pela Organização Pública.</w:t>
      </w:r>
      <w:r>
        <w:rPr>
          <w:sz w:val="22"/>
          <w:rFonts w:ascii="Arial" w:hAnsi="Arial"/>
        </w:rPr>
        <w:t xml:space="preserve"> </w:t>
      </w:r>
    </w:p>
    <w:p w14:paraId="6D01904E" w14:textId="0532A6C9"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O Fornecedor não está autorizado a utilizar os Conjuntos de Dados das Organizações Públicas para outros fins que não a execução do Acordo, salvo disposição em contrário no anexo B.</w:t>
      </w:r>
    </w:p>
    <w:p w14:paraId="7009E782" w14:textId="29462D23"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A pedido inicial da Organização Pública, o Fornecedor deve destruir os Conjuntos de Dados das Organizações Públicas, salvo disposição em contrário no anexo B.</w:t>
      </w:r>
      <w:r>
        <w:rPr>
          <w:sz w:val="22"/>
          <w:rFonts w:ascii="Arial" w:hAnsi="Arial"/>
        </w:rPr>
        <w:t xml:space="preserve"> </w:t>
      </w:r>
      <w:r>
        <w:rPr>
          <w:sz w:val="22"/>
          <w:rFonts w:ascii="Arial" w:hAnsi="Arial"/>
        </w:rPr>
        <w:t xml:space="preserve">Se a Organização Pública o exigir, o Fornecedor deve fornecer provas razoáveis da destruição dos Conjuntos de Dados das Organizações Públicas.</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sz w:val="22"/>
          <w:szCs w:val="22"/>
          <w:rFonts w:ascii="Arial" w:hAnsi="Arial" w:cs="Arial"/>
        </w:rPr>
      </w:pPr>
      <w:r>
        <w:rPr>
          <w:sz w:val="22"/>
          <w:rFonts w:ascii="Arial" w:hAnsi="Arial"/>
        </w:rPr>
        <w:t xml:space="preserve">Direitos sobre os Conjuntos de Dados do Fornecedor e os Conjuntos de Dados de Terceiros</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Todos os direitos, incluindo quaisquer direitos de propriedade intelectual, relacionados com os Conjuntos de Dados do Fornecedor e os Conjuntos de Dados de Terceiros reverterão para o Fornecedor ou para um terceiro.</w:t>
      </w:r>
      <w:r>
        <w:rPr>
          <w:sz w:val="22"/>
          <w:rFonts w:ascii="Arial" w:hAnsi="Arial"/>
        </w:rPr>
        <w:t xml:space="preserve"> </w:t>
      </w:r>
    </w:p>
    <w:p w14:paraId="6B51A995" w14:textId="369220A0"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O Fornecedor concede à Organização Pública um direito não exclusivo de utilizar os Conjuntos de Dados do Fornecedor e os Conjuntos de Dados de Terceiros, o qual, em qualquer caso, é suficiente para a execução das disposições do Acordo, incluindo as CCT-IA-Baixo-Risco, salvo disposição em contrário no anexo B.</w:t>
      </w:r>
    </w:p>
    <w:p w14:paraId="36E39C69" w14:textId="163FA901" w:rsidR="00BA16C1" w:rsidRPr="00BD0EE8" w:rsidRDefault="00FD0514" w:rsidP="00BA16C1">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O direito de utilização descrito no artigo 13.2, inclui o direito de utilizar os Conjuntos de Dados do Fornecedor e os Conjuntos de Dados de Terceiros em desenvolvimentos futuros do Sistema de IA, incluindo quaisquer novas versões do mesmo, pela Organização Pública ou por terceiros.</w:t>
      </w:r>
      <w:r>
        <w:rPr>
          <w:sz w:val="22"/>
          <w:rFonts w:ascii="Arial" w:hAnsi="Arial"/>
        </w:rPr>
        <w:t xml:space="preserve">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sz w:val="22"/>
          <w:szCs w:val="22"/>
          <w:rFonts w:ascii="Arial" w:hAnsi="Arial" w:cs="Arial"/>
        </w:rPr>
      </w:pPr>
      <w:r>
        <w:rPr>
          <w:sz w:val="22"/>
          <w:rFonts w:ascii="Arial" w:hAnsi="Arial"/>
        </w:rPr>
        <w:t xml:space="preserve">Entrega dos Conjuntos de Dados</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A pedido inicial da Organização Pública, o Fornecedor entregará a versão mais recente dos Conjuntos de Dados das Organizações Públicas à Organização Pública.</w:t>
      </w:r>
    </w:p>
    <w:p w14:paraId="537EEA2E" w14:textId="63371311"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A pedido inicial da Organização Pública, o Fornecedor entregará a versão mais recente dos Conjuntos de Dados do Fornecedor e dos Conjuntos de Dados de Terceiros à Organização Pública, salvo disposição em contrário no anexo B.</w:t>
      </w:r>
      <w:r>
        <w:rPr>
          <w:sz w:val="22"/>
          <w:rFonts w:ascii="Arial" w:hAnsi="Arial"/>
        </w:rPr>
        <w:t xml:space="preserve"> </w:t>
      </w:r>
    </w:p>
    <w:p w14:paraId="46EAB8D5" w14:textId="4154907B"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Os Conjuntos de Dados devem ser entregues à Organização Pública pelo Fornecedor num formato de ficheiro comum a designar pela Organização Pública.</w:t>
      </w:r>
      <w:r>
        <w:rPr>
          <w:sz w:val="22"/>
          <w:rFonts w:ascii="Arial" w:hAnsi="Arial"/>
        </w:rPr>
        <w:t xml:space="preserve"> </w:t>
      </w:r>
      <w:r>
        <w:rPr>
          <w:sz w:val="22"/>
          <w:b/>
          <w:rFonts w:ascii="Arial" w:hAnsi="Arial"/>
        </w:rPr>
        <w:t xml:space="preserve">[Facultativo] Os Conjuntos de Dados serão entregues no seguinte formato:</w:t>
      </w:r>
      <w:r>
        <w:rPr>
          <w:sz w:val="22"/>
          <w:b/>
          <w:rFonts w:ascii="Arial" w:hAnsi="Arial"/>
        </w:rPr>
        <w:t xml:space="preserve"> </w:t>
      </w:r>
      <w:r>
        <w:rPr>
          <w:sz w:val="22"/>
          <w:b/>
          <w:rFonts w:ascii="Arial" w:hAnsi="Arial"/>
        </w:rPr>
        <w:t xml:space="preserve">[formato do ficheiro]</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sz w:val="22"/>
          <w:szCs w:val="22"/>
          <w:rFonts w:ascii="Arial" w:hAnsi="Arial" w:cs="Arial"/>
        </w:rPr>
      </w:pPr>
      <w:r>
        <w:rPr>
          <w:sz w:val="22"/>
          <w:rFonts w:ascii="Arial" w:hAnsi="Arial"/>
        </w:rPr>
        <w:t xml:space="preserve">Indemnizações</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sz w:val="22"/>
          <w:szCs w:val="22"/>
          <w:rFonts w:ascii="Arial" w:hAnsi="Arial" w:cs="Arial"/>
        </w:rPr>
      </w:pPr>
      <w:r>
        <w:rPr>
          <w:sz w:val="22"/>
          <w:rFonts w:ascii="Arial" w:hAnsi="Arial"/>
        </w:rPr>
        <w:t xml:space="preserve">O Fornecedor deve indemnizar a Organização Pública por quaisquer ações intentadas por terceiros, incluindo supervisores, decorrentes de quaisquer violações dos direitos de propriedade intelectual, dos direitos em matéria de proteção de dados ou de direitos equivalentes resultante da utilização, pela Organização Pública, do Sistema de IA, dos Conjuntos de Dados do Fornecedor e/ou dos Conjuntos de Dados de Terceiros.</w:t>
      </w:r>
      <w:r>
        <w:rPr>
          <w:sz w:val="22"/>
          <w:rFonts w:ascii="Arial" w:hAnsi="Arial"/>
        </w:rPr>
        <w:t xml:space="preserve"> </w:t>
      </w:r>
    </w:p>
    <w:p w14:paraId="75C8D82C" w14:textId="77777777" w:rsidR="00DB24E3" w:rsidRPr="00BD0EE8" w:rsidRDefault="00DB24E3" w:rsidP="00DB24E3">
      <w:pPr>
        <w:pStyle w:val="doLijstnummering7"/>
        <w:numPr>
          <w:ilvl w:val="1"/>
          <w:numId w:val="6"/>
        </w:numPr>
        <w:rPr>
          <w:sz w:val="22"/>
          <w:szCs w:val="22"/>
          <w:rFonts w:ascii="Arial" w:hAnsi="Arial" w:cs="Arial"/>
        </w:rPr>
      </w:pPr>
      <w:r>
        <w:rPr>
          <w:sz w:val="22"/>
          <w:rFonts w:ascii="Arial" w:hAnsi="Arial"/>
        </w:rPr>
        <w:t xml:space="preserve">A Organização Pública deve indemnizar o Fornecedor por quaisquer ações intentadas por terceiros, incluindo supervisores, decorrentes de quaisquer violações dos seus direitos de propriedade intelectual, direitos de privacidade ou direitos equivalentes resultante da utilização dos Conjuntos de Dados das Organizações Públicas.</w:t>
      </w:r>
      <w:r>
        <w:rPr>
          <w:sz w:val="22"/>
          <w:rFonts w:ascii="Arial" w:hAnsi="Arial"/>
        </w:rPr>
        <w:t xml:space="preserve">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b/>
          <w:bCs/>
          <w:sz w:val="26"/>
          <w:szCs w:val="26"/>
          <w:rFonts w:ascii="Arial" w:hAnsi="Arial" w:cs="Arial"/>
        </w:rPr>
      </w:pPr>
      <w:r>
        <w:br w:type="page"/>
      </w:r>
    </w:p>
    <w:p w14:paraId="3DA96EF3" w14:textId="77777777" w:rsidR="00BA16C1" w:rsidRPr="00BD0EE8" w:rsidRDefault="00BA16C1" w:rsidP="00587A6A">
      <w:pPr>
        <w:spacing w:after="360"/>
        <w:jc w:val="both"/>
        <w:rPr>
          <w:b/>
          <w:bCs/>
          <w:sz w:val="26"/>
          <w:szCs w:val="26"/>
          <w:rFonts w:ascii="Arial" w:hAnsi="Arial" w:cs="Arial"/>
        </w:rPr>
      </w:pPr>
      <w:r>
        <w:rPr>
          <w:b/>
          <w:sz w:val="26"/>
          <w:rFonts w:ascii="Arial" w:hAnsi="Arial"/>
        </w:rPr>
        <w:t xml:space="preserve">Anexo A — Sistema de IA e Finalidade Prevista</w:t>
      </w:r>
    </w:p>
    <w:p w14:paraId="28122E94" w14:textId="77777777" w:rsidR="00BA16C1" w:rsidRPr="00BD0EE8" w:rsidRDefault="00BA16C1" w:rsidP="00BA16C1">
      <w:pPr>
        <w:spacing w:after="210"/>
        <w:jc w:val="both"/>
        <w:rPr>
          <w:bCs/>
          <w:sz w:val="22"/>
          <w:szCs w:val="22"/>
          <w:rFonts w:ascii="Arial" w:hAnsi="Arial" w:cs="Arial"/>
        </w:rPr>
      </w:pPr>
      <w:r>
        <w:rPr>
          <w:sz w:val="22"/>
          <w:u w:val="single"/>
          <w:rFonts w:ascii="Arial" w:hAnsi="Arial"/>
        </w:rPr>
        <w:t xml:space="preserve">Descrição do Sistema de IA</w:t>
      </w:r>
    </w:p>
    <w:p w14:paraId="5C91B67C" w14:textId="52E34C0A" w:rsidR="00BA16C1" w:rsidRPr="00BD0EE8" w:rsidRDefault="00BA16C1" w:rsidP="00BA16C1">
      <w:pPr>
        <w:spacing w:after="210"/>
        <w:jc w:val="both"/>
        <w:rPr>
          <w:bCs/>
          <w:sz w:val="22"/>
          <w:szCs w:val="22"/>
          <w:rFonts w:ascii="Arial" w:hAnsi="Arial" w:cs="Arial"/>
        </w:rPr>
      </w:pPr>
      <w:r>
        <w:rPr>
          <w:sz w:val="22"/>
          <w:rFonts w:ascii="Arial" w:hAnsi="Arial"/>
        </w:rPr>
        <w:t xml:space="preserve">No âmbito das presentes CCT-IA-Baixo-Risco, incluem-se os seguintes sistemas ou componentes de sistemas:</w:t>
      </w:r>
      <w:r>
        <w:rPr>
          <w:sz w:val="22"/>
          <w:rFonts w:ascii="Arial" w:hAnsi="Arial"/>
        </w:rPr>
        <w:t xml:space="preserve"> </w:t>
      </w:r>
    </w:p>
    <w:p w14:paraId="5D12A144" w14:textId="77777777" w:rsidR="00BA16C1" w:rsidRPr="00BD0EE8" w:rsidRDefault="00BA16C1" w:rsidP="00BA16C1">
      <w:pPr>
        <w:spacing w:after="210"/>
        <w:jc w:val="both"/>
        <w:rPr>
          <w:i/>
          <w:sz w:val="22"/>
          <w:szCs w:val="22"/>
          <w:rFonts w:ascii="Arial" w:hAnsi="Arial" w:cs="Arial"/>
        </w:rPr>
      </w:pPr>
      <w:r>
        <w:rPr>
          <w:i/>
          <w:sz w:val="22"/>
          <w:rFonts w:ascii="Arial" w:hAnsi="Arial"/>
        </w:rPr>
        <w:t xml:space="preserve">Descrever o(s) Sistema(s) de IA.</w:t>
      </w:r>
      <w:r>
        <w:rPr>
          <w:i/>
          <w:sz w:val="22"/>
          <w:rFonts w:ascii="Arial" w:hAnsi="Arial"/>
        </w:rPr>
        <w:t xml:space="preserve"> </w:t>
      </w:r>
      <w:r>
        <w:rPr>
          <w:i/>
          <w:sz w:val="22"/>
          <w:rFonts w:ascii="Arial" w:hAnsi="Arial"/>
        </w:rPr>
        <w:t xml:space="preserve">Este sistema pode também ser um sistema algorítmico que não seja considerado um Sistema de IA nos termos do Regulamento Inteligência Artificial.</w:t>
      </w:r>
    </w:p>
    <w:p w14:paraId="2EC18EF6" w14:textId="77777777" w:rsidR="00BA16C1" w:rsidRPr="00BD0EE8" w:rsidRDefault="00BA16C1" w:rsidP="00BA16C1">
      <w:pPr>
        <w:spacing w:after="210"/>
        <w:jc w:val="both"/>
        <w:rPr>
          <w:sz w:val="22"/>
          <w:szCs w:val="22"/>
          <w:u w:val="single"/>
          <w:rFonts w:ascii="Arial" w:hAnsi="Arial" w:cs="Arial"/>
        </w:rPr>
      </w:pPr>
      <w:r>
        <w:rPr>
          <w:sz w:val="22"/>
          <w:u w:val="single"/>
          <w:rFonts w:ascii="Arial" w:hAnsi="Arial"/>
        </w:rPr>
        <w:t xml:space="preserve">Finalidade Prevista</w:t>
      </w:r>
    </w:p>
    <w:p w14:paraId="5296445D" w14:textId="77777777" w:rsidR="00BA16C1" w:rsidRPr="00BD0EE8" w:rsidRDefault="00BA16C1" w:rsidP="00BA16C1">
      <w:pPr>
        <w:spacing w:after="210"/>
        <w:jc w:val="both"/>
        <w:rPr>
          <w:bCs/>
          <w:sz w:val="22"/>
          <w:szCs w:val="22"/>
          <w:rFonts w:ascii="Arial" w:hAnsi="Arial" w:cs="Arial"/>
        </w:rPr>
      </w:pPr>
      <w:r>
        <w:rPr>
          <w:sz w:val="22"/>
          <w:i/>
          <w:rFonts w:ascii="Arial" w:hAnsi="Arial"/>
        </w:rPr>
        <w:t xml:space="preserve">Descrever a utilização a que o Sistema de IA se destina.</w:t>
      </w:r>
      <w:r>
        <w:rPr>
          <w:sz w:val="22"/>
          <w:rFonts w:ascii="Arial" w:hAnsi="Arial"/>
        </w:rPr>
        <w:br w:type="page"/>
      </w:r>
    </w:p>
    <w:p w14:paraId="69C98B2F"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Anexo B — Conjuntos de dados</w:t>
      </w:r>
      <w:r>
        <w:rPr>
          <w:b/>
          <w:sz w:val="26"/>
          <w:rFonts w:ascii="Arial" w:hAnsi="Arial"/>
        </w:rPr>
        <w:t xml:space="preserve"> </w:t>
      </w:r>
    </w:p>
    <w:p w14:paraId="73ED7D63" w14:textId="7CBC5E98" w:rsidR="00BA16C1" w:rsidRPr="00BD0EE8" w:rsidRDefault="00BA16C1" w:rsidP="00BA16C1">
      <w:pPr>
        <w:spacing w:after="210"/>
        <w:jc w:val="both"/>
        <w:rPr>
          <w:i/>
          <w:iCs/>
          <w:color w:val="000000"/>
          <w:sz w:val="22"/>
          <w:szCs w:val="22"/>
          <w:shd w:val="clear" w:color="auto" w:fill="FFFFFF"/>
          <w:rFonts w:ascii="Arial" w:hAnsi="Arial" w:cs="Arial"/>
        </w:rPr>
      </w:pPr>
      <w:r>
        <w:rPr>
          <w:i/>
          <w:sz w:val="22"/>
          <w:rFonts w:ascii="Arial" w:hAnsi="Arial"/>
        </w:rPr>
        <w:t xml:space="preserve">Descrever os Conjuntos de Dados utilizados para </w:t>
      </w:r>
      <w:r>
        <w:rPr>
          <w:i/>
          <w:sz w:val="22"/>
          <w:color w:val="000000"/>
          <w:shd w:val="clear" w:color="auto" w:fill="FFFFFF"/>
          <w:rFonts w:ascii="Arial" w:hAnsi="Arial"/>
        </w:rPr>
        <w:t xml:space="preserve">treino (se aplicável), validação e teste do Sistema de IA.</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Distinguir entre Conjuntos de Dados das Organizações Públicas, Conjuntos de Dados do Fornecedor e Conjuntos de Dados de Terceiros.</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No caso dos Conjuntos de Dados das Organizações Públicas, descrever as finalidades para as quais o Fornecedor pode utilizar os Conjuntos de Dados (para além da execução do Acordo) e indicar se o Fornecedor é obrigado a destruir o Conjunto de Dados no final do período de vigência do Acordo.</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No caso dos Conjuntos de Dados do Fornecedor e dos Conjuntos de Dados de Terceiros, descrever as finalidades para as quais a Organização Pública pode utilizar os Conjuntos de Dados e indicar se o Fornecedor é obrigado a entregar os Conjuntos de Dados.</w:t>
      </w:r>
    </w:p>
    <w:p w14:paraId="78F02DB5" w14:textId="48FA1FF4" w:rsidR="00BA16C1" w:rsidRPr="00BD0EE8" w:rsidRDefault="003772EE" w:rsidP="00BA16C1">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Conjuntos de Dados das Organizações Públicas</w:t>
      </w:r>
    </w:p>
    <w:p w14:paraId="31166494" w14:textId="77777777" w:rsidR="00BA16C1" w:rsidRPr="00BD0EE8" w:rsidRDefault="00BA16C1" w:rsidP="00BA16C1">
      <w:pPr>
        <w:spacing w:after="210"/>
        <w:jc w:val="both"/>
        <w:rPr>
          <w:sz w:val="22"/>
          <w:szCs w:val="22"/>
          <w:rFonts w:ascii="Arial" w:hAnsi="Arial" w:cs="Arial"/>
        </w:rPr>
      </w:pPr>
      <w:r>
        <w:rPr>
          <w:sz w:val="22"/>
          <w:rFonts w:ascii="Arial" w:hAnsi="Arial"/>
        </w:rPr>
        <w:t xml:space="preserve">Os seguintes Conjuntos de Dados são fornecidos pela Organização Pública ao Fornecedor ao abrigo do Acordo ou para serem criados ou recolhidos no âmbito do Acordo:</w:t>
      </w:r>
      <w:r>
        <w:rPr>
          <w:sz w:val="22"/>
          <w:rFonts w:ascii="Arial" w:hAnsi="Arial"/>
        </w:rPr>
        <w:t xml:space="preserve">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Descrição do Conjunto de Dados</w:t>
            </w:r>
          </w:p>
        </w:tc>
        <w:tc>
          <w:tcPr>
            <w:tcW w:w="2717" w:type="dxa"/>
          </w:tcPr>
          <w:p w14:paraId="54C3C3D9"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Direitos de utilização do Fornecedor</w:t>
            </w:r>
          </w:p>
        </w:tc>
        <w:tc>
          <w:tcPr>
            <w:tcW w:w="3561" w:type="dxa"/>
          </w:tcPr>
          <w:p w14:paraId="753D331F"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Obrigação de destruir o Conjunto de Dados no termo do período de vigência do Acordo</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sz w:val="22"/>
                <w:szCs w:val="22"/>
                <w:rFonts w:ascii="Arial" w:hAnsi="Arial" w:cs="Arial"/>
              </w:rPr>
            </w:pPr>
            <w:r>
              <w:rPr>
                <w:sz w:val="22"/>
                <w:rFonts w:ascii="Arial" w:hAnsi="Arial"/>
              </w:rPr>
              <w:t xml:space="preserve">Sim/Não</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Sim/Não</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Sim/Não</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Sim/Não</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Conjuntos de Dados do Fornecedor e Conjuntos de Dados de Terceiros</w:t>
      </w:r>
    </w:p>
    <w:p w14:paraId="332C2F43" w14:textId="767CCCEE" w:rsidR="00BA16C1" w:rsidRPr="00BD0EE8" w:rsidRDefault="00BA16C1" w:rsidP="00BA16C1">
      <w:pPr>
        <w:spacing w:after="210"/>
        <w:jc w:val="both"/>
        <w:rPr>
          <w:sz w:val="22"/>
          <w:szCs w:val="22"/>
          <w:rFonts w:ascii="Arial" w:hAnsi="Arial" w:cs="Arial"/>
        </w:rPr>
      </w:pPr>
      <w:r>
        <w:rPr>
          <w:sz w:val="22"/>
          <w:rFonts w:ascii="Arial" w:hAnsi="Arial"/>
        </w:rPr>
        <w:t xml:space="preserve">Os seguintes Conjuntos de Dados do Fornecedor e Conjuntos de Dados de Terceiros serão ou foram utilizados para treino (se aplicável), validação e teste do Sistema de IA:</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Descrição do Conjunto de Dados</w:t>
            </w:r>
          </w:p>
        </w:tc>
        <w:tc>
          <w:tcPr>
            <w:tcW w:w="2859" w:type="dxa"/>
          </w:tcPr>
          <w:p w14:paraId="31EED2EF"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Direitos de utilização da Organização Pública</w:t>
            </w:r>
          </w:p>
        </w:tc>
        <w:tc>
          <w:tcPr>
            <w:tcW w:w="3415" w:type="dxa"/>
          </w:tcPr>
          <w:p w14:paraId="321EF843"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Obrigação de entrega</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Sim/Não</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Sim/Não</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Sim/Não</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Sim/Não</w:t>
            </w:r>
          </w:p>
        </w:tc>
      </w:tr>
    </w:tbl>
    <w:p w14:paraId="70A2A944" w14:textId="77777777" w:rsidR="00BA16C1" w:rsidRPr="00BD0EE8" w:rsidRDefault="00BA16C1" w:rsidP="00BA16C1">
      <w:pPr>
        <w:spacing w:after="210"/>
        <w:jc w:val="both"/>
        <w:rPr>
          <w:sz w:val="22"/>
          <w:szCs w:val="22"/>
          <w:u w:val="single"/>
          <w:rFonts w:ascii="Arial" w:hAnsi="Arial" w:cs="Arial"/>
        </w:rPr>
      </w:pPr>
      <w:r>
        <w:br w:type="page"/>
      </w:r>
    </w:p>
    <w:p w14:paraId="2B448160"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Anexo C — Documentação técnica</w:t>
      </w:r>
    </w:p>
    <w:p w14:paraId="7E241A76" w14:textId="74E905CE" w:rsidR="008B0F7B" w:rsidRPr="00BD0EE8" w:rsidRDefault="008B0F7B" w:rsidP="000F1F04">
      <w:pPr>
        <w:spacing w:before="120" w:after="210"/>
        <w:jc w:val="both"/>
        <w:rPr>
          <w:sz w:val="22"/>
          <w:szCs w:val="22"/>
          <w:rFonts w:ascii="Arial" w:hAnsi="Arial" w:cs="Arial"/>
        </w:rPr>
      </w:pPr>
      <w:r>
        <w:rPr>
          <w:sz w:val="22"/>
          <w:rFonts w:ascii="Arial" w:hAnsi="Arial"/>
        </w:rPr>
        <w:t xml:space="preserve">A documentação técnica deve conter, pelo menos, as informações indicadas a seguir, consoante aplicável ao Sistema de IA:</w:t>
      </w:r>
    </w:p>
    <w:p w14:paraId="4A1811DC" w14:textId="77777777" w:rsidR="008B0F7B" w:rsidRPr="00BD0EE8" w:rsidRDefault="008B0F7B" w:rsidP="008B0F7B">
      <w:pPr>
        <w:pStyle w:val="doLijstnummering5"/>
        <w:rPr>
          <w:sz w:val="22"/>
          <w:szCs w:val="22"/>
          <w:rFonts w:ascii="Arial" w:hAnsi="Arial" w:cs="Arial"/>
        </w:rPr>
      </w:pPr>
      <w:r>
        <w:rPr>
          <w:sz w:val="22"/>
          <w:rFonts w:ascii="Arial" w:hAnsi="Arial"/>
        </w:rPr>
        <w:t xml:space="preserve">Uma descrição geral do Sistema de IA, nomeadamente:</w:t>
      </w:r>
    </w:p>
    <w:p w14:paraId="1871FB77" w14:textId="6DCFF36D"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A sua Finalidade Prevista, o nome do Fornecedor e a versão do sistema que reflete a sua relação com versões anteriores;</w:t>
      </w:r>
    </w:p>
    <w:p w14:paraId="67C8D633" w14:textId="26A16E22"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Informações sobre de que forma o Sistema de IA pode interagir ou ser utilizado para interagir com hardware ou software que não faça parte do próprio Sistema de IA, incluindo outros Sistemas de IA, se for caso disso;</w:t>
      </w:r>
      <w:r>
        <w:rPr>
          <w:sz w:val="22"/>
          <w:rFonts w:ascii="Arial" w:hAnsi="Arial"/>
        </w:rPr>
        <w:t xml:space="preserve"> </w:t>
      </w:r>
    </w:p>
    <w:p w14:paraId="1ECE57CB"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As versões do </w:t>
      </w:r>
      <w:r>
        <w:rPr>
          <w:sz w:val="22"/>
          <w:i/>
          <w:rFonts w:ascii="Arial" w:hAnsi="Arial"/>
        </w:rPr>
        <w:t xml:space="preserve">software</w:t>
      </w:r>
      <w:r>
        <w:rPr>
          <w:sz w:val="22"/>
          <w:rFonts w:ascii="Arial" w:hAnsi="Arial"/>
        </w:rPr>
        <w:t xml:space="preserve"> ou </w:t>
      </w:r>
      <w:r>
        <w:rPr>
          <w:sz w:val="22"/>
          <w:i/>
          <w:rFonts w:ascii="Arial" w:hAnsi="Arial"/>
        </w:rPr>
        <w:t xml:space="preserve">firmware</w:t>
      </w:r>
      <w:r>
        <w:rPr>
          <w:sz w:val="22"/>
          <w:rFonts w:ascii="Arial" w:hAnsi="Arial"/>
        </w:rPr>
        <w:t xml:space="preserve"> relevante e quaisquer requisitos relacionados com a atualização das versões;</w:t>
      </w:r>
    </w:p>
    <w:p w14:paraId="6D0AC47C"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A descrição do </w:t>
      </w:r>
      <w:r>
        <w:rPr>
          <w:sz w:val="22"/>
          <w:i/>
          <w:rFonts w:ascii="Arial" w:hAnsi="Arial"/>
        </w:rPr>
        <w:t xml:space="preserve">hardware</w:t>
      </w:r>
      <w:r>
        <w:rPr>
          <w:sz w:val="22"/>
          <w:rFonts w:ascii="Arial" w:hAnsi="Arial"/>
        </w:rPr>
        <w:t xml:space="preserve"> no qual se pretende executar o Sistema de IA;</w:t>
      </w:r>
    </w:p>
    <w:p w14:paraId="5120BCA9"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Se o Sistema de IA for um componente de produtos, fotografias ou ilustrações que revelem as características externas, a marcação e a disposição interna desses produtos;</w:t>
      </w:r>
    </w:p>
    <w:p w14:paraId="6FF283B9" w14:textId="2190D29B"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Uma descrição básica da interface de utilizador facultada à Organização pública;</w:t>
      </w:r>
    </w:p>
    <w:p w14:paraId="45B4325D" w14:textId="1708A672"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Instruções de utilização destinadas ao responsável pela implantação e uma descrição básica da interface de utilizador, se aplicável.</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sz w:val="22"/>
          <w:szCs w:val="22"/>
          <w:rFonts w:ascii="Arial" w:hAnsi="Arial" w:cs="Arial"/>
        </w:rPr>
      </w:pPr>
      <w:r>
        <w:rPr>
          <w:sz w:val="22"/>
          <w:rFonts w:ascii="Arial" w:hAnsi="Arial"/>
        </w:rPr>
        <w:t xml:space="preserve">Uma descrição pormenorizada dos elementos do Sistema de IA e do respetivo processo de desenvolvimento, incluindo:</w:t>
      </w:r>
    </w:p>
    <w:p w14:paraId="7613081F"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Os métodos utilizados e os passos dados com vista ao desenvolvimento do Sistema de IA, incluindo, se for caso disso, o recurso a sistemas ou ferramentas previamente treinados fornecidos por terceiros e de que forma estes foram utilizados, integrados ou modificados pelo fornecedor, incluindo uma descrição de todas as licenças ou outros acordos contratuais relativos a esses dados de entrada de terceiros;</w:t>
      </w:r>
    </w:p>
    <w:p w14:paraId="532B78EF" w14:textId="538001DC"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As especificações de conceção do sistema, designadamente a lógica geral do Sistema de IA e dos algoritmos;</w:t>
      </w:r>
      <w:r>
        <w:rPr>
          <w:sz w:val="22"/>
          <w:rFonts w:ascii="Arial" w:hAnsi="Arial"/>
        </w:rPr>
        <w:t xml:space="preserve"> </w:t>
      </w:r>
      <w:r>
        <w:rPr>
          <w:sz w:val="22"/>
          <w:rFonts w:ascii="Arial" w:hAnsi="Arial"/>
        </w:rPr>
        <w:t xml:space="preserve">as principais opções de conceção, nomeadamente a lógica subjacente e os pressupostos utilizados, também no respeitante às pessoas ou grupos de pessoas em relação às quais se pretende que o sistema seja utilizado;</w:t>
      </w:r>
      <w:r>
        <w:rPr>
          <w:sz w:val="22"/>
          <w:rFonts w:ascii="Arial" w:hAnsi="Arial"/>
        </w:rPr>
        <w:t xml:space="preserve"> </w:t>
      </w:r>
      <w:r>
        <w:rPr>
          <w:sz w:val="22"/>
          <w:rFonts w:ascii="Arial" w:hAnsi="Arial"/>
        </w:rPr>
        <w:t xml:space="preserve">as principais opções de classificação;</w:t>
      </w:r>
      <w:r>
        <w:rPr>
          <w:sz w:val="22"/>
          <w:rFonts w:ascii="Arial" w:hAnsi="Arial"/>
        </w:rPr>
        <w:t xml:space="preserve"> </w:t>
      </w:r>
      <w:r>
        <w:rPr>
          <w:sz w:val="22"/>
          <w:rFonts w:ascii="Arial" w:hAnsi="Arial"/>
        </w:rPr>
        <w:t xml:space="preserve">o que se pretende otimizar com o sistema e a importância dos diferentes parâmetros;</w:t>
      </w:r>
      <w:r>
        <w:rPr>
          <w:sz w:val="22"/>
          <w:rFonts w:ascii="Arial" w:hAnsi="Arial"/>
        </w:rPr>
        <w:t xml:space="preserve"> </w:t>
      </w:r>
      <w:r>
        <w:rPr>
          <w:sz w:val="22"/>
          <w:rFonts w:ascii="Arial" w:hAnsi="Arial"/>
        </w:rPr>
        <w:t xml:space="preserve">a descrição dos resultados e do nível de qualidade esperados do sistema;</w:t>
      </w:r>
      <w:r>
        <w:rPr>
          <w:sz w:val="22"/>
          <w:rFonts w:ascii="Arial" w:hAnsi="Arial"/>
        </w:rPr>
        <w:t xml:space="preserve"> </w:t>
      </w:r>
      <w:r>
        <w:rPr>
          <w:sz w:val="22"/>
          <w:rFonts w:ascii="Arial" w:hAnsi="Arial"/>
        </w:rPr>
        <w:t xml:space="preserve">as decisões acerca de eventuais cedências em relação às soluções técnicas adotadas para cumprir os requisitos definidos nas presentes CCT-IA-Baixo-Risco;</w:t>
      </w:r>
    </w:p>
    <w:p w14:paraId="45CB436A"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A descrição da arquitetura do sistema, explicando de que forma os componentes de software se incorporam ou enriquecem mutuamente e como se integram no processamento global;</w:t>
      </w:r>
      <w:r>
        <w:rPr>
          <w:sz w:val="22"/>
          <w:rFonts w:ascii="Arial" w:hAnsi="Arial"/>
        </w:rPr>
        <w:t xml:space="preserve"> </w:t>
      </w:r>
      <w:r>
        <w:rPr>
          <w:sz w:val="22"/>
          <w:rFonts w:ascii="Arial" w:hAnsi="Arial"/>
        </w:rPr>
        <w:t xml:space="preserve">os recursos computacionais utilizados para desenvolver, treinar, testar e validar o Sistema de IA;</w:t>
      </w:r>
    </w:p>
    <w:p w14:paraId="21E60423" w14:textId="45928538"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Se for caso disso, os requisitos de dados em termos de fichas técnicas que descrevam as metodologias e técnicas de treino e os conjuntos de dados de treino utilizados, incluindo uma descrição geral desses conjuntos de dados, informações sobre a proveniência, o âmbito e as principais características dos conjuntos de dados;</w:t>
      </w:r>
      <w:r>
        <w:rPr>
          <w:sz w:val="22"/>
          <w:rFonts w:ascii="Arial" w:hAnsi="Arial"/>
        </w:rPr>
        <w:t xml:space="preserve"> </w:t>
      </w:r>
      <w:r>
        <w:rPr>
          <w:sz w:val="22"/>
          <w:rFonts w:ascii="Arial" w:hAnsi="Arial"/>
        </w:rPr>
        <w:t xml:space="preserve">de que forma os dados foram obtidos e selecionados;</w:t>
      </w:r>
      <w:r>
        <w:rPr>
          <w:sz w:val="22"/>
          <w:rFonts w:ascii="Arial" w:hAnsi="Arial"/>
        </w:rPr>
        <w:t xml:space="preserve"> </w:t>
      </w:r>
      <w:r>
        <w:rPr>
          <w:sz w:val="22"/>
          <w:rFonts w:ascii="Arial" w:hAnsi="Arial"/>
        </w:rPr>
        <w:t xml:space="preserve">procedimentos de rotulagem (por exemplo, para aprendizagem supervisionada), metodologias de limpeza de dados (por exemplo, deteção de valores atípicos);</w:t>
      </w:r>
    </w:p>
    <w:p w14:paraId="10398943" w14:textId="2772CA76"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Análise das medidas de supervisão humana necessárias em conformidade com as presentes CCT-IA-Baixo-Risco, incluindo uma análise das soluções técnicas necessárias para facilitar a interpretação dos resultados dos sistemas de IA pela Organização pública, em conformidade com as presentes CCT-IA-Baixo-Risco;</w:t>
      </w:r>
    </w:p>
    <w:p w14:paraId="0A537AF4" w14:textId="22DD2F4B"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Se for caso disso, uma descrição pormenorizada das alterações predeterminadas do Sistema de IA e do seu desempenho, juntamente com todas as informações pertinentes relacionadas com as soluções técnicas adotadas para assegurar a conformidade contínua do Sistema de IA com os requisitos aplicáveis estabelecidos nas presentes CCT-IA-Baixo-Risco;</w:t>
      </w:r>
    </w:p>
    <w:p w14:paraId="3FA08B2D" w14:textId="7A348263"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Os procedimentos de validação e teste aplicados, incluindo informações sobre os dados de validação e teste utilizados e as principais características desses dados;</w:t>
      </w:r>
      <w:r>
        <w:rPr>
          <w:sz w:val="22"/>
          <w:rFonts w:ascii="Arial" w:hAnsi="Arial"/>
        </w:rPr>
        <w:t xml:space="preserve"> </w:t>
      </w:r>
      <w:r>
        <w:rPr>
          <w:sz w:val="22"/>
          <w:rFonts w:ascii="Arial" w:hAnsi="Arial"/>
        </w:rPr>
        <w:t xml:space="preserve">as métricas utilizadas para aferir a exatidão, a solidez e a conformidade com outros requisitos aplicáveis estabelecidos nas presentes CCT-IA-Baixo-Risco, bem como potenciais impactos discriminatórios;</w:t>
      </w:r>
      <w:r>
        <w:rPr>
          <w:sz w:val="22"/>
          <w:rFonts w:ascii="Arial" w:hAnsi="Arial"/>
        </w:rPr>
        <w:t xml:space="preserve"> </w:t>
      </w:r>
      <w:r>
        <w:rPr>
          <w:sz w:val="22"/>
          <w:rFonts w:ascii="Arial" w:hAnsi="Arial"/>
        </w:rPr>
        <w:t xml:space="preserve">registos dos testes e todos os relatórios de teste datados e assinados pelas pessoas responsáveis, incluindo no respeitante às alterações predeterminadas referidas no ponto 2.5.</w:t>
      </w:r>
    </w:p>
    <w:p w14:paraId="0D082175"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As medidas de cibersegurança implementadas.</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sz w:val="22"/>
          <w:szCs w:val="22"/>
          <w:rFonts w:ascii="Arial" w:hAnsi="Arial" w:cs="Arial"/>
        </w:rPr>
      </w:pPr>
      <w:r>
        <w:rPr>
          <w:sz w:val="22"/>
          <w:rFonts w:ascii="Arial" w:hAnsi="Arial"/>
        </w:rPr>
        <w:t xml:space="preserve">Informações pormenorizadas sobre o acompanhamento, o funcionamento e o controlo do Sistema de IA, especialmente no que diz respeito:</w:t>
      </w:r>
      <w:r>
        <w:rPr>
          <w:sz w:val="22"/>
          <w:rFonts w:ascii="Arial" w:hAnsi="Arial"/>
        </w:rPr>
        <w:t xml:space="preserve"> </w:t>
      </w:r>
      <w:r>
        <w:rPr>
          <w:sz w:val="22"/>
          <w:rFonts w:ascii="Arial" w:hAnsi="Arial"/>
        </w:rPr>
        <w:t xml:space="preserve">às suas capacidades e limitações de desempenho, incluindo os níveis de exatidão no tocante a pessoas ou grupos de pessoas específicos em relação às quais se pretende que o sistema seja utilizado e o nível geral esperado de exatidão em relação à Finalidade Prevista;</w:t>
      </w:r>
      <w:r>
        <w:rPr>
          <w:sz w:val="22"/>
          <w:rFonts w:ascii="Arial" w:hAnsi="Arial"/>
        </w:rPr>
        <w:t xml:space="preserve"> </w:t>
      </w:r>
      <w:r>
        <w:rPr>
          <w:sz w:val="22"/>
          <w:rFonts w:ascii="Arial" w:hAnsi="Arial"/>
        </w:rPr>
        <w:t xml:space="preserve">aos resultados não pretendidos mas previsíveis e as fontes de riscos para a saúde e a segurança, os direitos fundamentais e a proteção contra a discriminação atendendo à Finalidade Prevista do Sistema de IA;</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sz w:val="22"/>
          <w:szCs w:val="22"/>
          <w:rFonts w:ascii="Arial" w:hAnsi="Arial" w:cs="Arial"/>
        </w:rPr>
      </w:pPr>
      <w:r>
        <w:rPr>
          <w:sz w:val="22"/>
          <w:rFonts w:ascii="Arial" w:hAnsi="Arial"/>
        </w:rPr>
        <w:t xml:space="preserve">Uma descrição da adequação dos parâmetros de desempenho para o Sistema de IA;</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sz w:val="22"/>
          <w:szCs w:val="22"/>
          <w:rFonts w:ascii="Arial" w:hAnsi="Arial" w:cs="Arial"/>
        </w:rPr>
      </w:pPr>
      <w:r>
        <w:rPr>
          <w:sz w:val="22"/>
          <w:rFonts w:ascii="Arial" w:hAnsi="Arial"/>
        </w:rPr>
        <w:t xml:space="preserve">Uma descrição pormenorizada do sistema de gestão de riscos em conformidade com o artigo 2.º;</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sz w:val="22"/>
          <w:szCs w:val="22"/>
          <w:rFonts w:ascii="Arial" w:hAnsi="Arial" w:cs="Arial"/>
        </w:rPr>
      </w:pPr>
      <w:r>
        <w:rPr>
          <w:sz w:val="22"/>
          <w:rFonts w:ascii="Arial" w:hAnsi="Arial"/>
        </w:rPr>
        <w:t xml:space="preserve">Uma descrição de todas as alterações importantes introduzidas pelo Fornecedor no sistema ao longo do seu ciclo de vida;</w:t>
      </w:r>
      <w:r>
        <w:rPr>
          <w:sz w:val="22"/>
          <w:rFonts w:ascii="Arial" w:hAnsi="Arial"/>
        </w:rPr>
        <w:br w:type="page"/>
      </w:r>
    </w:p>
    <w:p w14:paraId="1C86943F" w14:textId="77777777" w:rsidR="00BA16C1" w:rsidRPr="00BD0EE8" w:rsidRDefault="00BA16C1" w:rsidP="00587A6A">
      <w:pPr>
        <w:spacing w:after="360"/>
        <w:rPr>
          <w:b/>
          <w:sz w:val="26"/>
          <w:szCs w:val="26"/>
          <w:rFonts w:ascii="Arial" w:hAnsi="Arial" w:cs="Arial"/>
        </w:rPr>
      </w:pPr>
      <w:r>
        <w:rPr>
          <w:b/>
          <w:sz w:val="26"/>
          <w:rFonts w:ascii="Arial" w:hAnsi="Arial"/>
        </w:rPr>
        <w:t xml:space="preserve">Anexo D — Instruções de utilização</w:t>
      </w:r>
    </w:p>
    <w:p w14:paraId="71F1FF5D" w14:textId="77777777" w:rsidR="008B0F7B" w:rsidRPr="00BD0EE8" w:rsidRDefault="008B0F7B" w:rsidP="008B0F7B">
      <w:pPr>
        <w:spacing w:after="210"/>
        <w:jc w:val="both"/>
        <w:rPr>
          <w:sz w:val="22"/>
          <w:szCs w:val="22"/>
          <w:rFonts w:ascii="Arial" w:hAnsi="Arial" w:cs="Arial"/>
        </w:rPr>
      </w:pPr>
      <w:r>
        <w:rPr>
          <w:sz w:val="22"/>
          <w:rFonts w:ascii="Arial" w:hAnsi="Arial"/>
        </w:rPr>
        <w:t xml:space="preserve">As instruções de utilização devem conter, pelo menos, as informações indicadas a seguir, consoante aplicável ao Sistema de IA:</w:t>
      </w:r>
    </w:p>
    <w:p w14:paraId="6BDE81C0" w14:textId="77777777"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A identidade e os dados de contacto do Fornecedor e, se for caso disso, dos seus mandatários;</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As características, capacidades e limitações de desempenho do Sistema de IA, incluindo, se for caso disso:</w:t>
      </w:r>
    </w:p>
    <w:p w14:paraId="4E9BFDAB" w14:textId="77777777"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a Finalidade Prevista do sistema,</w:t>
      </w:r>
    </w:p>
    <w:p w14:paraId="515F5579" w14:textId="3E872E01"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o nível de exatidão, incluindo as respetivas métricas, solidez e cibersegurança a que se refere o artigo 8.º relativamente ao qual o Sistema de IA foi testado e validado e que pode ser esperado, bem como quaisquer circunstâncias claramente conhecidas e previsíveis que possam ter um impacto nesse nível esperado de exatidão, solidez e cibersegurança,</w:t>
      </w:r>
    </w:p>
    <w:p w14:paraId="515EE051" w14:textId="7B0492AC"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qualquer circunstância conhecida ou previsível, relacionada com a utilização do Sistema de IA de acordo com a Finalidade Prevista ou em condições de Utilização Indevida Razoavelmente Previsível, que possa causar riscos para a saúde e a segurança ou os direitos fundamentais,</w:t>
      </w:r>
    </w:p>
    <w:p w14:paraId="3FD069B4" w14:textId="2C84B3BA"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se for caso disso, as capacidades técnicas e as características do Sistema de IA para fornecer informações que sejam pertinentes para explicar os seus resultados,</w:t>
      </w:r>
      <w:r>
        <w:rPr>
          <w:sz w:val="22"/>
          <w:rFonts w:ascii="Arial" w:hAnsi="Arial"/>
        </w:rPr>
        <w:cr/>
      </w:r>
    </w:p>
    <w:p w14:paraId="3973F5E8" w14:textId="79EFAFF4"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quando oportuno, o seu desempenho em relação a determinadas pessoas ou grupos de pessoas específicos em que o Sistema de IA se destina a ser utilizado,</w:t>
      </w:r>
    </w:p>
    <w:p w14:paraId="30ADA51E" w14:textId="12DCC321" w:rsidR="008B0F7B" w:rsidRPr="00B61CD1" w:rsidRDefault="008B0F7B" w:rsidP="008B0F7B">
      <w:pPr>
        <w:pStyle w:val="doLijstnummering5"/>
        <w:numPr>
          <w:ilvl w:val="1"/>
          <w:numId w:val="10"/>
        </w:numPr>
        <w:rPr>
          <w:sz w:val="22"/>
          <w:szCs w:val="22"/>
          <w:rFonts w:ascii="Arial" w:hAnsi="Arial" w:cs="Arial"/>
        </w:rPr>
      </w:pPr>
      <w:r>
        <w:rPr>
          <w:sz w:val="22"/>
          <w:rFonts w:ascii="Arial" w:hAnsi="Arial"/>
        </w:rPr>
        <w:t xml:space="preserve">quando oportuno, especificações para os dados de entrada, ou quaisquer outras informações importantes em termos dos conjuntos de dados de treino, validação e teste usados, tendo em conta a Finalidade Prevista do Sistema de IA,</w:t>
      </w:r>
    </w:p>
    <w:p w14:paraId="10479F6E" w14:textId="14618FE5" w:rsidR="008B0F7B" w:rsidRPr="00BD0EE8" w:rsidRDefault="00242812" w:rsidP="00B61CD1">
      <w:pPr>
        <w:pStyle w:val="doLijstnummering5"/>
        <w:numPr>
          <w:ilvl w:val="1"/>
          <w:numId w:val="10"/>
        </w:numPr>
        <w:rPr>
          <w:sz w:val="22"/>
          <w:szCs w:val="22"/>
          <w:rFonts w:ascii="Arial" w:hAnsi="Arial" w:cs="Arial"/>
        </w:rPr>
      </w:pPr>
      <w:r>
        <w:rPr>
          <w:sz w:val="22"/>
          <w:rFonts w:ascii="Arial" w:hAnsi="Arial"/>
        </w:rPr>
        <w:t xml:space="preserve">se for caso disso, informações que permitam à Organização pública interpretar os resultados do Sistema de IA e utilizá-los adequadamente;</w:t>
      </w:r>
      <w:r>
        <w:rPr>
          <w:sz w:val="22"/>
          <w:rFonts w:ascii="Arial" w:hAnsi="Arial"/>
        </w:rPr>
        <w:cr/>
      </w:r>
    </w:p>
    <w:p w14:paraId="26BBFD87" w14:textId="373BC6D8"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As alterações do Sistema de IA e do seu desempenho que foram predeterminadas pelo Fornecedor, se for caso disso;</w:t>
      </w:r>
      <w:r>
        <w:rPr>
          <w:sz w:val="22"/>
          <w:rFonts w:ascii="Arial" w:hAnsi="Arial"/>
        </w:rPr>
        <w:t xml:space="preserve">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As medidas de supervisão humana a que se refere o artigo 7.º, incluindo as soluções técnicas adotadas para facilitar a interpretação dos resultados do Sistema de IA por parte da Organização Pública;</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Os recursos computacionais e de </w:t>
      </w:r>
      <w:r>
        <w:rPr>
          <w:sz w:val="22"/>
          <w:i/>
          <w:rFonts w:ascii="Arial" w:hAnsi="Arial"/>
        </w:rPr>
        <w:t xml:space="preserve">hardware</w:t>
      </w:r>
      <w:r>
        <w:rPr>
          <w:sz w:val="22"/>
          <w:rFonts w:ascii="Arial" w:hAnsi="Arial"/>
        </w:rPr>
        <w:t xml:space="preserve"> necessários, a vida útil esperada do Sistema de IA e quaisquer medidas de manutenção e assistência necessárias, incluindo a sua frequência, para assegurar o correto funcionamento desse Sistema de IA, inclusive no tocante a atualizações do </w:t>
      </w:r>
      <w:r>
        <w:rPr>
          <w:sz w:val="22"/>
          <w:i/>
          <w:rFonts w:ascii="Arial" w:hAnsi="Arial"/>
        </w:rPr>
        <w:t xml:space="preserve">software</w:t>
      </w:r>
      <w:r>
        <w:rPr>
          <w:sz w:val="22"/>
          <w:rFonts w:ascii="Arial" w:hAnsi="Arial"/>
        </w:rPr>
        <w:t xml:space="preserve">;</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sz w:val="22"/>
          <w:rFonts w:ascii="Arial" w:hAnsi="Arial"/>
        </w:rPr>
        <w:t xml:space="preserve">Sempre que pertinente, uma descrição dos mecanismos incluídos no Sistema de IA que permita à Organização pública recolher, armazenar e interpretar corretamente os registos, em conformidade com o artigo 5.º das presentes CCT-IA-Baixo-Risco.</w:t>
      </w:r>
      <w:r>
        <w:rPr>
          <w:sz w:val="22"/>
          <w:rFonts w:ascii="Arial" w:hAnsi="Arial"/>
        </w:rPr>
        <w:t xml:space="preserve"> </w:t>
      </w:r>
      <w:r>
        <w:rPr>
          <w:sz w:val="22"/>
          <w:rFonts w:ascii="Arial" w:hAnsi="Arial"/>
        </w:rPr>
        <w:br w:type="page"/>
      </w:r>
    </w:p>
    <w:p w14:paraId="143B9937" w14:textId="77777777" w:rsidR="00587A6A" w:rsidRPr="00BD0EE8" w:rsidRDefault="00BA16C1" w:rsidP="00587A6A">
      <w:pPr>
        <w:spacing w:after="360"/>
        <w:jc w:val="both"/>
        <w:rPr>
          <w:b/>
          <w:sz w:val="26"/>
          <w:szCs w:val="26"/>
          <w:rFonts w:ascii="Arial" w:hAnsi="Arial" w:cs="Arial"/>
        </w:rPr>
      </w:pPr>
      <w:r>
        <w:rPr>
          <w:b/>
          <w:sz w:val="26"/>
          <w:rFonts w:ascii="Arial" w:hAnsi="Arial"/>
        </w:rPr>
        <w:t xml:space="preserve">Anexo E — Medidas para assegurar a transparência</w:t>
      </w:r>
    </w:p>
    <w:p w14:paraId="4D7196F1" w14:textId="2124BD33" w:rsidR="00BA16C1" w:rsidRPr="00BD0EE8" w:rsidRDefault="00BA16C1" w:rsidP="00BA16C1">
      <w:pPr>
        <w:spacing w:after="210"/>
        <w:jc w:val="both"/>
        <w:rPr>
          <w:i/>
          <w:sz w:val="22"/>
          <w:szCs w:val="22"/>
          <w:rFonts w:ascii="Arial" w:hAnsi="Arial" w:cs="Arial"/>
        </w:rPr>
      </w:pPr>
      <w:r>
        <w:rPr>
          <w:i/>
          <w:sz w:val="22"/>
          <w:rFonts w:ascii="Arial" w:hAnsi="Arial"/>
        </w:rPr>
        <w:t xml:space="preserve">Descrever aqui as medidas técnicas e organizacionais a tomar pelo Fornecedor para garantir a transparência, em conformidade com o artigo 6.º das CCT-IA-Baixo-Risco.</w:t>
      </w:r>
    </w:p>
    <w:p w14:paraId="19B86BBA" w14:textId="77777777" w:rsidR="00BA16C1" w:rsidRPr="00BD0EE8" w:rsidRDefault="00BA16C1" w:rsidP="00BA16C1">
      <w:pPr>
        <w:spacing w:after="210"/>
        <w:jc w:val="both"/>
        <w:rPr>
          <w:b/>
          <w:sz w:val="22"/>
          <w:szCs w:val="22"/>
          <w:rFonts w:ascii="Arial" w:hAnsi="Arial" w:cs="Arial"/>
        </w:rPr>
      </w:pPr>
      <w:r>
        <w:br w:type="page"/>
      </w:r>
    </w:p>
    <w:p w14:paraId="53097FAF"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Anexo F — Medidas para assegurar a supervisão humana</w:t>
      </w:r>
    </w:p>
    <w:p w14:paraId="2E74307F" w14:textId="197B09EC" w:rsidR="00BA16C1" w:rsidRPr="00BD0EE8" w:rsidRDefault="00BA16C1" w:rsidP="00BA16C1">
      <w:pPr>
        <w:spacing w:after="210"/>
        <w:jc w:val="both"/>
        <w:rPr>
          <w:i/>
          <w:sz w:val="22"/>
          <w:szCs w:val="22"/>
          <w:rFonts w:ascii="Arial" w:hAnsi="Arial" w:cs="Arial"/>
        </w:rPr>
      </w:pPr>
      <w:r>
        <w:rPr>
          <w:i/>
          <w:sz w:val="22"/>
          <w:rFonts w:ascii="Arial" w:hAnsi="Arial"/>
        </w:rPr>
        <w:t xml:space="preserve">Descrever aqui as medidas técnicas e organizacionais a tomar pelo Fornecedor para garantir a supervisão humana, em conformidade com o artigo 7.º das CCT-IA-Baixo-Risco.</w:t>
      </w:r>
    </w:p>
    <w:p w14:paraId="3A753C66" w14:textId="77777777" w:rsidR="00BA16C1" w:rsidRPr="00BD0EE8" w:rsidRDefault="00BA16C1" w:rsidP="00BA16C1">
      <w:pPr>
        <w:spacing w:after="210"/>
        <w:jc w:val="both"/>
        <w:rPr>
          <w:b/>
          <w:sz w:val="22"/>
          <w:szCs w:val="22"/>
          <w:rFonts w:ascii="Arial" w:hAnsi="Arial" w:cs="Arial"/>
        </w:rPr>
      </w:pPr>
      <w:r>
        <w:br w:type="page"/>
      </w:r>
    </w:p>
    <w:p w14:paraId="3E9ADABD"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Anexo G — Níveis de exatidão</w:t>
      </w:r>
    </w:p>
    <w:p w14:paraId="55C65BA7" w14:textId="77777777" w:rsidR="00BA16C1" w:rsidRPr="00BD0EE8" w:rsidRDefault="00BA16C1" w:rsidP="00BA16C1">
      <w:pPr>
        <w:spacing w:after="210"/>
        <w:jc w:val="both"/>
        <w:rPr>
          <w:i/>
          <w:sz w:val="22"/>
          <w:szCs w:val="22"/>
          <w:rFonts w:ascii="Arial" w:hAnsi="Arial" w:cs="Arial"/>
        </w:rPr>
      </w:pPr>
      <w:r>
        <w:rPr>
          <w:i/>
          <w:sz w:val="22"/>
          <w:rFonts w:ascii="Arial" w:hAnsi="Arial"/>
        </w:rPr>
        <w:t xml:space="preserve">Descrever aqui os níveis de exatidão exigidos.</w:t>
      </w:r>
    </w:p>
    <w:p w14:paraId="35B6EB16" w14:textId="77777777" w:rsidR="00BA16C1" w:rsidRPr="00BD0EE8" w:rsidRDefault="00BA16C1" w:rsidP="00BA16C1">
      <w:pPr>
        <w:spacing w:after="210"/>
        <w:jc w:val="both"/>
        <w:rPr>
          <w:i/>
          <w:sz w:val="22"/>
          <w:szCs w:val="22"/>
          <w:rFonts w:ascii="Arial" w:hAnsi="Arial" w:cs="Arial"/>
        </w:rPr>
      </w:pPr>
      <w:r>
        <w:br w:type="page"/>
      </w:r>
    </w:p>
    <w:p w14:paraId="45658787"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Anexo H — Medidas para assegurar um nível adequado de solidez, segurança e cibersegurança</w:t>
      </w:r>
    </w:p>
    <w:p w14:paraId="630D2C65" w14:textId="203865A6" w:rsidR="00BA16C1" w:rsidRPr="00BD0EE8" w:rsidRDefault="00BA16C1" w:rsidP="00BA16C1">
      <w:pPr>
        <w:spacing w:after="210"/>
        <w:jc w:val="both"/>
        <w:rPr>
          <w:i/>
          <w:sz w:val="22"/>
          <w:szCs w:val="22"/>
          <w:rFonts w:ascii="Arial" w:hAnsi="Arial" w:cs="Arial"/>
        </w:rPr>
      </w:pPr>
      <w:r>
        <w:rPr>
          <w:i/>
          <w:sz w:val="22"/>
          <w:rFonts w:ascii="Arial" w:hAnsi="Arial"/>
        </w:rPr>
        <w:t xml:space="preserve">Descrever aqui as medidas técnicas e organizacionais a tomar pelo Fornecedor para assegurar um nível adequado de solidez, segurança e cibersegurança, em conformidade com o artigo 8.º das CCT-IA-Baixo-Risco.</w:t>
      </w:r>
    </w:p>
    <w:p w14:paraId="0B6CFD2E" w14:textId="539AE133" w:rsidR="00BA16C1" w:rsidRPr="00BD0EE8" w:rsidRDefault="00BA16C1" w:rsidP="00BA16C1">
      <w:pPr>
        <w:spacing w:after="210"/>
        <w:jc w:val="both"/>
        <w:rPr>
          <w:i/>
          <w:sz w:val="22"/>
          <w:szCs w:val="22"/>
          <w:rFonts w:ascii="Arial" w:hAnsi="Arial" w:cs="Arial"/>
        </w:rPr>
      </w:pPr>
      <w:r>
        <w:rPr>
          <w:i/>
          <w:sz w:val="22"/>
          <w:rFonts w:ascii="Arial" w:hAnsi="Arial"/>
        </w:rPr>
        <w:t xml:space="preserve">As presentes medidas devem assegurar que o Sistema de IA deve ser tão resistente quanto possível a erros, falhas ou incoerências que possam ocorrer no sistema ou no ambiente em que aquele opera, em especial devido à interação com pessoas singulares ou outros sistemas.</w:t>
      </w:r>
    </w:p>
    <w:p w14:paraId="6F39830F" w14:textId="28EF8A3C" w:rsidR="00BA16C1" w:rsidRPr="00BD0EE8" w:rsidRDefault="00BA16C1" w:rsidP="00BA16C1">
      <w:pPr>
        <w:spacing w:after="210"/>
        <w:jc w:val="both"/>
        <w:rPr>
          <w:i/>
          <w:sz w:val="22"/>
          <w:szCs w:val="22"/>
          <w:rFonts w:ascii="Arial" w:hAnsi="Arial" w:cs="Arial"/>
        </w:rPr>
      </w:pPr>
      <w:r>
        <w:rPr>
          <w:i/>
          <w:sz w:val="22"/>
          <w:rFonts w:ascii="Arial" w:hAnsi="Arial"/>
        </w:rPr>
        <w:t xml:space="preserve">Os sistemas de IA devem ser resistentes a tentativas de terceiros não autorizados de alterar a sua utilização, comportamento, resultados ou desempenho explorando as vulnerabilidades do sistema.</w:t>
      </w:r>
      <w:r>
        <w:rPr>
          <w:i/>
          <w:sz w:val="22"/>
          <w:rFonts w:ascii="Arial" w:hAnsi="Arial"/>
        </w:rPr>
        <w:t xml:space="preserve"> </w:t>
      </w:r>
      <w:r>
        <w:rPr>
          <w:i/>
          <w:sz w:val="22"/>
          <w:rFonts w:ascii="Arial" w:hAnsi="Arial"/>
        </w:rPr>
        <w:t xml:space="preserve">As soluções técnicas para resolver vulnerabilidades específicas da IA podem incluir, se for caso disso, medidas para prevenir, detetar, responder, resolver e controlar ataques que visem manipular o conjunto de dados de treino («contaminação de dados») ou os componentes pré-treinados utilizados no treino («contaminação de modelos»), dados de entrada concebidos para fazer com que o modelo cometa um erro («exemplos antagónicos» ou «evasão ao modelo»), ataques de confidencialidade ou falhas dos modelos, que podem conduzir à tomada de decisões prejudiciais.</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default" r:id="rId14"/>
      <w:footerReference w:type="even" r:id="rId15"/>
      <w:footerReference w:type="default" r:id="rId16"/>
      <w:headerReference w:type="first" r:id="rId17"/>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b/>
            <w:bCs/>
            <w:color w:val="104D54"/>
            <w:rFonts w:ascii="Arial" w:hAnsi="Arial" w:cs="Arial"/>
          </w:rPr>
        </w:pPr>
        <w:r w:rsidRPr="00B55AC3">
          <w:rPr>
            <w:rStyle w:val="PageNumber"/>
            <w:b/>
            <w:color w:val="104D54"/>
            <w:rFonts w:ascii="Arial" w:hAnsi="Arial" w:cs="Arial"/>
          </w:rPr>
          <w:fldChar w:fldCharType="begin"/>
        </w:r>
        <w:r w:rsidRPr="00B55AC3">
          <w:rPr>
            <w:rStyle w:val="PageNumber"/>
            <w:b/>
            <w:color w:val="104D54"/>
            <w:rFonts w:ascii="Arial" w:hAnsi="Arial" w:cs="Arial"/>
          </w:rPr>
          <w:instrText xml:space="preserve"> PAGE </w:instrText>
        </w:r>
        <w:r w:rsidRPr="00B55AC3">
          <w:rPr>
            <w:rStyle w:val="PageNumber"/>
            <w:b/>
            <w:color w:val="104D54"/>
            <w:rFonts w:ascii="Arial" w:hAnsi="Arial" w:cs="Arial"/>
          </w:rPr>
          <w:fldChar w:fldCharType="separate"/>
        </w:r>
        <w:r w:rsidR="001E363C">
          <w:rPr>
            <w:rStyle w:val="PageNumber"/>
            <w:b/>
            <w:color w:val="104D54"/>
            <w:rFonts w:ascii="Arial" w:hAnsi="Arial" w:cs="Arial"/>
          </w:rPr>
          <w:t>4</w:t>
        </w:r>
        <w:r w:rsidRPr="00B55AC3">
          <w:rPr>
            <w:rStyle w:val="PageNumber"/>
            <w:b/>
            <w:color w:val="104D54"/>
            <w:rFonts w:ascii="Arial" w:hAnsi="Arial" w:cs="Arial"/>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sz w:val="18"/>
          <w:szCs w:val="18"/>
          <w:rFonts w:ascii="Arial" w:hAnsi="Arial" w:cs="Arial"/>
        </w:rPr>
      </w:pPr>
      <w:r>
        <w:rPr>
          <w:rStyle w:val="FootnoteReference"/>
          <w:rFonts w:ascii="Arial" w:hAnsi="Arial" w:cs="Arial"/>
          <w:sz w:val="18"/>
          <w:szCs w:val="18"/>
        </w:rPr>
        <w:footnoteRef/>
      </w:r>
      <w:r>
        <w:rPr>
          <w:sz w:val="18"/>
          <w:rFonts w:ascii="Arial" w:hAnsi="Arial"/>
        </w:rPr>
        <w:t xml:space="preserve"> </w:t>
      </w:r>
      <w:r>
        <w:rPr>
          <w:sz w:val="18"/>
          <w:rFonts w:ascii="Arial" w:hAnsi="Arial"/>
        </w:rPr>
        <w:tab/>
      </w:r>
      <w:r>
        <w:rPr>
          <w:sz w:val="18"/>
          <w:rFonts w:ascii="Arial" w:hAnsi="Arial"/>
        </w:rPr>
        <w:t xml:space="preserve">Uma limitação da obrigação de entregar os Conjuntos de Dados do Fornecedor e os Conjuntos de Dados de Terceiros não limita as obrigações do Fornecedor descritas no artigo 6.º e no artigo 11.º.</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1D143BA" w:rsidR="00F237EA" w:rsidRDefault="00176E68">
    <w:pPr>
      <w:pStyle w:val="Header"/>
      <w:rPr>
        <w:b/>
        <w:bCs/>
        <w:color w:val="FFFFFF" w:themeColor="background1"/>
        <w:rFonts w:ascii="Arial" w:hAnsi="Arial" w:cs="Arial"/>
      </w:rPr>
    </w:pPr>
    <w:r>
      <w:rPr>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color w:val="FFFFFF" w:themeColor="background1"/>
          <w:sz w:val="20"/>
          <w:u w:val="single"/>
          <w:rFonts w:ascii="Arial" w:hAnsi="Arial"/>
        </w:rPr>
        <w:t xml:space="preserve">Contratação de IA | </w:t>
      </w:r>
    </w:hyperlink>
    <w:hyperlink r:id="rId2" w:history="1">
      <w:r>
        <w:rPr>
          <w:rStyle w:val="Hyperlink"/>
          <w:color w:val="FFFFFF" w:themeColor="background1"/>
          <w:sz w:val="20"/>
          <w:u w:val="single"/>
          <w:rFonts w:ascii="Arial" w:hAnsi="Arial"/>
        </w:rPr>
        <w:t xml:space="preserve">Comunidade de Adquirentes Públicos</w:t>
      </w:r>
    </w:hyperlink>
    <w:r>
      <w:rPr>
        <w:color w:val="FFFFFF" w:themeColor="background1"/>
        <w:rFonts w:ascii="Arial" w:hAnsi="Arial"/>
      </w:rPr>
      <w:tab/>
    </w:r>
    <w:r>
      <w:rPr>
        <w:color w:val="FFFFFF" w:themeColor="background1"/>
        <w:rFonts w:ascii="Arial" w:hAnsi="Arial"/>
      </w:rPr>
      <w:t xml:space="preserve">          </w:t>
    </w:r>
    <w:r>
      <w:rPr>
        <w:color w:val="FFFFFF" w:themeColor="background1"/>
        <w:b/>
        <w:rFonts w:ascii="Arial" w:hAnsi="Arial"/>
      </w:rPr>
      <w:tab/>
    </w:r>
    <w:r>
      <w:rPr>
        <w:color w:val="FFFFFF" w:themeColor="background1"/>
        <w:b/>
        <w:rFonts w:ascii="Arial" w:hAnsi="Arial"/>
      </w:rPr>
      <w:t xml:space="preserve">Cláusulas contratuais-tipo IA-BAIXO-RISCO</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5832F38C"/>
    <w:lvl w:ilvl="0">
      <w:start w:val="1"/>
      <w:numFmt w:val="decimal"/>
      <w:pStyle w:val="doLijstnummering7"/>
      <w:lvlText w:val="Article %1"/>
      <w:lvlJc w:val="left"/>
      <w:pPr>
        <w:tabs>
          <w:tab w:val="num" w:pos="851"/>
        </w:tabs>
        <w:ind w:left="851" w:hanging="851"/>
      </w:pPr>
      <w:rPr>
        <w:rFonts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dirty" w:grammar="dirty"/>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F0004"/>
    <w:rsid w:val="00AF141A"/>
    <w:rsid w:val="00AF6623"/>
    <w:rsid w:val="00B063EF"/>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5181A"/>
    <w:rsid w:val="00C52417"/>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t-PT"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pt-PT"/>
    </w:rPr>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pt-PT"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pt-PT"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pt-PT"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pt-PT"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val="pt-PT"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pt-PT"/>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&#65279;<?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2.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3.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4.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6.xml><?xml version="1.0" encoding="utf-8"?>
<ds:datastoreItem xmlns:ds="http://schemas.openxmlformats.org/officeDocument/2006/customXml" ds:itemID="{A61B6CDC-D0B6-48C0-AB48-031C90064C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5339</Words>
  <Characters>28460</Characters>
  <Application>Microsoft Office Word</Application>
  <DocSecurity>0</DocSecurity>
  <Lines>646</Lines>
  <Paragraphs>233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33566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DAINOTTI Federico (GROW)</cp:lastModifiedBy>
  <cp:revision>3</cp:revision>
  <cp:lastPrinted>2023-10-05T08:08:00Z</cp:lastPrinted>
  <dcterms:created xsi:type="dcterms:W3CDTF">2025-05-08T14:26:00Z</dcterms:created>
  <dcterms:modified xsi:type="dcterms:W3CDTF">2025-05-08T14:44:00Z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