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D874CA" w:rsidP="00876ED4">
      <w:pPr>
        <w:ind w:left="-57"/>
      </w:pPr>
      <w:hyperlink r:id="rId13" w:history="1">
        <w:r>
          <w:rPr>
            <w:rStyle w:val="Hyperlink"/>
            <w:rFonts w:ascii="Arial" w:hAnsi="Arial"/>
            <w:b/>
            <w:sz w:val="44"/>
          </w:rPr>
          <w:t>Javno naročanje skupnosti na področju</w:t>
        </w:r>
      </w:hyperlink>
      <w:hyperlink r:id="rId14" w:history="1">
        <w:r>
          <w:rPr>
            <w:rStyle w:val="Hyperlink"/>
            <w:rFonts w:ascii="Arial" w:hAnsi="Arial"/>
            <w:b/>
            <w:sz w:val="44"/>
          </w:rPr>
          <w:t>umetne inteligence</w:t>
        </w:r>
      </w:hyperlink>
      <w:r>
        <w:br w:type="page"/>
      </w:r>
      <w:r>
        <w:rPr>
          <w:noProof/>
        </w:rPr>
        <mc:AlternateContent>
          <mc:Choice Requires="wps">
            <w:drawing>
              <wp:anchor distT="0" distB="0" distL="114300" distR="114300" simplePos="0" relativeHeight="251672576" behindDoc="0" locked="1" layoutInCell="1" allowOverlap="1" wp14:anchorId="2460A762" wp14:editId="69D72383">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Različica iz februarja 2025 – Javno naročanje na področju umetne inteligence, ki ni visokotvegana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Različica iz februarja 2025 – Javno naročanje na področju umetne inteligence, ki ni visokotvegana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Pr>
          <w:noProof/>
        </w:rP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Vzorčne pogodbene klavzule za javno naročanje na področju umetne inteligence, ki ni visokotvegana </w:t>
                            </w:r>
                            <w:bookmarkEnd w:id="0"/>
                            <w:r>
                              <w:t>(„VPK UI nizkega tveganja“)</w:t>
                            </w:r>
                          </w:p>
                          <w:p w14:paraId="7F27BF72" w14:textId="040D44C0" w:rsidR="00CF3CDB" w:rsidRPr="00CF3CDB" w:rsidRDefault="00F237EA" w:rsidP="00036BE2">
                            <w:pPr>
                              <w:pStyle w:val="TITLEStyle"/>
                            </w:pPr>
                            <w:r>
                              <w:t>Organizacije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 xml:space="preserve">Vzorčne pogodbene klavzule za javno naročanje na področju umetne inteligence, ki ni visokotvegana </w:t>
                      </w:r>
                      <w:bookmarkEnd w:id="1"/>
                      <w:r>
                        <w:t xml:space="preserve">(„VPK UI nizkega tveganja“)</w:t>
                      </w:r>
                    </w:p>
                    <w:p w14:paraId="7F27BF72" w14:textId="040D44C0" w:rsidR="00CF3CDB" w:rsidRPr="00CF3CDB" w:rsidRDefault="00F237EA" w:rsidP="00036BE2">
                      <w:pPr>
                        <w:pStyle w:val="TITLEStyle"/>
                      </w:pPr>
                      <w:r>
                        <w:t xml:space="preserve">Organizacije</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IZJAVA O OMEJITVI ODGOVORNOSTI</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Ta delovni dokument je pripravila Evropska komisija v podporo izkustveni skupnosti za javno naročanje na področju umetne inteligence, da bi javne uprave usmerjala pri javnem naročanju rešitev umetne inteligence. To je delovni dokument v pripravi, ki ni uradno stališče Evropske komisije.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Akterji, ki se odločijo za uporabo tega delovnega dokumenta, so v celoti odgovorni za njegovo uporabo pri javnem naročanju.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Te vzorčne klavzule za umetno inteligenco, ki ni visokotvegana, ne posegajo v zahteve, ki izhajajo iz akta o umetni inteligenci.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IZJAVA O OMEJITVI ODGOVORNOSTI</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Ta delovni dokument je pripravila Evropska komisija v podporo izkustveni skupnosti za javno naročanje na področju umetne inteligence, da bi javne uprave usmerjala pri javnem naročanju rešitev umetne inteligence.</w:t>
                      </w:r>
                      <w:r>
                        <w:rPr>
                          <w:b/>
                          <w:color w:val="3B3838" w:themeColor="background2" w:themeShade="40"/>
                          <w:sz w:val="20"/>
                          <w:rFonts w:ascii="Arial" w:hAnsi="Arial"/>
                        </w:rPr>
                        <w:t xml:space="preserve"> </w:t>
                      </w:r>
                      <w:r>
                        <w:rPr>
                          <w:b/>
                          <w:color w:val="3B3838" w:themeColor="background2" w:themeShade="40"/>
                          <w:sz w:val="20"/>
                          <w:rFonts w:ascii="Arial" w:hAnsi="Arial"/>
                        </w:rPr>
                        <w:t xml:space="preserve">To je delovni dokument v pripravi, ki ni uradno stališče Evropske komisije.</w:t>
                      </w:r>
                      <w:r>
                        <w:rPr>
                          <w:b/>
                          <w:color w:val="3B3838" w:themeColor="background2" w:themeShade="40"/>
                          <w:sz w:val="20"/>
                          <w:rFonts w:ascii="Arial" w:hAnsi="Arial"/>
                        </w:rPr>
                        <w:t xml:space="preserv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Akterji, ki se odločijo za uporabo tega delovnega dokumenta, so v celoti odgovorni za njegovo uporabo pri javnem naročanju.</w:t>
                      </w:r>
                      <w:r>
                        <w:rPr>
                          <w:b/>
                          <w:color w:val="3B3838" w:themeColor="background2" w:themeShade="40"/>
                          <w:sz w:val="20"/>
                          <w:rFonts w:ascii="Arial" w:hAnsi="Arial"/>
                        </w:rPr>
                        <w:t xml:space="preserv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Te vzorčne klavzule za umetno inteligenco, ki ni visokotvegana, ne posegajo v zahteve, ki izhajajo iz akta o umetni inteligenci.</w:t>
                      </w:r>
                      <w:r>
                        <w:rPr>
                          <w:b/>
                          <w:color w:val="3B3838" w:themeColor="background2" w:themeShade="40"/>
                          <w:sz w:val="20"/>
                          <w:rFonts w:ascii="Arial" w:hAnsi="Arial"/>
                        </w:rPr>
                        <w:t xml:space="preserve">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Oddelek A – Opredelitev pojmov</w:t>
      </w:r>
    </w:p>
    <w:p w14:paraId="1DD14AC7" w14:textId="72152AA2" w:rsidR="00F9102F" w:rsidRPr="0010258B" w:rsidRDefault="00D874CA" w:rsidP="00D874CA">
      <w:pPr>
        <w:pStyle w:val="doLijstnummering7"/>
        <w:numPr>
          <w:ilvl w:val="0"/>
          <w:numId w:val="0"/>
        </w:numPr>
        <w:rPr>
          <w:rFonts w:ascii="Arial" w:eastAsia="Calibri" w:hAnsi="Arial" w:cs="Arial"/>
          <w:color w:val="3B3838" w:themeColor="background2" w:themeShade="40"/>
          <w:sz w:val="22"/>
          <w:szCs w:val="22"/>
        </w:rPr>
      </w:pPr>
      <w:r>
        <w:rPr>
          <w:rFonts w:ascii="Arial" w:hAnsi="Arial"/>
          <w:color w:val="3B3838" w:themeColor="background2" w:themeShade="40"/>
          <w:sz w:val="22"/>
        </w:rPr>
        <w:t>Člen 1</w:t>
      </w:r>
      <w:r>
        <w:rPr>
          <w:rFonts w:ascii="Arial" w:hAnsi="Arial"/>
          <w:color w:val="3B3838" w:themeColor="background2" w:themeShade="40"/>
          <w:sz w:val="22"/>
        </w:rPr>
        <w:tab/>
      </w:r>
      <w:r w:rsidR="00F9102F">
        <w:rPr>
          <w:rFonts w:ascii="Arial" w:hAnsi="Arial"/>
          <w:color w:val="3B3838" w:themeColor="background2" w:themeShade="40"/>
          <w:sz w:val="22"/>
        </w:rPr>
        <w:t>Opredelitev pojmov: izrazi, uporabljeni v teh VPK UI nizkega tveganja, bodo imeli pomen, kot je opredeljen v tem členu:</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sporazum:</w:t>
      </w:r>
      <w:r>
        <w:rPr>
          <w:rFonts w:ascii="Arial" w:hAnsi="Arial"/>
          <w:sz w:val="22"/>
        </w:rPr>
        <w:t xml:space="preserve"> celotni sporazum, katerega sestavni del so te VPK UI nizkega tveganja v obliki seznama;</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umetnointeligenčni sistem</w:t>
      </w:r>
      <w:r>
        <w:rPr>
          <w:rFonts w:ascii="Arial" w:hAnsi="Arial"/>
          <w:sz w:val="22"/>
        </w:rPr>
        <w:t xml:space="preserve">: umetnointeligenčni sistemi iz </w:t>
      </w:r>
      <w:r>
        <w:rPr>
          <w:rFonts w:ascii="Arial" w:hAnsi="Arial"/>
          <w:b/>
          <w:sz w:val="22"/>
        </w:rPr>
        <w:t>Priloge A</w:t>
      </w:r>
      <w:r>
        <w:rPr>
          <w:rFonts w:ascii="Arial" w:hAnsi="Arial"/>
          <w:sz w:val="22"/>
        </w:rPr>
        <w:t xml:space="preserve">, vključno z njihovimi morebitnimi novimi različicami;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VPK UI nizkega tveganja</w:t>
      </w:r>
      <w:r>
        <w:rPr>
          <w:rFonts w:ascii="Arial" w:hAnsi="Arial"/>
          <w:sz w:val="22"/>
        </w:rPr>
        <w:t>: te standardne pogodbene klavzule za javno naročanje na področju umetne inteligence, ki ni visokotvegana, v javnih organizacijah;</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nabori podatkov javne organizacije</w:t>
      </w:r>
      <w:r>
        <w:rPr>
          <w:rFonts w:ascii="Arial" w:hAnsi="Arial"/>
          <w:sz w:val="22"/>
        </w:rPr>
        <w:t>: nabori podatkov (ali njihovi deli), (i) ki jih javna organizacija zagotovi dobavitelju na podlagi sporazuma ali (ii) ki bodo ustvarjeni ali zbrani v okviru sporazuma, vključno z morebitnimi spremenjenimi ali razširjenimi različicami naborov podatkov iz točk (i) in (ii) (na primer zaradi dodajanja opomb, označevanja, čiščenja, obogatitve in združevanja);</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nabori podatkov</w:t>
      </w:r>
      <w:r>
        <w:rPr>
          <w:rFonts w:ascii="Arial" w:hAnsi="Arial"/>
          <w:sz w:val="22"/>
        </w:rPr>
        <w:t xml:space="preserve">: vsi nabori podatkov, uporabljeni pri razvoju umetnointeligenčnega sistema, vključno z naborom ali nabori podatkov, kot so opisani v </w:t>
      </w:r>
      <w:r>
        <w:rPr>
          <w:rFonts w:ascii="Arial" w:hAnsi="Arial"/>
          <w:b/>
          <w:sz w:val="22"/>
        </w:rPr>
        <w:t>Prilogi B</w:t>
      </w:r>
      <w:r>
        <w:rPr>
          <w:rFonts w:ascii="Arial" w:hAnsi="Arial"/>
          <w:sz w:val="22"/>
        </w:rPr>
        <w:t>;</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dobava</w:t>
      </w:r>
      <w:r>
        <w:rPr>
          <w:rFonts w:ascii="Arial" w:hAnsi="Arial"/>
          <w:sz w:val="22"/>
        </w:rPr>
        <w:t>: čas, ko dobavitelj obvesti javno organizacijo, da umetnointeligenčni sistem izpolnjuje vse dogovorjene pogoje in je pripravljen za uporabo;</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predvideni namen</w:t>
      </w:r>
      <w:r>
        <w:rPr>
          <w:rFonts w:ascii="Arial" w:hAnsi="Arial"/>
          <w:sz w:val="22"/>
        </w:rPr>
        <w:t>: uporaba, za katero je javna organizacija namenila umetnointeligenčni sistem, vključno s posebnim kontekstom in pogoji uporabe, kot je navedeno v Prilogi B, informacijah, ki jih je dobavitelj predložil v navodilih za uporabo, promocijskem ali prodajnem gradivu in izjavah ter v tehnični dokumentaciji;</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razumno predvidljiva napačna uporaba</w:t>
      </w:r>
      <w:r>
        <w:rPr>
          <w:rFonts w:ascii="Arial" w:hAnsi="Arial"/>
          <w:color w:val="000000"/>
          <w:sz w:val="22"/>
          <w:shd w:val="clear" w:color="auto" w:fill="FFFFFF"/>
        </w:rPr>
        <w:t>: uporaba umetnointeligenčnega sistema na način, ki sicer ni v skladu s predvidenim namenom, vendar je lahko posledica razumno predvidljivega človeškega vedenja ali stikov z drugimi sistemi, vključno z drugimi umetnointeligenčnimi sistemi;</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bistvena sprememba</w:t>
      </w:r>
      <w:r>
        <w:rPr>
          <w:rFonts w:ascii="Arial" w:hAnsi="Arial"/>
          <w:sz w:val="22"/>
        </w:rPr>
        <w:t>: sprememba umetnointeligenčnega sistema po dobavi, ki vpliva na skladnost umetnointeligenčnega sistema z zahtevami iz teh VPK UI nizkega tveganja ali povzroči spremembo predvidenega namena;</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dobavitelj</w:t>
      </w:r>
      <w:r>
        <w:rPr>
          <w:rFonts w:ascii="Arial" w:hAnsi="Arial"/>
          <w:sz w:val="22"/>
        </w:rPr>
        <w:t>: f</w:t>
      </w:r>
      <w:r>
        <w:rPr>
          <w:rFonts w:ascii="Arial" w:hAnsi="Arial"/>
          <w:color w:val="000000"/>
          <w:sz w:val="22"/>
          <w:shd w:val="clear" w:color="auto" w:fill="FFFFFF"/>
        </w:rPr>
        <w:t>izična ali pravna oseba, javni organ, agencija ali drug organ, ki javni organizaciji v skladu s sporazumom dobavi umetnointeligenčni sistem;</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lastRenderedPageBreak/>
        <w:t>nabori podatkov dobavitelja in nabori podatkov tretjih oseb</w:t>
      </w:r>
      <w:r>
        <w:rPr>
          <w:rFonts w:ascii="Arial" w:hAnsi="Arial"/>
          <w:sz w:val="22"/>
        </w:rPr>
        <w:t>: nabori podatkov (ali njihovi deli), ki se ne uvrščajo med nabore podatkov javne organizacije.</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t xml:space="preserve">Oddelek B – Bistvene zahteve v zvezi z umetnointeligenčnim sistemom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63DBA2E3" w:rsidR="00592294" w:rsidRPr="00BD0EE8" w:rsidRDefault="00D874CA" w:rsidP="00D874CA">
      <w:pPr>
        <w:pStyle w:val="doLijstnummering7"/>
        <w:numPr>
          <w:ilvl w:val="0"/>
          <w:numId w:val="0"/>
        </w:numPr>
        <w:rPr>
          <w:rFonts w:ascii="Arial" w:hAnsi="Arial" w:cs="Arial"/>
          <w:sz w:val="22"/>
          <w:szCs w:val="22"/>
        </w:rPr>
      </w:pPr>
      <w:r>
        <w:rPr>
          <w:rFonts w:ascii="Arial" w:hAnsi="Arial"/>
          <w:sz w:val="22"/>
        </w:rPr>
        <w:t>Člen 2</w:t>
      </w:r>
      <w:r>
        <w:rPr>
          <w:rFonts w:ascii="Arial" w:hAnsi="Arial"/>
          <w:sz w:val="22"/>
        </w:rPr>
        <w:tab/>
      </w:r>
      <w:r w:rsidR="00592294">
        <w:rPr>
          <w:rFonts w:ascii="Arial" w:hAnsi="Arial"/>
          <w:sz w:val="22"/>
        </w:rPr>
        <w:t>Sistem za obvladovanje tveganja</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Dobavitelj zagotovi, da se pred dobavo umetnointeligenčnega sistema </w:t>
      </w:r>
      <w:r>
        <w:rPr>
          <w:rFonts w:ascii="Arial" w:hAnsi="Arial"/>
          <w:color w:val="000000"/>
          <w:sz w:val="22"/>
          <w:shd w:val="clear" w:color="auto" w:fill="FFFFFF"/>
        </w:rPr>
        <w:t>vzpostavi, izvaja, dokumentira in vzdržuje sistem za obvladovanje tveganja v zvezi z umetnointeligenčnim sistemom.</w:t>
      </w:r>
      <w:r>
        <w:rPr>
          <w:rFonts w:ascii="Arial" w:hAnsi="Arial"/>
          <w:sz w:val="22"/>
        </w:rPr>
        <w:t xml:space="preserve">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Sistem za obvladovanje tveganja zajema vsaj naslednje korake:</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ugotovitev, oceno in ovrednotenje znanih in razumno predvidljivih tveganj, ki jih lahko umetnointeligenčni sistem predstavlja za zdravje, varnost ali temeljne pravice, kadar se uporablja v skladu s predvidenim namenom;</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oceno in ovrednotenje tveganj, ki se lahko pojavijo pri uporabi umetnointeligenčnega sistema v skladu s predvidenim namenom in v razmerah razumno predvidljive napačne uporabe;</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ovrednotenje drugih tveganj, ki bi se lahko pojavila, na podlagi analize podatkov, zbranih iz sistema spremljanja po dajanju na trg;</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sprejetje ustreznih in ciljno usmerjenih ukrepov za obvladovanje tveganja, da se obravnavajo tveganja, ugotovljena na podlagi točke (a) tega odstavka, v skladu z določbami naslednjih odstavkov.</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Tveganja iz tega člena se nanašajo samo na tista, ki jih je mogoče razumno</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zmanjšati ali odpraviti z razvojem ali zasnovo umetnointeligenčnega sistema ali zagotavljanjem ustreznih tehničnih informacij.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Pri tveganjih iz tega člena se ustrezno upoštevajo učinki in morebitna interakcija, ki izhajajo iz skupne uporabe zahtev iz oddelka B, da bi učinkoviteje zmanjšali tveganja in hkrati dosegli ustrezno ravnovesje pri izvajanju ukrepov za izpolnjevanje teh zahtev.</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Ukrepi za obvladovanje tveganja iz odstavka 2.2, točka (d), so taki, da dobavitelj ustrezna preostala tveganja, povezana z vsako nevarnostjo, in celotno preostalo tveganje umetnointeligenčnega sistema šteje za sprejemljiva, če se umetnointeligenčni sistem uporablja v skladu s predvidenim namenom ali v razmerah razumno predvidljive napačne uporabe.</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Pri določitvi najprimernejših ukrepov za obvladovanje tveganja iz odstavka 2.2, točka (d), se zagotovi naslednje:</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odpravljanje ali zmanjševanje tveganj, ugotovljenih in ocenjenih na podlagi odstavka 2.2, kolikor je to tehnično izvedljivo z ustrezno zasnovo in razvojem umetnointeligenčnega sistema;</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po potrebi izvajanje ustreznih ukrepov za zmanjšanje in nadzor tveganj, ki jih ni mogoče odpraviti;</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zagotavljanje ustreznih informacij javni organizaciji in po potrebi usposabljanje uvajalcev.</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rPr>
        <w:lastRenderedPageBreak/>
        <w:t>Dobavitelj zagotovi, da se umetnointeligenčni sistem pred dobavo testira, da se ugotovi, ali je umetnointeligenčni sistem skladen z VPK UI nizkega tveganja in ali so ukrepi za obvladovanje tveganja iz odstavka 2.2, točka (d), učinkoviti glede na predvideni namen in razumno predvidljivo napačno uporabo.</w:t>
      </w:r>
      <w:r>
        <w:rPr>
          <w:rFonts w:ascii="Arial" w:hAnsi="Arial"/>
          <w:sz w:val="22"/>
          <w:bdr w:val="none" w:sz="0" w:space="0" w:color="auto" w:frame="1"/>
        </w:rPr>
        <w:t xml:space="preserve"> Dobavitelj mora na zahtevo javne organizacije umetnointeligenčni sistem testirati v okolju javne organizacije.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Testiranje umetnointeligenčnega sistema se po potrebi izvede kadar koli med celotnim procesom razvoja, vsekakor pa pred dobavo. Testiranje se opravi na podlagi predhodno opredeljenih metrik in verjetnostnih pragov, ki ustrezajo predvidenemu namenu umetnointeligenčnega sistema.</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Dobavitelj mora v okviru zagotavljanja skladnosti s tem členom dokumentirati vsa ugotovljena tveganja, sprejete ukrepe in izvedene teste. To dokumentacijo mora dati na voljo javni organizaciji najpozneje ob dobavi umetnointeligenčnega sistema. Ta dokumentacija je lahko del tehnične dokumentacije in/ali navodil za uporabo.</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Sistem za obvladovanje tveganja se razume kot neprekinjen in ponavljajoč proces, ki je načrtovan in se izvaja ves čas trajanja sporazuma. Dobavitelj mora zato po dobavi umetnointeligenčnega sistema:</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redno pregledovati in posodabljati postopek obvladovanja tveganja, da se zagotovi njegova stalna učinkovitost;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rPr>
        <w:t>posodabljati dokumentacijo, opisano v členu 2.7,</w:t>
      </w:r>
      <w:r>
        <w:rPr>
          <w:rFonts w:ascii="Arial" w:hAnsi="Arial"/>
          <w:sz w:val="22"/>
          <w:bdr w:val="none" w:sz="0" w:space="0" w:color="auto" w:frame="1"/>
        </w:rPr>
        <w:t xml:space="preserve"> in</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javni organizaciji brez odlašanja dati na voljo vsako novo različico dokumentacije, opisane v členu 2.7.</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Če bo to razumno potrebno za to, da bo lahko dobavitelj pravilno izvajal sistem za obvladovanje tveganja, bo javna organizacija dobavitelju na zahtevo zagotovila informacije, če te niso zaupne narave.</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&lt;Neobvezno&gt;</w:t>
      </w:r>
      <w:r>
        <w:rPr>
          <w:rFonts w:ascii="Arial" w:hAnsi="Arial"/>
          <w:sz w:val="22"/>
          <w:bdr w:val="none" w:sz="0" w:space="0" w:color="auto" w:frame="1"/>
        </w:rPr>
        <w:t xml:space="preserve"> Če javna organizacija še naprej uporablja umetnointeligenčni sistem tudi po koncu trajanja sporazuma, dobavitelj javni organizaciji ob koncu trajanja sporazuma zagotovi informacije, potrebne za samostojno vzdrževanje sistema za obvladovanje tveganja.</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33718167" w:rsidR="00592294" w:rsidRPr="00BD0EE8" w:rsidRDefault="00D874CA" w:rsidP="00D874CA">
      <w:pPr>
        <w:pStyle w:val="doLijstnummering7"/>
        <w:numPr>
          <w:ilvl w:val="0"/>
          <w:numId w:val="0"/>
        </w:numPr>
        <w:rPr>
          <w:rFonts w:ascii="Arial" w:hAnsi="Arial" w:cs="Arial"/>
          <w:sz w:val="22"/>
          <w:szCs w:val="22"/>
        </w:rPr>
      </w:pPr>
      <w:r>
        <w:rPr>
          <w:rFonts w:ascii="Arial" w:hAnsi="Arial"/>
          <w:b/>
          <w:sz w:val="22"/>
        </w:rPr>
        <w:t>Člen 3</w:t>
      </w:r>
      <w:r>
        <w:rPr>
          <w:rFonts w:ascii="Arial" w:hAnsi="Arial"/>
          <w:b/>
          <w:sz w:val="22"/>
        </w:rPr>
        <w:tab/>
      </w:r>
      <w:r w:rsidR="00592294">
        <w:rPr>
          <w:rFonts w:ascii="Arial" w:hAnsi="Arial"/>
          <w:b/>
          <w:sz w:val="22"/>
        </w:rPr>
        <w:t>&lt;Člen 3 je pomemben samo za umetnointeligenčne sisteme, ki uporabljajo tehnike, ki vključujejo učenje modelov s podatki. Člen 3 temelji na predpostavki, da imajo dobavitelj ali njegovi podizvajalci popoln dostop do naborov podatkov. Če so nabori podatkov v izključni lasti javne organizacije, je treba sprejeti druge ureditve.&gt;</w:t>
      </w:r>
      <w:r w:rsidR="00592294">
        <w:rPr>
          <w:rFonts w:ascii="Arial" w:hAnsi="Arial"/>
          <w:sz w:val="22"/>
        </w:rPr>
        <w:t xml:space="preserve"> Podatki in upravljanje podatkov</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Dobavitelj zagotovi, da so nabori podatkov, uporabljeni pri razvoju umetnointeligenčnega sistema, vključno z učnimi, validacijskimi in testnimi podatki, bili in bodo predmet praks ravnanja s podatki in upravljanja podatkov, ki ustrezajo predvidenemu namenu umetnointeligenčnega sistema. Navedeni ukrepi se nanašajo zlasti na:</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ustrezne izbire zasnove;</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lastRenderedPageBreak/>
        <w:t>postopke zbiranja podatkov in njihov izvor ter v primeru osebnih podatkov prvotni namen zbiranja podatkov;</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ustrezno pripravo podatkov za postopke obdelave, kot so dodajanje opomb, označevanje, čiščenje, posodabljanje, obogatitev in združevanje;</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oblikovanje predpostavk, zlasti v zvezi z informacijami, ki naj bi jih podatki merili in predstavljali;</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oceno razpoložljivosti, količine in primernosti potrebnih naborov podatkov;</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preučitev morebitnih pristranskosti, ki bi lahko vplivale na zdravje in varnost oseb, negativno vplivale na temeljne pravice ali privedle do diskriminacije, ki je na podlagi prava Unije prepovedana, zlasti kadar izhodni podatki vplivajo na vhodne podatke za prihodnje operacije;</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ustrezne ukrepe za odkrivanje, preprečevanje in zmanjševanje morebitnih pristranskosti, opredeljenih v skladu s točko (f);</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prepoznavanje pomembnih podatkovnih vrzeli ali pomanjkljivosti, ki preprečujejo skladnost s temi VPK UI nizkega tveganja, ter način za odpravo navedenih vrzeli in pomanjkljivosti.</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Dobavitelj zagotovi, da so nabori podatkov, uporabljeni pri razvoju umetnointeligenčnega sistema, ustrezni in reprezentativni ter v največji možni meri brez napak in popolni glede na predvideni namen.</w:t>
      </w:r>
      <w:r>
        <w:rPr>
          <w:rFonts w:ascii="Arial" w:hAnsi="Arial"/>
          <w:sz w:val="22"/>
          <w:bdr w:val="none" w:sz="0" w:space="0" w:color="auto" w:frame="1"/>
        </w:rPr>
        <w:t xml:space="preserve"> Prav tako zagotovi, da imajo nabori podatkov ustrezne statistične lastnosti, po potrebi tudi v zvezi z osebami ali skupinami oseb, v zvezi s katerimi naj bi se umetnointeligenčni sistem uporabljal. Te lastnosti naborov podatkov se izpolnijo na ravni posameznih naborov podatkov ali njihovih kombinacij.</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Dobavitelj zagotovi, da so nabori podatkov, uporabljeni pri razvoju umetnointeligenčnega sistema, v obsegu, ki se zahteva glede na predvideni namen ali razumno predvidljivo napačno uporabo, upoštevali lastnosti ali elemente, ki so značilni za konkretno geografsko, kontekstualno, vedenjsko ali funkcionalno okolje, v katerem naj bi se umetnointeligenčni sistem uporabljal.</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Obveznosti iz tega člena se uporabljajo ne le za razvoj umetnointeligenčnega sistema pred dobavo, temveč tudi za vsako uporabo naborov podatkov s strani dobavitelja, ki lahko vpliva na delovanje umetnointeligenčnega sistema kadar koli med trajanjem sporazuma.</w:t>
      </w:r>
    </w:p>
    <w:p w14:paraId="4491B0F7" w14:textId="77777777" w:rsidR="00592294" w:rsidRPr="00BD0EE8" w:rsidRDefault="00592294" w:rsidP="000F1F04">
      <w:pPr>
        <w:rPr>
          <w:rFonts w:ascii="Arial" w:hAnsi="Arial"/>
          <w:sz w:val="22"/>
        </w:rPr>
      </w:pPr>
    </w:p>
    <w:p w14:paraId="243ED3F1" w14:textId="4A037C1B" w:rsidR="00592294" w:rsidRPr="00BD0EE8" w:rsidRDefault="00D874CA" w:rsidP="00D874CA">
      <w:pPr>
        <w:pStyle w:val="doLijstnummering7"/>
        <w:numPr>
          <w:ilvl w:val="0"/>
          <w:numId w:val="0"/>
        </w:numPr>
        <w:rPr>
          <w:rFonts w:ascii="Arial" w:hAnsi="Arial" w:cs="Arial"/>
          <w:sz w:val="22"/>
          <w:szCs w:val="22"/>
        </w:rPr>
      </w:pPr>
      <w:r>
        <w:rPr>
          <w:rFonts w:ascii="Arial" w:hAnsi="Arial"/>
          <w:sz w:val="22"/>
        </w:rPr>
        <w:t>Člen 4</w:t>
      </w:r>
      <w:r>
        <w:rPr>
          <w:rFonts w:ascii="Arial" w:hAnsi="Arial"/>
          <w:sz w:val="22"/>
        </w:rPr>
        <w:tab/>
      </w:r>
      <w:r w:rsidR="00592294">
        <w:rPr>
          <w:rFonts w:ascii="Arial" w:hAnsi="Arial"/>
          <w:sz w:val="22"/>
        </w:rPr>
        <w:t>Tehnična dokumentacija in navodila za uporabo</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Dobavitelj ob dobavi umetnointeligenčnega sistema preda tudi tehnično dokumentacijo in navodila za uporabo.</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Tehnična dokumentacija mora javni organizaciji ali tretji osebi omogočiti, da oceni skladnost umetnointeligenčnega sistema z določbami zahtev iz teh VPK UI nizkega tveganja, in izpolnjevati vsaj pogoje, opisane v </w:t>
      </w:r>
      <w:r>
        <w:rPr>
          <w:rFonts w:ascii="Arial" w:hAnsi="Arial"/>
          <w:b/>
          <w:sz w:val="22"/>
        </w:rPr>
        <w:t>Prilogi C</w:t>
      </w:r>
      <w:r>
        <w:rPr>
          <w:rFonts w:ascii="Arial" w:hAnsi="Arial"/>
          <w:sz w:val="22"/>
        </w:rPr>
        <w:t xml:space="preserve">.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Navodila za uporabo vključujejo </w:t>
      </w:r>
      <w:r>
        <w:rPr>
          <w:rFonts w:ascii="Arial" w:hAnsi="Arial"/>
          <w:color w:val="000000"/>
          <w:sz w:val="22"/>
          <w:shd w:val="clear" w:color="auto" w:fill="FFFFFF"/>
        </w:rPr>
        <w:t xml:space="preserve">jedrnate, popolne, pravilne in jasne informacije, ki so pomembne, dostopne in razumljive javni organizaciji. Navodila za uporabo morajo izpolnjevati vsaj pogoje, opisane v </w:t>
      </w:r>
      <w:r>
        <w:rPr>
          <w:rFonts w:ascii="Arial" w:hAnsi="Arial"/>
          <w:b/>
          <w:color w:val="000000"/>
          <w:sz w:val="22"/>
          <w:shd w:val="clear" w:color="auto" w:fill="FFFFFF"/>
        </w:rPr>
        <w:t>Prilogi D</w:t>
      </w:r>
      <w:r>
        <w:rPr>
          <w:rFonts w:ascii="Arial" w:hAnsi="Arial"/>
          <w:sz w:val="22"/>
        </w:rPr>
        <w: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rPr>
        <w:t>Dobavitelj mora to dokumentacijo posodobiti vsaj ob vsaki bistveni spremembi med trajanjem sporazuma in jo nato dati na voljo javni organizaciji.</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lastRenderedPageBreak/>
        <w:t>&lt;Neobvezno&gt;</w:t>
      </w:r>
      <w:r>
        <w:rPr>
          <w:rFonts w:ascii="Arial" w:hAnsi="Arial"/>
          <w:sz w:val="22"/>
        </w:rPr>
        <w:t xml:space="preserve"> Tehnična dokumentacija in navodila za uporabo morajo biti sestavljeni v angleščini.</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Javna organizacija ima pravico, da naredi kopije tehnične dokumentacije in navodil za uporabo v obsegu, ki je potreben za interno uporabo znotraj njene organizacije, brez poseganja v določbe členov 6 in 11.</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5BE6D8C4" w:rsidR="00592294" w:rsidRPr="00BD0EE8" w:rsidRDefault="00D874CA" w:rsidP="00D874CA">
      <w:pPr>
        <w:pStyle w:val="doLijstnummering7"/>
        <w:numPr>
          <w:ilvl w:val="0"/>
          <w:numId w:val="0"/>
        </w:numPr>
        <w:rPr>
          <w:rFonts w:ascii="Arial" w:hAnsi="Arial" w:cs="Arial"/>
          <w:sz w:val="22"/>
          <w:szCs w:val="22"/>
        </w:rPr>
      </w:pPr>
      <w:r>
        <w:rPr>
          <w:rFonts w:ascii="Arial" w:hAnsi="Arial"/>
          <w:sz w:val="22"/>
        </w:rPr>
        <w:t>Člen 5</w:t>
      </w:r>
      <w:r>
        <w:rPr>
          <w:rFonts w:ascii="Arial" w:hAnsi="Arial"/>
          <w:sz w:val="22"/>
        </w:rPr>
        <w:tab/>
      </w:r>
      <w:r w:rsidR="00592294">
        <w:rPr>
          <w:rFonts w:ascii="Arial" w:hAnsi="Arial"/>
          <w:sz w:val="22"/>
        </w:rPr>
        <w:t>Vodenje evidenc</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Dobavitelj zagotovi, da umetnointeligenčni sistem tehnično omogoča samodejno beleženje dogodkov (v nadaljnjem besedilu: dnevniki) v življenjski dobi umetnointeligenčnega sistema.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Zmogljivosti vodenja dnevnikov zagotavljajo raven sledljivosti umetnointeligenčnega sistema, ki ustreza predvidenemu namenu sistema in razumno predvidljivi napačni uporabi. Omogočajo beleženje dogodkov, pomembnih za opredelitev razmer, ki lahko: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povzročijo, da umetnointeligenčni sistem predstavlja tveganje za zdravje ali varnost ali varstvo temeljnih pravic oseb, ali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povzročijo bistveno spremembo.</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 xml:space="preserve">&lt;Neobvezno&gt; </w:t>
      </w:r>
      <w:r>
        <w:rPr>
          <w:rFonts w:ascii="Arial" w:hAnsi="Arial"/>
          <w:sz w:val="22"/>
        </w:rPr>
        <w:t>Dobavitelj bo javni organizaciji omogočil dostop do dnevnikov, ki jih umetnointeligenčni sistem samodejno ustvari v realnem času.</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Dobavitelj v času trajanja sporazuma hrani dnevnike, ki jih samodejno ustvari umetnointeligenčni sistem, če so ti dnevniki v skladu s sporazumom pod njegovim nadzorom. Dobavitelj bo te dnevnike takoj ob koncu trajanja sporazuma zagotovil javni organizaciji.</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1D8FB94B" w:rsidR="00592294" w:rsidRPr="00BD0EE8" w:rsidRDefault="00D874CA" w:rsidP="00D874CA">
      <w:pPr>
        <w:pStyle w:val="doLijstnummering7"/>
        <w:numPr>
          <w:ilvl w:val="0"/>
          <w:numId w:val="0"/>
        </w:numPr>
        <w:rPr>
          <w:rFonts w:ascii="Arial" w:hAnsi="Arial" w:cs="Arial"/>
          <w:sz w:val="22"/>
          <w:szCs w:val="22"/>
        </w:rPr>
      </w:pPr>
      <w:r>
        <w:rPr>
          <w:rFonts w:ascii="Arial" w:hAnsi="Arial"/>
          <w:sz w:val="22"/>
        </w:rPr>
        <w:t>Člen 6</w:t>
      </w:r>
      <w:r>
        <w:rPr>
          <w:rFonts w:ascii="Arial" w:hAnsi="Arial"/>
          <w:sz w:val="22"/>
        </w:rPr>
        <w:tab/>
      </w:r>
      <w:r w:rsidR="00592294">
        <w:rPr>
          <w:rFonts w:ascii="Arial" w:hAnsi="Arial"/>
          <w:sz w:val="22"/>
        </w:rPr>
        <w:t>Preglednost umetnointeligenčnega sistema</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Dobavitelj zagotovi, da je umetnointeligenčni sistem zasnovan in razvit tako, da je njegovo delovanje dovolj pregledno, da lahko javna organizacija </w:t>
      </w:r>
      <w:r>
        <w:rPr>
          <w:rFonts w:ascii="Arial" w:hAnsi="Arial"/>
          <w:sz w:val="22"/>
        </w:rPr>
        <w:t>razlaga njegove izhodne podatke in jih ustrezno uporablja</w:t>
      </w:r>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Umetnointeligenčnemu sistemu morajo biti priložena navodila za uporabo v ustrezni digitalni obliki ali kako drugače, ki vključujejo jedrnate, popolne, pravilne in jasne informacije, ki so za javno organizacijo pomembne, dostopne in razumljive.</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Navodila za uporabo vsebujejo vsaj naslednje informacije:</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istovetnost in kontaktne podatke dobavitelja in njegovega pooblaščenega zastopnika, kadar obstaja;</w:t>
      </w:r>
    </w:p>
    <w:p w14:paraId="5C3F694C" w14:textId="32AB28BD"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značilnosti, zmogljivosti in omejitve zmogljivosti umetnointeligenčnega sistema, ki vključujejo:</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njegov predvideni namen;</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raven točnosti, vključno s pripadajočimi metrikami, robustnosti in kibernetske varnosti, na podlagi katere je bil umetnointeligenčni sistem testiran in validiran ter ki se lahko pričakuje, pa tudi vse znane in predvidljive okoliščine, ki bi lahko vplivale na to pričakovano raven točnosti, robustnosti in kibernetske varnosti;</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lastRenderedPageBreak/>
        <w:t>vse znane ali predvidljive okoliščine, povezane z uporabo umetnointeligenčnega sistema v skladu s predvidenim namenom ali v razmerah razumno predvidljive napačne uporabe, ki lahko povzročijo tveganja za zdravje in varnost ali temeljne pravice;</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po potrebi tehnične zmogljivosti in značilnosti umetnointeligenčnega sistema za zagotavljanje informacij, ki so pomembne za pojasnitev njegovih izhodnih podatkov;</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kadar je primerno, njegovo zmogljivost v zvezi z določenimi osebami ali skupinami oseb, za katere naj bi se sistem uporabljal;</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kadar je primerno, specifikacije za vhodne podatke ali katere koli druge ustrezne informacije v zvezi z uporabljenimi nabori učnih, validacijskih in testnih podatkov, ob upoštevanju predvidenega namena umetnointeligenčnega sistema;</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po potrebi informacije, da lahko javna organizacija razlaga izhodne podatke umetnointeligenčnega sistema in jih ustrezno uporablja;</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morebitne spremembe umetnointeligenčnega sistema in njegove zmogljivosti, ki jih je ponudnik vnaprej določil ob začetnem ugotavljanju skladnosti;</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t>ukrepe za človeški nadzor, vključno z vzpostavljenimi tehničnimi ukrepi, ki uvajalcem olajšajo razlago izhodnih podatkov umetnointeligenčnega sistema;</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potrebne računalniške in strojnoopremne vire, pričakovano življenjsko dobo umetnointeligenčnega sistema ter vse potrebne vzdrževalne in oskrbovalne ukrepe, vključno z njihovo pogostostjo, za zagotovitev pravilnega delovanja tega umetnointeligenčnega sistema, tudi kar zadeva posodobitve programske opreme;</w:t>
      </w:r>
    </w:p>
    <w:p w14:paraId="5BA38C5D"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 xml:space="preserve">po potrebi opis mehanizmov v umetnointeligenčnem sistemu, na podlagi katerih lahko uvajalci pravilno zbirajo, hranijo in razlagajo dnevnike, da se zagotovi ustrezna preglednost pred dobavo umetnointeligenčnega sistema; </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Dobavitelj za zagotovitev ustrezne preglednosti pred dobavo umetnointeligenčnega sistema izvede vsaj tehnične in organizacijske ukrepe, opisane v Prilogi E.</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3A73DAD2" w:rsidR="00592294" w:rsidRPr="00BD0EE8" w:rsidRDefault="00D874CA" w:rsidP="00D874CA">
      <w:pPr>
        <w:pStyle w:val="doLijstnummering7"/>
        <w:numPr>
          <w:ilvl w:val="0"/>
          <w:numId w:val="0"/>
        </w:numPr>
        <w:rPr>
          <w:rFonts w:ascii="Arial" w:hAnsi="Arial" w:cs="Arial"/>
          <w:sz w:val="22"/>
          <w:szCs w:val="22"/>
        </w:rPr>
      </w:pPr>
      <w:r>
        <w:rPr>
          <w:rFonts w:ascii="Arial" w:hAnsi="Arial"/>
          <w:sz w:val="22"/>
        </w:rPr>
        <w:t>Člen 7</w:t>
      </w:r>
      <w:r>
        <w:rPr>
          <w:rFonts w:ascii="Arial" w:hAnsi="Arial"/>
          <w:sz w:val="22"/>
        </w:rPr>
        <w:tab/>
      </w:r>
      <w:r w:rsidR="00592294">
        <w:rPr>
          <w:rFonts w:ascii="Arial" w:hAnsi="Arial"/>
          <w:sz w:val="22"/>
        </w:rPr>
        <w:t>Človeški nadzor</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Dobavitelj zagotovi, da je umetnointeligenčni sistem zasnovan in razvit tako, da ga lahko fizične osebe v obdobju njegove uporabe učinkovito nadzorujejo, tudi z ustreznimi vmesniškimi orodji človek-stroj.</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Namen človeškega nadzora je preprečiti ali čim bolj zmanjšati tveganja za zdravje, varnost ali temeljne pravice, ki se lahko pojavijo pri uporabi umetnointeligenčnega sistema v skladu s predvidenim namenom ali v razmerah razumno predvidljive napačne uporabe, kadar taka tveganja niso odpravljena kljub uporabi drugih zahtev iz tega oddelka.</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Nadzorni ukrepi morajo biti sorazmerni s tveganji, stopnjo avtonomije in kontekstom uporabe umetnointeligenčnega sistema ter se zagotavljajo z eno ali obema naslednjima vrstama ukrepov.</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lastRenderedPageBreak/>
        <w:t>Dobavitelj zagotovi, da se pred dobavo v umetnointeligenčni sistem vgradijo in sprejmejo ustrezni ukrepi, ki zagotavljajo človeški nadzor. S temi ukrepi se zagotovi, da se fizičnim osebam, ki jim je dodeljen človeški nadzor, ustrezno in sorazmerno omogoči, da:</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pravilno razumejo ustrezne zmogljivosti in omejitve umetnointeligenčnega sistema ter lahko ustrezno spremljajo njegovo delovanje, tudi za odkrivanje in obravnavanje nepravilnosti, motenj in nepričakovanega delovanja;</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se zavedajo morebitne težnje po samodejnem zanašanju ali prevelikem zanašanju na izhodne podatke umetnointeligenčnega sistema („pristranskost zaradi avtomatizacije“), zlasti če se umetnointeligenčni sistem uporablja za zagotavljanje informacij ali priporočil za odločitve, ki jih sprejemajo fizične osebe;</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pravilno razlagajo izhodne podatke umetnointeligenčnega sistema, zlasti ob upoštevanju na primer značilnosti sistema ter razpoložljivih orodij in metod za razlago;</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se lahko v vseh okoliščinah odločijo, da ne bodo uporabljale umetnointeligenčnega sistema ali da bodo kako drugače zanemarile, ovrgle ali izničile izhodne podatke umetnointeligenčnega sistema;</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posegajo v delovanje umetnointeligenčnega sistema ali ga prekinejo s tipko „stop“ ali podobnim postopkom, ki omogoča varno zaustavitev sistema.</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Dobavitelj za zagotovitev ustreznega človeškega nadzora pred dobavo umetnointeligenčnega sistema izvede vsaj tehnične in organizacijske ukrepe, opisane v </w:t>
      </w:r>
      <w:r>
        <w:rPr>
          <w:rFonts w:ascii="Arial" w:hAnsi="Arial"/>
          <w:b/>
          <w:sz w:val="22"/>
        </w:rPr>
        <w:t>Prilogi F</w:t>
      </w:r>
      <w:r>
        <w:rPr>
          <w:rFonts w:ascii="Arial" w:hAnsi="Arial"/>
          <w:sz w:val="22"/>
        </w:rPr>
        <w:t>.</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4205171" w:rsidR="00592294" w:rsidRPr="00BD0EE8" w:rsidRDefault="00D874CA" w:rsidP="00D874CA">
      <w:pPr>
        <w:pStyle w:val="doLijstnummering7"/>
        <w:numPr>
          <w:ilvl w:val="0"/>
          <w:numId w:val="0"/>
        </w:numPr>
        <w:rPr>
          <w:rFonts w:ascii="Arial" w:hAnsi="Arial" w:cs="Arial"/>
          <w:sz w:val="22"/>
          <w:szCs w:val="22"/>
        </w:rPr>
      </w:pPr>
      <w:r>
        <w:rPr>
          <w:rFonts w:ascii="Arial" w:hAnsi="Arial"/>
          <w:sz w:val="22"/>
        </w:rPr>
        <w:t>Člen 8</w:t>
      </w:r>
      <w:r>
        <w:rPr>
          <w:rFonts w:ascii="Arial" w:hAnsi="Arial"/>
          <w:sz w:val="22"/>
        </w:rPr>
        <w:tab/>
      </w:r>
      <w:r w:rsidR="00592294">
        <w:rPr>
          <w:rFonts w:ascii="Arial" w:hAnsi="Arial"/>
          <w:sz w:val="22"/>
        </w:rPr>
        <w:t>Točnost, robustnost in kibernetska varnost</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Dobavitelj zagotovi, da je umetnointeligenčni sistem </w:t>
      </w:r>
      <w:r>
        <w:rPr>
          <w:rFonts w:ascii="Arial" w:hAnsi="Arial"/>
          <w:sz w:val="22"/>
        </w:rPr>
        <w:t xml:space="preserve">zasnovan in razvit tako, da dosega ustrezno raven točnosti, robustnosti, varnosti in kibernetske varnosti ter v teh vidikih deluje dosledno.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Ravni točnosti in ustrezne metrike točnosti umetnointeligenčnega sistema so opisane v </w:t>
      </w:r>
      <w:r>
        <w:rPr>
          <w:rFonts w:ascii="Arial" w:hAnsi="Arial"/>
          <w:b/>
          <w:sz w:val="22"/>
          <w:bdr w:val="none" w:sz="0" w:space="0" w:color="auto" w:frame="1"/>
        </w:rPr>
        <w:t>Prilogi G</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Dobavitelj za zagotovitev ustrezne ravni robustnosti, varnosti in kibernetske varnosti pred dobavo umetnointeligenčnega sistema izvede vsaj tehnične in organizacijske ukrepe, opisane v </w:t>
      </w:r>
      <w:r>
        <w:rPr>
          <w:rFonts w:ascii="Arial" w:hAnsi="Arial"/>
          <w:b/>
          <w:sz w:val="22"/>
        </w:rPr>
        <w:t>Prilogi H</w:t>
      </w:r>
      <w:r>
        <w:rPr>
          <w:rFonts w:ascii="Arial" w:hAnsi="Arial"/>
          <w:sz w:val="22"/>
        </w:rPr>
        <w:t xml:space="preserve">.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061AB5E3" w:rsidR="00BA16C1" w:rsidRPr="00BD0EE8" w:rsidRDefault="00D874CA" w:rsidP="00D874CA">
      <w:pPr>
        <w:pStyle w:val="doLijstnummering7"/>
        <w:numPr>
          <w:ilvl w:val="0"/>
          <w:numId w:val="0"/>
        </w:numPr>
        <w:rPr>
          <w:rFonts w:ascii="Arial" w:hAnsi="Arial" w:cs="Arial"/>
          <w:sz w:val="22"/>
          <w:szCs w:val="22"/>
        </w:rPr>
      </w:pPr>
      <w:r>
        <w:rPr>
          <w:rFonts w:ascii="Arial" w:hAnsi="Arial"/>
          <w:sz w:val="22"/>
        </w:rPr>
        <w:t>Člen 9</w:t>
      </w:r>
      <w:r>
        <w:rPr>
          <w:rFonts w:ascii="Arial" w:hAnsi="Arial"/>
          <w:sz w:val="22"/>
        </w:rPr>
        <w:tab/>
      </w:r>
      <w:r w:rsidR="00BA16C1">
        <w:rPr>
          <w:rFonts w:ascii="Arial" w:hAnsi="Arial"/>
          <w:sz w:val="22"/>
        </w:rPr>
        <w:t>Skladnost</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rPr>
        <w:t>Dobavitelj mora zagotoviti, da je umetnointeligenčni sistem od svoje dobave do konca trajanja sporazuma skladen s temi VPK UI nizkega tveganja.</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Dobavitelji morajo na prvo zahtevo javne organizacije tej dati na voljo vse informacije, potrebne za dokazovanje skladnosti s temi VPK UI nizkega tveganja.</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Če dobavitelj med trajanjem sporazuma – v odziv na pripombo javne organizacije ali ne – meni ali utemeljeno domneva, da umetnointeligenčni sistem ni skladen s temi VPK UI nizkega tveganja, nemudoma sprejme potrebne popravne ukrepe, da zagotovi skladnost sistema. O tem ustrezno obvesti javno organizacijo.</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41DCFE90" w:rsidR="00592294" w:rsidRPr="00B61CD1" w:rsidRDefault="00D874CA" w:rsidP="00D874CA">
      <w:pPr>
        <w:pStyle w:val="doLijstnummering7"/>
        <w:numPr>
          <w:ilvl w:val="0"/>
          <w:numId w:val="0"/>
        </w:numPr>
        <w:rPr>
          <w:rFonts w:ascii="Arial" w:hAnsi="Arial" w:cs="Arial"/>
          <w:noProof/>
          <w:sz w:val="22"/>
          <w:szCs w:val="22"/>
        </w:rPr>
      </w:pPr>
      <w:r>
        <w:rPr>
          <w:rFonts w:ascii="Arial" w:hAnsi="Arial"/>
          <w:sz w:val="22"/>
        </w:rPr>
        <w:t>Člen 10</w:t>
      </w:r>
      <w:r>
        <w:rPr>
          <w:rFonts w:ascii="Arial" w:hAnsi="Arial"/>
          <w:sz w:val="22"/>
        </w:rPr>
        <w:tab/>
      </w:r>
      <w:r w:rsidR="00027B87">
        <w:rPr>
          <w:rFonts w:ascii="Arial" w:hAnsi="Arial"/>
          <w:sz w:val="22"/>
        </w:rPr>
        <w:t>Ocena učinka na temeljne pravice</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Dobavitelj na prvo zahtevo javne organizacije sodeluje pri njeni izvedbi ocene učinka, ki bi ga lahko imela uporaba umetnointeligenčnega sistema na temeljne pravice.</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3CF09222" w:rsidR="00BA16C1" w:rsidRPr="00BD0EE8" w:rsidRDefault="00D874CA" w:rsidP="00D874CA">
      <w:pPr>
        <w:pStyle w:val="doLijstnummering7"/>
        <w:numPr>
          <w:ilvl w:val="0"/>
          <w:numId w:val="0"/>
        </w:numPr>
        <w:rPr>
          <w:rFonts w:ascii="Arial" w:hAnsi="Arial" w:cs="Arial"/>
          <w:sz w:val="22"/>
          <w:szCs w:val="22"/>
        </w:rPr>
      </w:pPr>
      <w:r>
        <w:rPr>
          <w:rFonts w:ascii="Arial" w:hAnsi="Arial"/>
          <w:sz w:val="22"/>
        </w:rPr>
        <w:t>Člen 11</w:t>
      </w:r>
      <w:r>
        <w:rPr>
          <w:rFonts w:ascii="Arial" w:hAnsi="Arial"/>
          <w:sz w:val="22"/>
        </w:rPr>
        <w:tab/>
      </w:r>
      <w:r w:rsidR="00BA16C1">
        <w:rPr>
          <w:rFonts w:ascii="Arial" w:hAnsi="Arial"/>
          <w:sz w:val="22"/>
        </w:rPr>
        <w:t xml:space="preserve">Obveznost pojasnitve delovanja umetnointeligenčnega sistema na individualni ravni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Poleg obveznosti, opisanih v členu 6, mora dobavitelj javni organizaciji na njeno prvo zahtevo pomagati pri zagotavljanju jasne in smiselne razlage vloge umetnointeligenčnega sistema v postopku odločanja. Ta smiselna razlaga bi morala zlasti (vendar ne izključno) zagotoviti vpogled v glavne elemente odločitev, sprejetih v zvezi z vsako osebo, prizadeto zaradi odločitve javne organizacije, sprejete na podlagi izhodnih podatkov umetnointeligenčnega sistema.</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Obveznost, kot je opisana v členu 11.1, zajema zagotavljanje vseh tehničnih in drugih informacij javni organizaciji, potrebnih za pojasnitev, kako je umetnointeligenčni sistem ustvaril določen izhodni podatek, in omogočanje prizadetim osebam, da preverijo, kako je umetnointeligenčni sistem ustvaril določen izhodni podatek. Dobavitelj s tem javni organizaciji daje pravico do uporabe, izmenjave in razkritja teh informacij, če in kolikor je to potrebno, da ustrezno obvesti prizadete osebe.</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Obveznosti iz člena 11.1 in člena 11.2 vključujejo izvorno kodo umetnointeligenčnega sistema, tehnične specifikacije, uporabljene pri njegovem razvoju, nabore podatkov, tehnične informacije o tem, kako so bili nabori podatkov, uporabljeni pri razvoju umetnointeligenčnega sistema, pridobljeni in urejeni, informacije o uporabljeni metodi razvoja in izvedenem postopku razvoja, utemeljitev izbire določenega modela in njegovih parametrov ter informacije o delovanju umetnointeligenčnega sistema.</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Oddelek C – Pravice do uporabe naborov podatkov</w:t>
      </w:r>
    </w:p>
    <w:p w14:paraId="7D66F555" w14:textId="77777777" w:rsidR="00BA16C1" w:rsidRPr="00BD0EE8" w:rsidRDefault="00BA16C1" w:rsidP="00BA16C1">
      <w:pPr>
        <w:rPr>
          <w:rFonts w:ascii="Arial" w:hAnsi="Arial" w:cs="Arial"/>
          <w:b/>
          <w:i/>
          <w:sz w:val="22"/>
          <w:szCs w:val="22"/>
        </w:rPr>
      </w:pPr>
    </w:p>
    <w:p w14:paraId="71DEB6E3" w14:textId="78800272" w:rsidR="00BA16C1" w:rsidRPr="00BD0EE8" w:rsidRDefault="00D874CA" w:rsidP="00D874CA">
      <w:pPr>
        <w:pStyle w:val="doLijstnummering7"/>
        <w:numPr>
          <w:ilvl w:val="0"/>
          <w:numId w:val="0"/>
        </w:numPr>
        <w:rPr>
          <w:rFonts w:ascii="Arial" w:hAnsi="Arial" w:cs="Arial"/>
          <w:sz w:val="22"/>
          <w:szCs w:val="22"/>
        </w:rPr>
      </w:pPr>
      <w:r>
        <w:rPr>
          <w:rFonts w:ascii="Arial" w:hAnsi="Arial"/>
          <w:sz w:val="22"/>
        </w:rPr>
        <w:t>Člen 12</w:t>
      </w:r>
      <w:r>
        <w:rPr>
          <w:rFonts w:ascii="Arial" w:hAnsi="Arial"/>
          <w:sz w:val="22"/>
        </w:rPr>
        <w:tab/>
      </w:r>
      <w:r w:rsidR="00BA16C1">
        <w:rPr>
          <w:rFonts w:ascii="Arial" w:hAnsi="Arial"/>
          <w:sz w:val="22"/>
        </w:rPr>
        <w:t>Pravice do naborov podatkov javne organizacije</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Vse pravice, vključno s pravicami intelektualne lastnine, v zvezi z nabori podatkov javne organizacije bodo pripadle javni organizaciji ali tretji osebi, ki jo kot tako določi javna organizacija.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Dobavitelj ne sme uporabljati naborov podatkov javne organizacije za noben drug namen kot za izvajanje sporazuma, razen če je v Prilogi B določeno drugače.</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Dobavitelj mora na prvo zahtevo javne organizacije uničiti nabore podatkov javne organizacije, razen če je v Prilogi B določeno drugače. Dobavitelj mora predložiti </w:t>
      </w:r>
      <w:r>
        <w:rPr>
          <w:rFonts w:ascii="Arial" w:hAnsi="Arial"/>
          <w:sz w:val="22"/>
        </w:rPr>
        <w:lastRenderedPageBreak/>
        <w:t>preverljive dokaze o uničenju naborov podatkov javne organizacije, če tako zahteva javna organizacija.</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737FA817" w:rsidR="00BA16C1" w:rsidRPr="00BD0EE8" w:rsidRDefault="00D874CA" w:rsidP="00D874CA">
      <w:pPr>
        <w:pStyle w:val="doLijstnummering7"/>
        <w:numPr>
          <w:ilvl w:val="0"/>
          <w:numId w:val="0"/>
        </w:numPr>
        <w:rPr>
          <w:rFonts w:ascii="Arial" w:hAnsi="Arial" w:cs="Arial"/>
          <w:sz w:val="22"/>
          <w:szCs w:val="22"/>
        </w:rPr>
      </w:pPr>
      <w:r>
        <w:rPr>
          <w:rFonts w:ascii="Arial" w:hAnsi="Arial"/>
          <w:sz w:val="22"/>
        </w:rPr>
        <w:t>Člen 13</w:t>
      </w:r>
      <w:r>
        <w:rPr>
          <w:rFonts w:ascii="Arial" w:hAnsi="Arial"/>
          <w:sz w:val="22"/>
        </w:rPr>
        <w:tab/>
      </w:r>
      <w:r w:rsidR="00BA16C1">
        <w:rPr>
          <w:rFonts w:ascii="Arial" w:hAnsi="Arial"/>
          <w:sz w:val="22"/>
        </w:rPr>
        <w:t>Pravice do naborov podatkov dobavitelja in naborov podatkov tretjih oseb</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Vse pravice, vključno s pravicami intelektualne lastnine, v zvezi z nabori podatkov dobavitelja in nabori podatkov tretjih oseb bodo pripadle dobavitelju ali tretji osebi.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Dobavitelj javni organizaciji podeli neizključno pravico do uporabe naborov podatkov dobavitelja in naborov podatkov tretjih oseb, ki v vsakem primeru zadostuje za izvajanje določb sporazuma, vključno z VPK UI nizkega tveganja, razen če je v Prilogi B določeno drugače.</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 xml:space="preserve">&lt;Neobvezno&gt; </w:t>
      </w:r>
      <w:r>
        <w:rPr>
          <w:rFonts w:ascii="Arial" w:hAnsi="Arial"/>
          <w:sz w:val="22"/>
        </w:rPr>
        <w:t xml:space="preserve">Pravica do uporabe, opisana v členu 13.2, vključuje pravico javne organizacije ali tretje osebe do uporabe naborov podatkov dobavitelja in naborov podatkov tretjih oseb za nadaljnji razvoj umetnointeligenčnega sistema, vključno z vsemi njegovimi novimi različicami.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597B1458" w:rsidR="00BA16C1" w:rsidRPr="00BD0EE8" w:rsidRDefault="00D874CA" w:rsidP="00D874CA">
      <w:pPr>
        <w:pStyle w:val="doLijstnummering7"/>
        <w:numPr>
          <w:ilvl w:val="0"/>
          <w:numId w:val="0"/>
        </w:numPr>
        <w:rPr>
          <w:rFonts w:ascii="Arial" w:hAnsi="Arial" w:cs="Arial"/>
          <w:sz w:val="22"/>
          <w:szCs w:val="22"/>
        </w:rPr>
      </w:pPr>
      <w:r>
        <w:rPr>
          <w:rFonts w:ascii="Arial" w:hAnsi="Arial"/>
          <w:sz w:val="22"/>
        </w:rPr>
        <w:t>Člen 14</w:t>
      </w:r>
      <w:r>
        <w:rPr>
          <w:rFonts w:ascii="Arial" w:hAnsi="Arial"/>
          <w:sz w:val="22"/>
        </w:rPr>
        <w:tab/>
      </w:r>
      <w:r w:rsidR="00DB24E3">
        <w:rPr>
          <w:rFonts w:ascii="Arial" w:hAnsi="Arial"/>
          <w:sz w:val="22"/>
        </w:rPr>
        <w:t>Predaja naborov podatkov</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Dobavitelj bo na prvo zahtevo javne organizacije tej predal najnovejšo različico naborov podatkov javne organizacije.</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Dobavitelj bo na prvo zahtevo javne organizacije tej predal najnovejšo različico naborov podatkov dobavitelja in naborov podatkov tretjih oseb, razen če je v Prilogi B določeno drugače.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Dobavitelj mora nabore podatkov javni organizaciji predati v enotni datotečni obliki, ki jo določi javna organizacija. </w:t>
      </w:r>
      <w:r>
        <w:rPr>
          <w:rFonts w:ascii="Arial" w:hAnsi="Arial"/>
          <w:b/>
          <w:sz w:val="22"/>
        </w:rPr>
        <w:t>&lt;Neobvezno&gt; Nabori podatkov bodo vrnjeni v naslednji obliki: [datotečna oblika].</w:t>
      </w:r>
    </w:p>
    <w:p w14:paraId="35C1A037" w14:textId="77777777" w:rsidR="00BA16C1" w:rsidRPr="00BD0EE8" w:rsidRDefault="00BA16C1" w:rsidP="00BA16C1">
      <w:pPr>
        <w:rPr>
          <w:rFonts w:ascii="Arial" w:hAnsi="Arial" w:cs="Arial"/>
          <w:b/>
          <w:i/>
          <w:sz w:val="22"/>
          <w:szCs w:val="22"/>
        </w:rPr>
      </w:pPr>
    </w:p>
    <w:p w14:paraId="602C39D7" w14:textId="5D2535F1" w:rsidR="00DB24E3" w:rsidRPr="00BD0EE8" w:rsidRDefault="00D874CA" w:rsidP="00D874CA">
      <w:pPr>
        <w:pStyle w:val="doLijstnummering7"/>
        <w:numPr>
          <w:ilvl w:val="0"/>
          <w:numId w:val="0"/>
        </w:numPr>
        <w:rPr>
          <w:rFonts w:ascii="Arial" w:hAnsi="Arial" w:cs="Arial"/>
          <w:sz w:val="22"/>
          <w:szCs w:val="22"/>
        </w:rPr>
      </w:pPr>
      <w:r>
        <w:rPr>
          <w:rFonts w:ascii="Arial" w:hAnsi="Arial"/>
          <w:sz w:val="22"/>
        </w:rPr>
        <w:t>Člen 15</w:t>
      </w:r>
      <w:r>
        <w:rPr>
          <w:rFonts w:ascii="Arial" w:hAnsi="Arial"/>
          <w:sz w:val="22"/>
        </w:rPr>
        <w:tab/>
      </w:r>
      <w:r w:rsidR="00DB24E3">
        <w:rPr>
          <w:rFonts w:ascii="Arial" w:hAnsi="Arial"/>
          <w:sz w:val="22"/>
        </w:rPr>
        <w:t>Zavarovanje pred zahtevki</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Dobavitelj javno organizacijo zavaruje pred vsemi zahtevki tretjih oseb, vključno z nadzorniki, ki izhajajo iz kakršne koli kršitve pravic intelektualne lastnine, pravic do varstva podatkov ali enakovrednih pravic, ki so posledica uporabe umetnointeligenčnega sistema, naborov podatkov dobavitelja in/ali naborov podatkov tretjih oseb s strani javne organizacije.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Javna organizacija zavaruje dobavitelja pred vsemi zahtevki tretjih oseb, vključno z nadzorniki, ki izhajajo iz kakršne koli kršitve njihovih pravic intelektualne lastnine, pravic do zasebnosti ali enakovrednih pravic, ki so posledica uporabe naborov podatkov javne organizacije.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Priloga A – Umetnointeligenčni sistem in predvideni namen</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Opis umetnointeligenčnega sistema</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 xml:space="preserve">Na področje uporabe teh VPK UI nizkega tveganja spadajo naslednji sistemi ali komponente sistemov: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Opišite umetnointeligenčne sisteme. To je lahko tudi algoritemski sistem, ki se v skladu z aktom o umetni inteligenci ne uvršča med umetnointeligenčne sisteme.</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Predvideni namen</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Opišite predvideno uporabo umetnointeligenčnega sistema.</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Priloga B – Nabori podatkov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Opišite nabore podatkov, ki se uporabljajo za uč</w:t>
      </w:r>
      <w:r>
        <w:rPr>
          <w:rFonts w:ascii="Arial" w:hAnsi="Arial"/>
          <w:i/>
          <w:color w:val="000000"/>
          <w:sz w:val="22"/>
          <w:shd w:val="clear" w:color="auto" w:fill="FFFFFF"/>
        </w:rPr>
        <w:t>enje (če je to ustrezno), validacijo in testiranje umetnointeligenčnega sistema. Razlikujte med nabori podatkov javne organizacije ter nabori podatkov dobavitelja in nabori podatkov tretjih oseb. V primeru naborov podatkov javne organizacije opišite namene, za katere lahko dobavitelj uporablja nabore podatkov (ki niso povezani z izvajanjem sporazuma), in ali mora dobavitelj ob koncu trajanja sporazuma nabor podatkov uničiti. V primeru naborov podatkov dobavitelja in naborov podatkov tretjih oseb opišite namene, za katere lahko javna organizacija nabore podatkov uporablja, in ali mora dobavitelj nabore podatkov predati.</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Nabori podatkov javne organizacije</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Nabori podatkov, ki jih javna organizacija dobavitelju zagotovi v skladu s sporazumom oziroma se ustvarjajo ali zbirajo v okviru sporazuma: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Opis nabora podatkov</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Pravica dobavitelja do uporabe</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Obveznost uničenja nabora podatkov ob koncu trajanja sporazuma</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da/ne</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Nabori podatkov dobavitelja in nabori podatkov tretjih oseb</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Naslednji nabori podatkov dobavitelja in nabori podatkov tretjih oseb bodo ali so bili uporabljeni za učenje (če je to ustrezno), validacijo in testiranje umetnointeligenčnega sistema:</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Opis nabora podatkov</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Pravice javne organizacije do uporabe</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Obveznost predaje</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da/ne</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Priloga C – Tehnična dokumentacija</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Tehnična dokumentacija vsebuje vsaj naslednje informacije, kot velja za umetnointeligenčni sistem:</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splošni opis umetnointeligenčnega sistema, vključno z:</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njegovim predvidenim namenom, imenom dobavitelja in različico sistema, ki odraža njegovo razmerje do prejšnjih različic;</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opisom, kako lahko umetnointeligenčni sistem deluje vzajemno s strojno ali programsko opremo, vključno z drugimi umetnointeligenčnimi sistemi, ki ni del samega umetnointeligenčnega sistema, ali se lahko uporablja za vzajemno delovanje z njo, če je ustrezno;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različicami ustrezne programske opreme ali strojne programske opreme in morebitnimi zahtevami v zvezi s posodobitvijo različice;</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opisom strojne opreme, na kateri naj bi umetnointeligenčni sistem deloval;</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če je umetnointeligenčni sistem sestavni del izdelkov, fotografijami ali ilustracijami, ki prikazujejo zunanje značilnosti, oznake in notranjo razporeditev teh izdelkov;</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osnovnim opisom uporabniškega vmesnika, ki se zagotovi javni organizaciji;</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navodili za uporabo za uvajalca in, kadar je ustrezno, osnovnim opisom uporabniškega vmesnika;</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podroben opis elementov umetnointeligenčnega sistema in postopka za njegov razvoj, vključno z:</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metodami in ukrepi, izvedenimi za razvoj umetnointeligenčnega sistema, po potrebi vključno z uporabo prednaučenih sistemov ali orodij, ki so jih zagotovile tretje osebe, in načinom, kako jih je dobavitelj uporabil, integriral ali spremenil, vključno z opisom ureditev glede dovoljenj ali drugih pogodbenih ureditev, povezanih s takimi vhodnimi podatki tretjih oseb;</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specifikacijami zasnove sistema, in sicer splošno logiko umetnointeligenčnega sistema in algoritmov; ključnimi odločitvami glede zasnove sistema, vključno z utemeljitvijo in predpostavkami, tudi glede oseb ali skupin oseb, za katere naj bi se sistem uporabljal; glavnimi izbirami razvrstitve; informacijami o tem, kaj naj bi sistem optimiziral in kako pomembni so različni parametri; opisom pričakovanih izhodnih podatkov sistema in njihove kakovosti; odločitvami o morebitnih kompromisih glede tehničnih rešitev, sprejetih za izpolnitev zahtev iz teh VPK UI nizkega tveganja;</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opisom arhitekture sistema, ki pojasnjuje, kako se sestavni deli programske opreme medsebojno nadgrajujejo ali vzajemno učinkujejo in so vključeni v celotno obdelavo; računalniškimi viri, uporabljenimi za razvoj, učenje, testiranje in validacijo umetnointeligenčnega sistema;</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po potrebi zahtevami glede podatkov v zvezi s podatkovnimi listi, ki opisujejo metodologije in tehnike učenja ter uporabljene nabore učnih </w:t>
      </w:r>
      <w:r>
        <w:rPr>
          <w:rFonts w:ascii="Arial" w:hAnsi="Arial"/>
          <w:sz w:val="22"/>
        </w:rPr>
        <w:lastRenderedPageBreak/>
        <w:t>podatkov, vključno s splošnim opisom teh naborov podatkov, informacijami o njihovem izvoru, obsegu in glavnih značilnostih; načinom, kako so bili podatki pridobljeni in izbrani; postopki označevanja (npr. za nadzorovano učenje), metodologijami čiščenja podatkov (npr. odkrivanje osamelcev);</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oceno potrebnih ukrepov za človeški nadzor v skladu s temi VPK UI nizkega tveganja, vključno z oceno potrebnih tehničnih ukrepov, ki javni organizaciji olajšajo razlago izhodnih podatkov umetnointeligenčnih sistemov v skladu s temi VPK UI nizkega tveganja;</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če je primerno, podrobnim opisom vnaprej določenih sprememb umetnointeligenčnega sistema in njegovih zmogljivosti skupaj z vsemi ustreznimi informacijami v zvezi s tehničnimi rešitvami, sprejetimi za zagotovitev stalne skladnosti umetnointeligenčnega sistema z ustreznimi zahtevami iz teh VPK UI nizkega tveganja;</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uporabljenimi postopki validacije in testiranja, vključno z informacijami o uporabljenih validacijskih in testnih podatkih ter njihovih glavnih značilnostih; metrikami, uporabljenimi za merjenje točnosti, robustnosti in skladnosti z drugimi ustreznimi zahtevami iz teh VPK UI nizkega tveganja, pa tudi za merjenje potencialno diskriminatornih vplivov; dnevniki testiranj in vsemi poročili o testiranjih z datumi in podpisi odgovornih oseb, tudi v zvezi z vnaprej določenimi spremembami iz točke 2.5;</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vzpostavljenimi ukrepi za kibernetsko varnost;</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podrobne informacije o spremljanju, delovanju in nadzoru umetnointeligenčnega sistema, zlasti glede: njegovih zmogljivosti in omejitev delovanja, vključno s stopnjami točnosti za določene osebe ali skupine oseb, za katere naj bi se sistem uporabljal, in splošno pričakovano stopnjo točnosti glede na predvideni namen; predvidljivih nenamernih rezultatov in virov tveganj za zdravje in varnost, temeljne pravice in diskriminacijo glede na predvideni namen umetnointeligenčnega sistema;</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opis ustreznosti metrik zmogljivosti za umetnointeligenčni sistem;</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podroben opis sistema za obvladovanje tveganja v skladu s členom 2;</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opis morebitnih pomembnih sprememb sistema, ki jih dobavitelj izvede v njegovem življenjskem ciklu.</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Priloga D – Navodila za uporabo</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Navodila za uporabo vsebujejo vsaj naslednje informacije, kot velja za umetnointeligenčni sistem:</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istovetnost in kontaktne podatke dobavitelja in njegovih pooblaščenih zastopnikov, kadar ti obstajajo;</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značilnosti, zmogljivosti in omejitve zmogljivosti umetnointeligenčnega sistema, ki po potrebi vključujejo:</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predvideni namen;</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raven točnosti, vključno s pripadajočimi metrikami, robustnosti in kibernetske varnosti iz člena 8, na podlagi katere je bil umetnointeligenčni sistem testiran in validiran ter ki se lahko pričakuje, pa tudi vse jasno znane in predvidljive okoliščine, ki bi lahko vplivale na to pričakovano raven točnosti, robustnosti in kibernetske varnosti;</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vse znane ali predvidljive okoliščine, povezane z uporabo umetnointeligenčnega sistema v skladu s predvidenim namenom ali v razmerah razumno predvidljive napačne uporabe, ki lahko povzročijo tveganja za zdravje in varnost ali temeljne pravice;</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po potrebi tehnične zmogljivosti in značilnosti umetnointeligenčnega sistema za zagotavljanje informacij, ki so pomembne za pojasnitev njegovih izhodnih podatkov;</w:t>
      </w:r>
      <w:r>
        <w:rPr>
          <w:rFonts w:ascii="Arial" w:hAnsi="Arial"/>
          <w:sz w:val="22"/>
        </w:rPr>
        <w:c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kadar je primerno, njegovo zmogljivost v zvezi z določenimi osebami ali skupinami oseb, za katere naj bi se umetnointeligenčni sistem uporabljal;</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kadar je primerno, specifikacije za vhodne podatke ali katere koli druge ustrezne informacije v zvezi z uporabljenimi nabori učnih, validacijskih in testnih podatkov, ob upoštevanju predvidenega namena umetnointeligenčnega sistema;</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po potrebi informacije, da lahko javna organizacija razlaga izhodne podatke umetnointeligenčnega sistema in jih ustrezno uporablja;</w:t>
      </w:r>
      <w:r>
        <w:rPr>
          <w:rFonts w:ascii="Arial" w:hAnsi="Arial"/>
          <w:sz w:val="22"/>
        </w:rPr>
        <w:c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morebitne spremembe umetnointeligenčnega sistema in njegove zmogljivosti, ki jih je dobavitelj vnaprej določil;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ukrepe za človeški nadzor iz člena 7, vključno z vzpostavljenimi tehničnimi ukrepi, ki javni organizaciji olajšajo razlago izhodnih podatkov umetnointeligenčnega sistema;</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potrebne računalniške in strojnoopremne vire, pričakovano življenjsko dobo umetnointeligenčnega sistema ter vse potrebne vzdrževalne in oskrbovalne ukrepe, vključno z njihovo pogostostjo, za zagotovitev pravilnega delovanja tega umetnointeligenčnega sistema, tudi kar zadeva posodobitve programske opreme;</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lastRenderedPageBreak/>
        <w:t xml:space="preserve">po potrebi opis mehanizmov v umetnointeligenčnem sistemu, na podlagi katerih lahko javna organizacija pravilno zbira, hrani in razlaga dnevnike v skladu s členom 5 teh VPK UI nizkega tveganja.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Priloga E – Ukrepi za zagotavljanje preglednosti</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Tu opišite tehnične in organizacijske ukrepe, ki jih mora izvajati dobavitelj, da zagotovi preglednost v skladu s členom 6 VPK UI nizkega tveganja.</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Priloga F – Ukrepi za zagotavljanje človeškega nadzora</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Tu opišite tehnične in organizacijske ukrepe, ki jih mora izvajati dobavitelj, da zagotovi človeški nadzor v skladu s členom 7 VPK UI nizkega tveganja.</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Priloga G – Ravni točnosti</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Tu opišite zahtevane ravni točnosti.</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Priloga H – Ukrepi za zagotavljanje ustrezne ravni robustnosti, varnosti in kibernetske varnosti</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Tu opišite tehnične in organizacijske ukrepe, ki jih mora izvajati dobavitelj, da zagotovi ustrezno raven robustnosti, varnosti in kibernetske varnosti v skladu s členom 8 VPK UI nizkega tveganja.</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Ti ukrepi morajo zagotavljati, da je umetnointeligenčni sistem čim bolj odporen proti napakam, okvaram ali neskladnostim, ki se lahko pojavijo v sistemu ali okolju, v katerem sistem deluje, zlasti zaradi interakcije s fizičnimi osebami ali drugimi sistemi.</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Umetnointeligenčni sistem je odporen proti poskusom nepooblaščenih tretjih oseb, da bi z izkoriščanjem šibkih točk sistema spremenili njegovo uporabo, vedenje, izhodne podatke ali zmogljivost. Tehnične rešitve za odpravljanje šibkih točk, značilnih za umetno inteligenco, lahko po potrebi vključujejo ukrepe za preprečevanje, odkrivanje, odzivanje, reševanje in nadzor v zvezi z napadi, s katerimi se poskuša manipulirati z naborom učnih podatkov („zastrupitev podatkov“) ali prednaučenimi komponentami, uporabljenimi pri učenju („zastrupitev modela“), vhodnimi podatki, katerih namen je povzročiti napako modela („nasprotovalni primeri“ ali „izogibanje modelu“), napadi na zaupnost ali pomanjkljivostmi modela, ki bi lahko povzročile škodljivo odločanje.</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default" r:id="rId15"/>
      <w:footerReference w:type="even" r:id="rId16"/>
      <w:footerReference w:type="default" r:id="rId17"/>
      <w:head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1E363C">
          <w:rPr>
            <w:rStyle w:val="PageNumber"/>
            <w:rFonts w:ascii="Arial" w:hAnsi="Arial" w:cs="Arial"/>
            <w:b/>
            <w:color w:val="104D54"/>
          </w:rPr>
          <w:t>4</w:t>
        </w:r>
        <w:r w:rsidRPr="00B55AC3">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ab/>
        <w:t>Omejitev obveznosti predaje naborov podatkov dobavitelja in naborov podatkov tretjih oseb ne omejuje obveznosti dobavitelja, opisanih v členih 6 in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1D143BA"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rFonts w:ascii="Arial" w:hAnsi="Arial"/>
          <w:color w:val="FFFFFF" w:themeColor="background1"/>
          <w:sz w:val="20"/>
          <w:u w:val="single"/>
        </w:rPr>
        <w:t>Javno naročanje na področju umetne inteligence |</w:t>
      </w:r>
    </w:hyperlink>
    <w:hyperlink r:id="rId3" w:history="1">
      <w:r>
        <w:rPr>
          <w:rStyle w:val="Hyperlink"/>
          <w:rFonts w:ascii="Arial" w:hAnsi="Arial"/>
          <w:color w:val="FFFFFF" w:themeColor="background1"/>
          <w:sz w:val="20"/>
          <w:u w:val="single"/>
        </w:rPr>
        <w:t xml:space="preserve"> Skupnost javnih kupcev</w:t>
      </w:r>
    </w:hyperlink>
    <w:r>
      <w:rPr>
        <w:rFonts w:ascii="Arial" w:hAnsi="Arial"/>
        <w:color w:val="FFFFFF" w:themeColor="background1"/>
      </w:rPr>
      <w:tab/>
      <w:t xml:space="preserve">          </w:t>
    </w:r>
    <w:r>
      <w:rPr>
        <w:rFonts w:ascii="Arial" w:hAnsi="Arial"/>
        <w:b/>
        <w:color w:val="FFFFFF" w:themeColor="background1"/>
      </w:rPr>
      <w:tab/>
      <w:t>VPK UI nizkega tveganja</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5832F38C"/>
    <w:lvl w:ilvl="0">
      <w:start w:val="1"/>
      <w:numFmt w:val="decimal"/>
      <w:pStyle w:val="doLijstnummering7"/>
      <w:lvlText w:val="Article %1"/>
      <w:lvlJc w:val="left"/>
      <w:pPr>
        <w:tabs>
          <w:tab w:val="num" w:pos="851"/>
        </w:tabs>
        <w:ind w:left="851" w:hanging="851"/>
      </w:pPr>
      <w:rPr>
        <w:rFonts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2060"/>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C610B"/>
    <w:rsid w:val="00AF0004"/>
    <w:rsid w:val="00AF141A"/>
    <w:rsid w:val="00AF6623"/>
    <w:rsid w:val="00B063EF"/>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5181A"/>
    <w:rsid w:val="00C52417"/>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874CA"/>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7338C"/>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l-SI"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sl-SI"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sl-SI"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sl-SI"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sl-SI"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sl-SI"/>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2.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3.xml><?xml version="1.0" encoding="utf-8"?>
<ds:datastoreItem xmlns:ds="http://schemas.openxmlformats.org/officeDocument/2006/customXml" ds:itemID="{A61B6CDC-D0B6-48C0-AB48-031C90064C5D}">
  <ds:schemaRefs>
    <ds:schemaRef ds:uri="http://schemas.microsoft.com/sharepoint/v3/contenttype/forms"/>
  </ds:schemaRefs>
</ds:datastoreItem>
</file>

<file path=customXml/itemProps4.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5.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21</Pages>
  <Words>4455</Words>
  <Characters>29054</Characters>
  <Application>Microsoft Office Word</Application>
  <DocSecurity>0</DocSecurity>
  <Lines>645</Lines>
  <Paragraphs>226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KAVAS PUC Natasa (DGT)</cp:lastModifiedBy>
  <cp:revision>4</cp:revision>
  <cp:lastPrinted>2023-10-05T08:08:00Z</cp:lastPrinted>
  <dcterms:created xsi:type="dcterms:W3CDTF">2025-05-08T14:26:00Z</dcterms:created>
  <dcterms:modified xsi:type="dcterms:W3CDTF">2025-05-21T08:33:00Z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