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9C198A" w:rsidP="00876ED4">
      <w:pPr>
        <w:ind w:left="-57"/>
      </w:pPr>
      <w:hyperlink r:id="rId13" w:history="1">
        <w:r>
          <w:rPr>
            <w:rStyle w:val="Hyperlink"/>
            <w:rFonts w:ascii="Arial" w:hAnsi="Arial"/>
            <w:b/>
            <w:sz w:val="44"/>
          </w:rPr>
          <w:t>Forumet för</w:t>
        </w:r>
        <w:r>
          <w:rPr>
            <w:rStyle w:val="Hyperlink"/>
          </w:rPr>
          <w:t xml:space="preserve"> </w:t>
        </w:r>
        <w:r>
          <w:rPr>
            <w:rStyle w:val="Hyperlink"/>
          </w:rPr>
          <w:br/>
        </w:r>
      </w:hyperlink>
      <w:hyperlink r:id="rId14" w:history="1">
        <w:r>
          <w:rPr>
            <w:rStyle w:val="Hyperlink"/>
            <w:rFonts w:ascii="Arial" w:hAnsi="Arial"/>
            <w:b/>
            <w:sz w:val="44"/>
          </w:rPr>
          <w:t>upphandling av AI-system</w:t>
        </w:r>
      </w:hyperlink>
      <w:r>
        <w:br w:type="page"/>
      </w:r>
      <w:r>
        <w:rPr>
          <w:noProof/>
        </w:rP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33D22C17"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Version från februari 2025 </w:t>
                            </w:r>
                            <w:r w:rsidR="009C198A">
                              <w:rPr>
                                <w:rFonts w:ascii="Arial" w:hAnsi="Arial"/>
                                <w:color w:val="104D55"/>
                                <w:sz w:val="36"/>
                              </w:rPr>
                              <w:br/>
                            </w:r>
                            <w:r>
                              <w:rPr>
                                <w:rFonts w:ascii="Arial" w:hAnsi="Arial"/>
                                <w:color w:val="104D55"/>
                                <w:sz w:val="36"/>
                              </w:rPr>
                              <w:t xml:space="preserve">– Upphandling av AI-system utan hög risk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33D22C17"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Version från februari 2025 </w:t>
                      </w:r>
                      <w:r w:rsidR="009C198A">
                        <w:rPr>
                          <w:rFonts w:ascii="Arial" w:hAnsi="Arial"/>
                          <w:color w:val="104D55"/>
                          <w:sz w:val="36"/>
                        </w:rPr>
                        <w:br/>
                      </w:r>
                      <w:r>
                        <w:rPr>
                          <w:rFonts w:ascii="Arial" w:hAnsi="Arial"/>
                          <w:color w:val="104D55"/>
                          <w:sz w:val="36"/>
                        </w:rPr>
                        <w:t xml:space="preserve">– Upphandling av AI-system utan hög risk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4CAB806F" w:rsidR="007E2E87" w:rsidRPr="00CF3CDB" w:rsidRDefault="007E2E87" w:rsidP="007E2E87">
                            <w:pPr>
                              <w:pStyle w:val="TITLEStyle"/>
                            </w:pPr>
                            <w:bookmarkStart w:id="0" w:name="_Hlk189829106"/>
                            <w:r>
                              <w:t>Standardavtalsklausuler för offentlig upphandling av AI-system utan hög risk</w:t>
                            </w:r>
                            <w:bookmarkEnd w:id="0"/>
                            <w:r>
                              <w:t xml:space="preserve"> </w:t>
                            </w:r>
                            <w:r w:rsidR="00B23CBD">
                              <w:br/>
                            </w:r>
                            <w:r>
                              <w:t>(MCC-AI-Light)</w:t>
                            </w:r>
                          </w:p>
                          <w:p w14:paraId="7F27BF72" w14:textId="040D44C0" w:rsidR="00CF3CDB" w:rsidRPr="00CF3CDB" w:rsidRDefault="00F237EA" w:rsidP="00036BE2">
                            <w:pPr>
                              <w:pStyle w:val="TITLEStyle"/>
                            </w:pP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4CAB806F" w:rsidR="007E2E87" w:rsidRPr="00CF3CDB" w:rsidRDefault="007E2E87" w:rsidP="007E2E87">
                      <w:pPr>
                        <w:pStyle w:val="TITLEStyle"/>
                      </w:pPr>
                      <w:bookmarkStart w:id="1" w:name="_Hlk189829106"/>
                      <w:r>
                        <w:t>Standardavtalsklausuler för offentlig upphandling av AI-system utan hög risk</w:t>
                      </w:r>
                      <w:bookmarkEnd w:id="1"/>
                      <w:r>
                        <w:t xml:space="preserve"> </w:t>
                      </w:r>
                      <w:r w:rsidR="00B23CBD">
                        <w:br/>
                      </w:r>
                      <w:r>
                        <w:t>(MCC-AI-Light)</w:t>
                      </w:r>
                    </w:p>
                    <w:p w14:paraId="7F27BF72" w14:textId="040D44C0" w:rsidR="00CF3CDB" w:rsidRPr="00CF3CDB" w:rsidRDefault="00F237EA" w:rsidP="00036BE2">
                      <w:pPr>
                        <w:pStyle w:val="TITLEStyle"/>
                      </w:pPr>
                      <w:r>
                        <w:t>-</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ANSVARSFRISKRIVNING</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Detta arbetsdokument har tagits fram av Europeiska kommissionen till stöd för forumet för upphandling av AI-system, i syfte att vägleda offentliga förvaltningar vid upphandlingen av AI-lösningar. Arbetet pågår fortfarande med detta arbetsdokument och det återspeglar inte en officiell ståndpunkt från Europeiska kommissionens sida.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Aktörer som väljer att använda detta arbetsdokument bär det fulla ansvaret för dess användning vid offentlig upphandling.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Dessa standardklausuler för AI-system utan hög risk påverkar inte tillämpningen av de krav som härrör från AI-förordningen.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ANSVARSFRISKRIVNING</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Detta arbetsdokument har tagits fram av Europeiska kommissionen till stöd för forumet för upphandling av AI-system, i syfte att vägleda offentliga förvaltningar vid upphandlingen av AI-lösningar. Arbetet pågår fortfarande med detta arbetsdokument och det återspeglar inte en officiell ståndpunkt från Europeiska kommissionens sida.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Aktörer som väljer att använda detta arbetsdokument bär det fulla ansvaret för dess användning vid offentlig upphandling.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Dessa standardklausuler för AI-system utan hög risk påverkar inte tillämpningen av de krav som härrör från AI-förordningen.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Avsnitt A – Definitioner</w:t>
      </w:r>
    </w:p>
    <w:p w14:paraId="1DD14AC7" w14:textId="4A871940" w:rsidR="00F9102F" w:rsidRPr="0010258B" w:rsidRDefault="00F9102F" w:rsidP="000F1F04">
      <w:pPr>
        <w:pStyle w:val="doLijstnummering7"/>
        <w:rPr>
          <w:rFonts w:ascii="Arial" w:eastAsia="Calibri" w:hAnsi="Arial" w:cs="Arial"/>
          <w:color w:val="3B3838" w:themeColor="background2" w:themeShade="40"/>
          <w:sz w:val="22"/>
          <w:szCs w:val="22"/>
        </w:rPr>
      </w:pPr>
      <w:r>
        <w:rPr>
          <w:rFonts w:ascii="Arial" w:hAnsi="Arial"/>
          <w:color w:val="3B3838" w:themeColor="background2" w:themeShade="40"/>
          <w:sz w:val="22"/>
        </w:rPr>
        <w:t>Definitioner: termerna i standardavtalsklausulerna för offentlig upphandling av AI-system utan hög risk har den betydelse som anges i denna artikel.</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i/>
          <w:iCs/>
          <w:sz w:val="22"/>
        </w:rPr>
        <w:t>avtal</w:t>
      </w:r>
      <w:r>
        <w:rPr>
          <w:rFonts w:ascii="Arial" w:hAnsi="Arial"/>
          <w:sz w:val="22"/>
        </w:rPr>
        <w:t>: hela det avtal i vilket MCC-AI-Light ingår som en integrerad del.</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i/>
          <w:iCs/>
          <w:sz w:val="22"/>
        </w:rPr>
        <w:t>AI-system</w:t>
      </w:r>
      <w:r>
        <w:rPr>
          <w:rFonts w:ascii="Arial" w:hAnsi="Arial"/>
          <w:sz w:val="22"/>
        </w:rPr>
        <w:t xml:space="preserve">: AI-system enligt </w:t>
      </w:r>
      <w:r>
        <w:rPr>
          <w:rFonts w:ascii="Arial" w:hAnsi="Arial"/>
          <w:b/>
          <w:sz w:val="22"/>
        </w:rPr>
        <w:t>bilaga A</w:t>
      </w:r>
      <w:r>
        <w:rPr>
          <w:rFonts w:ascii="Arial" w:hAnsi="Arial"/>
          <w:sz w:val="22"/>
        </w:rPr>
        <w:t xml:space="preserve">, inbegripet eventuella nya versioner av denna bilaga.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i/>
          <w:iCs/>
          <w:sz w:val="22"/>
        </w:rPr>
        <w:t>MCC-AI-Light</w:t>
      </w:r>
      <w:r>
        <w:rPr>
          <w:rFonts w:ascii="Arial" w:hAnsi="Arial"/>
          <w:sz w:val="22"/>
        </w:rPr>
        <w:t>: dessa standardavtalsklausuler för offentliga organisationers upphandling av AI-system utan hög risk.</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i/>
          <w:iCs/>
          <w:sz w:val="22"/>
        </w:rPr>
        <w:t>offentliga organisationers dataset</w:t>
      </w:r>
      <w:r>
        <w:rPr>
          <w:rFonts w:ascii="Arial" w:hAnsi="Arial"/>
          <w:sz w:val="22"/>
        </w:rPr>
        <w:t>: dataset (eller delar av dataset) i) som tillhandahålls av en offentlig organisation till leverantören enligt avtalet eller ii) som ska skapas eller samlas in som en del av avtalet, inklusive eventuella ändrade eller utvidgade versioner av de dataset som avses i i) och ii) (till exempel på grund av annotation, märkning, rensning, förädling eller aggregering).</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i/>
          <w:iCs/>
          <w:sz w:val="22"/>
        </w:rPr>
        <w:t>dataset</w:t>
      </w:r>
      <w:r>
        <w:rPr>
          <w:rFonts w:ascii="Arial" w:hAnsi="Arial"/>
          <w:sz w:val="22"/>
        </w:rPr>
        <w:t xml:space="preserve">: alla dataset som används vid utvecklingen av AI-systemet, inklusive det eller de dataset som beskrivs i </w:t>
      </w:r>
      <w:r>
        <w:rPr>
          <w:rFonts w:ascii="Arial" w:hAnsi="Arial"/>
          <w:b/>
          <w:sz w:val="22"/>
        </w:rPr>
        <w:t>bilaga B</w:t>
      </w:r>
      <w:r>
        <w:rPr>
          <w:rFonts w:ascii="Arial" w:hAnsi="Arial"/>
          <w:sz w:val="22"/>
        </w:rPr>
        <w:t>.</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i/>
          <w:iCs/>
          <w:sz w:val="22"/>
        </w:rPr>
        <w:t>leverans</w:t>
      </w:r>
      <w:r>
        <w:rPr>
          <w:rFonts w:ascii="Arial" w:hAnsi="Arial"/>
          <w:sz w:val="22"/>
        </w:rPr>
        <w:t>: den tidpunkt då leverantören informerar den offentliga organisationen om att AI-systemet uppfyller alla överenskomna villkor och är färdigt att användas.</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i/>
          <w:iCs/>
          <w:sz w:val="22"/>
        </w:rPr>
        <w:t>avsett ändamål</w:t>
      </w:r>
      <w:r>
        <w:rPr>
          <w:rFonts w:ascii="Arial" w:hAnsi="Arial"/>
          <w:sz w:val="22"/>
        </w:rPr>
        <w:t>: den användning för vilken ett AI-system är avsett av den offentliga organisationen, inbegripet det specifika användningssammanhanget och de specifika användningsvillkoren, enligt specifikationerna i bilaga B och de uppgifter som tillhandahålls av leverantören i bruksanvisningen, reklam- eller försäljningsmaterial och uttalanden, samt i den tekniska dokumentationen.</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i/>
          <w:iCs/>
          <w:color w:val="000000"/>
          <w:sz w:val="22"/>
          <w:shd w:val="clear" w:color="auto" w:fill="FFFFFF"/>
        </w:rPr>
        <w:t>rimligen förutsebar felaktig användning</w:t>
      </w:r>
      <w:r>
        <w:rPr>
          <w:rFonts w:ascii="Arial" w:hAnsi="Arial"/>
          <w:color w:val="000000"/>
          <w:sz w:val="22"/>
          <w:shd w:val="clear" w:color="auto" w:fill="FFFFFF"/>
        </w:rPr>
        <w:t>: användning av AI-systemet på ett sätt som inte överensstämmer med dess avsedda ändamål, men som kan vara resultatet av rimligen förutsebart mänskligt beteende eller interaktion med andra system. inbegripet andra AI-system.</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i/>
          <w:iCs/>
          <w:sz w:val="22"/>
        </w:rPr>
        <w:t>väsentlig ändring</w:t>
      </w:r>
      <w:r>
        <w:rPr>
          <w:rFonts w:ascii="Arial" w:hAnsi="Arial"/>
          <w:sz w:val="22"/>
        </w:rPr>
        <w:t>: en ändring av AI-systemet efter leveransen som påverkar AI-systemets uppfyllelse av de krav som anges i MCC-AI-Light eller leder till en ändring av det avsedda ändamålet.</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i/>
          <w:iCs/>
          <w:sz w:val="22"/>
        </w:rPr>
        <w:t>leverantör</w:t>
      </w:r>
      <w:r>
        <w:rPr>
          <w:rFonts w:ascii="Arial" w:hAnsi="Arial"/>
          <w:sz w:val="22"/>
        </w:rPr>
        <w:t>: fysisk eller juridisk person, offentlig myndighet, byrå eller annat organ som tillhandahåller AI-systemet till den offentliga organisationen enligt avtalet.</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i/>
          <w:iCs/>
          <w:sz w:val="22"/>
        </w:rPr>
        <w:t>leverantörens dataset och tredje parts dataset</w:t>
      </w:r>
      <w:r>
        <w:rPr>
          <w:rFonts w:ascii="Arial" w:hAnsi="Arial"/>
          <w:sz w:val="22"/>
        </w:rPr>
        <w:t>: dataset (eller delar av dataset) som inte uppfyller kraven för att betraktas som offentliga organisationers dataset.</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Avsnitt B – Grundläggande krav avseende AI-systemet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Riskhanteringssystem</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Leverantören säkerställer, före leveransen av AI-systemet, att ett riskhanteringssystem för AI-systemet inrättas, genomförs, dokumenteras och underhålls.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Riskhanteringssystemet ska åtminstone omfatta följande steg:</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Identifiering, uppskattning och utvärdering av de kända och rimligen förutsebara risker som AI-systemet kan medföra för hälsa, säkerhet och grundläggande rättigheter när AI-systemet används i enlighet med sitt avsedda ändamål.</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Uppskattning och utvärdering av de risker som kan uppstå när AI-systemet används i enlighet med sitt avsedda ändamål och under förhållanden där det kan förekomma rimligen förutsebar felaktig användning.</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Utvärdering av andra risker som eventuellt kan uppstå på grundval av en analys av data som samlats in från systemet för övervakning efter utsläppande på marknaden.</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Antagande av lämpliga och riktade riskhanteringsåtgärder utformade för att hantera de risker som identifierats enligt led a i denna punkt, i enlighet med bestämmelserna i följande punkter.</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De risker som avses i denna artikel ska endast gälla sådana risker som rimligen kan</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begränsas eller elimineras genom utveckling eller utformning av AI-systemet eller tillhandahållande av adekvat teknisk information.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För de risker som avses i denna artikel ska vederbörlig hänsyn tas till de effekter och den möjliga interaktion som följer av den kombinerade tillämpningen av kraven i avsnitt B, i syfte att minimera riskerna mer effektivt och samtidigt uppnå en lämplig balans i genomförandet av åtgärderna för att uppfylla dessa krav.</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De riskhanteringsåtgärder som avses i artikel 2.2 d ska vara sådana att relevanta kvarvarande risker förknippade med varje fara samt den totala kvarvarande risken i AI-systemet bedöms vara acceptabla av leverantören, förutsatt att AI-systemet används i enlighet med det avsedda ändamålet eller under förhållanden där det kan förekomma rimligen förutsebar felaktig användning.</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Vid fastställandet av de lämpligaste riskhanteringsåtgärderna, som avses i artikel 2.2 d, ska följande säkerställas:</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Eliminering eller minskning av risker som identifierats och utvärderats enligt artikel 2.2 så långt som är tekniskt möjligt genom lämplig utformning och utveckling av AI-systemet.</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När det är lämpligt, genomförande av lämpliga begränsnings- och kontrollåtgärder för att hantera risker som inte kan elimineras.</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Tillhandahållande av lämplig information till den offentliga organisationen och, i förekommande fall, utbildning för tillhandahållare.</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t xml:space="preserve">Leverantören säkerställer att AI-systemet, före leveransen, testas för att identifiera om AI-systemet överensstämmer med MCC-AI-Light och om de </w:t>
      </w:r>
      <w:r>
        <w:rPr>
          <w:rFonts w:ascii="Arial" w:hAnsi="Arial"/>
          <w:sz w:val="22"/>
        </w:rPr>
        <w:lastRenderedPageBreak/>
        <w:t>riskhanteringsåtgärder som avses i artikel 2.2 d är effektiva sett till det avsedda ändamålet och rimligen förutsebar felaktig användning.</w:t>
      </w:r>
      <w:r>
        <w:rPr>
          <w:rFonts w:ascii="Arial" w:hAnsi="Arial"/>
          <w:sz w:val="22"/>
          <w:bdr w:val="none" w:sz="0" w:space="0" w:color="auto" w:frame="1"/>
        </w:rPr>
        <w:t xml:space="preserve"> På begäran av den offentliga organisationen är leverantören skyldig att testa AI-systemet i den offentliga organisationens miljö.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Testning av AI-systemet ska utföras när som helst under hela utvecklingsprocessen, beroende på vad som är lämpligt, och i alla händelser före leveransen. Testning ska utföras på grundval av i förväg definierade mått och sannolikhetsgränser som är lämpliga för AI-systemets avsedda ändamål.</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Alla risker som identifieras, åtgärder som vidtas och tester som utförs kopplat till efterlevnaden av denna artikel måste dokumenteras av leverantören. Leverantören ska göra denna dokumentation tillgänglig för den offentliga organisationen åtminstone vid tidpunkten för leveransen av AI-systemet. Denna dokumentation kan vara en del av den tekniska dokumentationen och/eller bruksanvisningen.</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Riskhanteringssystemet ska förstås som en kontinuerlig och iterativ process som planeras och löper under hela avtalets löptid. Efter leveransen av AI-systemet måste leverantören därför</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regelbundet se över och uppdatera riskhanteringsprocessen för att säkerställa dess fortsatta effektivitet,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rPr>
        <w:t>hålla den dokumentation som beskrivs i artikel 2.7 uppdaterad,</w:t>
      </w:r>
      <w:r>
        <w:rPr>
          <w:rFonts w:ascii="Arial" w:hAnsi="Arial"/>
          <w:sz w:val="22"/>
          <w:bdr w:val="none" w:sz="0" w:space="0" w:color="auto" w:frame="1"/>
        </w:rPr>
        <w:t xml:space="preserve"> och</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utan dröjsmål göra varje ny version av den dokumentation som beskrivs i artikel 2.7 tillgänglig för den offentliga organisationen.</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Om det rimligen krävs för att leverantören ska kunna utföra riskhanteringssystemet på ett korrekt sätt, ska den offentliga organisationen på begäran förse leverantören med information, förutsatt att denna inte är konfidentiell.</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&lt;Frivilligt&gt;</w:t>
      </w:r>
      <w:r>
        <w:rPr>
          <w:rFonts w:ascii="Arial" w:hAnsi="Arial"/>
          <w:sz w:val="22"/>
          <w:bdr w:val="none" w:sz="0" w:space="0" w:color="auto" w:frame="1"/>
        </w:rPr>
        <w:t xml:space="preserve"> Om den offentliga organisationens användning av AI-systemet fortsätter efter avtalets löptid, ska leverantören i slutet av avtalets löptid förse den offentliga organisationen med den information som krävs för att upprätthålla riskhanteringssystemet på egen hand.</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&lt;Artikel 3 är endast relevant för AI-system som använder teknik som inbegriper träning av modeller med data. För artikel 3 förutsätts att leverantören (eller dennes underleverantörer) har fullständig åtkomst till dataseten. Om dataseten uteslutande innehas av den offentliga organisationen är det nödvändigt att göra andra arrangemang.&gt;</w:t>
      </w:r>
      <w:r>
        <w:rPr>
          <w:rFonts w:ascii="Arial" w:hAnsi="Arial"/>
          <w:sz w:val="22"/>
        </w:rPr>
        <w:t xml:space="preserve"> Data och dataförvaltning</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Leverantören säkerställer att de dataset som används vid utvecklingen av AI-systemet, inklusive träning, validering och testning, har varit och ska vara föremål för metoder för dataförvaltning och datahantering som är lämpliga för AI-systemets avsedda ändamål. Dessa metoder ska särskilt avse</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relevanta utformningsval,</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datainsamlingsprocesser och uppgifternas ursprung samt, när det gäller personuppgifter, datainsamlingens ursprungliga ändamål,</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lastRenderedPageBreak/>
        <w:t>relevant datapreparering för databehandling, såsom annotation, märkning, rensning, uppdatering, förädling och aggregering,</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formulering av antaganden, särskilt när det gäller den information som berörda data förväntas beskriva och representera,</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en bedömning av tillgängligheten, mängden och lämpligheten avseende de dataset som behövs,</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undersökning med avseende på eventuella biaser som sannolikt kommer att påverka människors hälsa och säkerhet, inverka negativt på grundläggande rättigheter eller leda till diskriminering som är förbjuden enligt unionsrätten, särskilt när utdata påverkar indata för framtida drift,</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lämpliga åtgärder för att upptäcka, förebygga och begränsa eventuella biaser som identifierats enligt led f,</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identifiering av relevanta dataluckor eller brister som hindrar efterlevnad av MCC-AI-Light, och hur dessa luckor och brister kan åtgärdas.</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Leverantören säkerställer att de dataset som används vid utvecklingen av AI-systemet är relevanta, tillräckligt representativa och, så långt som möjligt, fria från fel och fullständiga i förhållande till det avsedda ändamålet.</w:t>
      </w:r>
      <w:r>
        <w:rPr>
          <w:rFonts w:ascii="Arial" w:hAnsi="Arial"/>
          <w:sz w:val="22"/>
          <w:bdr w:val="none" w:sz="0" w:space="0" w:color="auto" w:frame="1"/>
        </w:rPr>
        <w:t xml:space="preserve"> Leverantören säkerställer att dataseten har lämpliga statistiska egenskaper, inbegripet, i förekommande fall, vad gäller de personer eller grupper av personer med avseende på vilka AI-systemet är avsett att användas. Dessa egenskaper hos dataseten ska uppfyllas på nivån för enskilda dataset eller en kombination av dessa.</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Leverantören säkerställer att de dataset som används vid utvecklingen av AI-systemet, i den mån som krävs med hänsyn till det avsedda ändamålet eller rimligen förutsebar felaktig användning, beaktar de egenskaper eller element som är utmärkande för just den specifika geografiska, kontextuella, beteendemässiga eller funktionsmässiga situation där AI-systemet är avsett att användas.</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Skyldigheterna enligt denna artikel gäller inte bara utvecklingen av AI-systemet före leveransen, utan även all användning av dataset från leverantörens sida som kan påverka AI-systemets funktion vid någon annan tidpunkt under avtalets löptid.</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Teknisk dokumentation och bruksanvisning</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Leverantörens leverans av AI-systemet innefattar överlämnandet av teknisk dokumentation och en bruksanvisning.</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Den tekniska dokumentationen ska göra det möjligt för den offentliga organisationen eller en tredje part att bedöma AI-systemets överensstämmelse med kraven i MCC-AI-Light och åtminstone uppfylla villkoren i </w:t>
      </w:r>
      <w:r>
        <w:rPr>
          <w:rFonts w:ascii="Arial" w:hAnsi="Arial"/>
          <w:b/>
          <w:sz w:val="22"/>
        </w:rPr>
        <w:t>bilaga C</w:t>
      </w:r>
      <w:r>
        <w:rPr>
          <w:rFonts w:ascii="Arial" w:hAnsi="Arial"/>
          <w:sz w:val="22"/>
        </w:rPr>
        <w:t xml:space="preserve">.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Bruksanvisningen ska innehålla kortfattad, fullständig, korrekt och tydlig information som är relevant, tillgänglig och begriplig för den offentliga organisationen.</w:t>
      </w:r>
      <w:r>
        <w:rPr>
          <w:rFonts w:ascii="Arial" w:hAnsi="Arial"/>
          <w:color w:val="000000"/>
          <w:sz w:val="22"/>
          <w:shd w:val="clear" w:color="auto" w:fill="FFFFFF"/>
        </w:rPr>
        <w:t xml:space="preserve"> </w:t>
      </w:r>
      <w:r>
        <w:rPr>
          <w:rFonts w:ascii="Arial" w:hAnsi="Arial"/>
          <w:sz w:val="22"/>
        </w:rPr>
        <w:t xml:space="preserve">Bruksanvisningen ska åtminstone uppfylla villkoren i </w:t>
      </w:r>
      <w:r>
        <w:rPr>
          <w:rFonts w:ascii="Arial" w:hAnsi="Arial"/>
          <w:b/>
          <w:sz w:val="22"/>
        </w:rPr>
        <w:t>bilaga D</w:t>
      </w:r>
      <w:r>
        <w:rPr>
          <w:rFonts w:ascii="Arial" w:hAnsi="Arial"/>
          <w:sz w:val="22"/>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t>Leverantören måste uppdatera denna dokumentation åtminstone vid varje väsentlig ändring under avtalets löptid och därefter göra den tillgänglig för den offentliga organisationen.</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&lt;Frivilligt&gt;</w:t>
      </w:r>
      <w:r>
        <w:rPr>
          <w:rFonts w:ascii="Arial" w:hAnsi="Arial"/>
          <w:sz w:val="22"/>
        </w:rPr>
        <w:t xml:space="preserve"> Den tekniska dokumentationen och bruksanvisningen ska vara avfattade på engelska.</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lastRenderedPageBreak/>
        <w:t>&lt;Frivilligt&gt;</w:t>
      </w:r>
      <w:r>
        <w:rPr>
          <w:rFonts w:ascii="Arial" w:hAnsi="Arial"/>
          <w:sz w:val="22"/>
        </w:rPr>
        <w:t xml:space="preserve"> Den offentliga organisationen har rätt att göra kopior av den tekniska dokumentationen och bruksanvisningen i den utsträckning som krävs för intern användning inom den offentliga organisationens organisation, utan att detta påverkar tillämpningen av bestämmelserna i artiklarna 6 och 11.</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Loggning</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Leverantören säkerställer att AI-systemet tekniskt ska möjliggöra automatisk registrering av händelser (loggar) under hela AI-systemets livstid.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Loggningskapaciteten ska säkerställa en spårbarhetsnivå för AI-systemet som är lämplig för systemets avsedda ändamål och rimligen förutsebar felaktig användning. Den ska göra det möjligt att registrera händelser som är relevanta för identifieringen av situationer som kan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resultera i att AI-systemet utgör en risk för personers hälsa eller säkerhet eller för skyddet av grundläggande rättigheter, eller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leda till en väsentlig ändring.</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 xml:space="preserve">&lt;Frivilligt&gt; </w:t>
      </w:r>
      <w:r>
        <w:rPr>
          <w:rFonts w:ascii="Arial" w:hAnsi="Arial"/>
          <w:sz w:val="22"/>
        </w:rPr>
        <w:t>Leverantören ska låta den offentliga organisationen komma åt de loggar som genereras automatiskt av AI-systemet i realtid.</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Leverantören ska spara de loggar som genereras automatiskt av AI-systemet, i den mån sådana loggar står under dess kontroll baserat på avtalet, under avtalets löptid. Vid slutet av avtalets löptid ska leverantören utan dröjsmål tillhandahålla den offentliga organisationen dessa loggar.</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AI-systemets transparens</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Leverantören säkerställer att AI-systemet har utformats och utvecklats och kommer att utformas och utvecklas på ett sådant sätt att driften av AI-systemet är tillräckligt transparent för att den offentliga organisationen ska kunna tolka systemets utdata och använda dem på lämpligt sätt.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AI-systemet ska åtföljas av en bruksanvisning i ett lämpligt digitalt format eller annat format som inbegriper kortfattad, fullständig, korrekt och tydlig information som är relevant, tillgänglig och begriplig för den offentliga organisationen.</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Bruksanvisningen ska åtminstone innehålla följande information:</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Identitet och kontaktuppgifter för leverantören och i tillämpliga fall för dennes ombud.</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Egenskaperna, kapaciteten och prestandabegränsningarna hos AI-systemet med hög risk, inbegripet</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dess avsedda ändamål,</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den nivå avseende riktighet, inbegripet mätningarna av denna, robusthet och cybersäkerhet mot vilken AI-systemet har testats och validerats och som kan förväntas, samt alla kända och förutsebara omständigheter som kan påverka den förväntade riktighets-, robusthets- och cybersäkerhetsnivån,</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 xml:space="preserve">varje känd eller förutsebar omständighet som har samband med användningen av AI-systemet i enlighet med dess avsedda ändamål </w:t>
      </w:r>
      <w:r>
        <w:rPr>
          <w:rFonts w:ascii="Arial" w:hAnsi="Arial"/>
          <w:sz w:val="22"/>
        </w:rPr>
        <w:lastRenderedPageBreak/>
        <w:t>eller under förhållanden där det kan förekomma rimligen förutsebar felaktig användning, som kan leda till risker för hälsa och säkerhet eller grundläggande rättigheter,</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i tillämpliga fall, den tekniska kapaciteten och de tekniska egenskaperna hos AI-systemet med avseende på att tillhandahålla information som är relevant för att förklara dess utdata,</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när så är lämpligt, dess prestanda vad gäller specifika personer eller grupper av personer som omfattas av den avsedda användningen av systemet,</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i tillämpliga fall, specifikationer för indata eller all annan relevant information i fråga om de tränings-, validerings- och testdataset som används, med beaktande av AI-systemets avsedda ändamål,</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när så är tillämpligt, information som gör det möjligt för den offentliga organisationen att tolka utdata från AI-systemet och använda dem på lämpligt sätt.</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Eventuella ändringar av AI-systemet och dess prestanda som leverantören har fastställt på förhand vid tidpunkten för den inledande bedömningen av överensstämmelse.</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Åtgärderna för mänsklig kontroll, inbegripet de tekniska åtgärder som införts för att underlätta tillhandahållarnas tolkning av utdata från AI-systemet.</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De data- och maskinvaruresurser som krävs, den förväntade livstiden för AI-systemet och alla nödvändiga underhålls- och omsorgsåtgärder, inbegripet deras frekvens, för att säkerställa att AI-systemet fungerar korrekt, även när det gäller programvaruuppdateringar.</w:t>
      </w:r>
    </w:p>
    <w:p w14:paraId="5BA38C5D" w14:textId="42F5F2BF"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I förekommande fall, en beskrivning av de mekanismer som ingår i AI-systemet vilka gör det möjligt för tillhandahållarna att korrekt samla in, lagra och tolka loggarna, för att säkerställa lämplig transparens före leveransen av AI-systemet</w:t>
      </w:r>
      <w:r w:rsidR="00B23CBD">
        <w:rPr>
          <w:rFonts w:ascii="Arial" w:hAnsi="Arial"/>
          <w:sz w:val="22"/>
        </w:rPr>
        <w:t>.</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För att säkerställa lämplig transparens ska leverantören, före leveransen av AI-systemet, genomföra åtminstone de tekniska och organisatoriska åtgärder som beskrivs i bilaga E.</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Mänsklig kontroll</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Leverantören säkerställer att AI-systemet har utformats och utvecklats och ska utformas och utvecklas på ett sådant sätt, inbegripet med lämpliga verktyg för gränssnittet mellan människa och maskin, att fysiska personer på ett effektivt sätt kan utöva kontroll över det under den period under vilken det används.</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Mänsklig kontroll ska syfta till att förebygga eller minimera de risker för hälsa, säkerhet eller grundläggande rättigheter som kan uppstå när ett AI-system används i enlighet med sitt avsedda ändamål eller under förhållanden där det kan förekomma rimligen förutsebar felaktig användning, när sådana risker kvarstår trots tillämpningen av andra krav i detta avsnitt.</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lastRenderedPageBreak/>
        <w:t>Kontrollåtgärderna ska stå i proportion till riskerna, graden av autonomi och användningssammanhanget för AI-systemet och ska säkerställas genom en eller båda av följande typer av åtgärder.</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Leverantören säkerställer att lämpliga åtgärder, före leveransen, byggs in i AI-systemet och vidtas för att säkerställa mänsklig kontroll. Dessa åtgärder ska säkerställa att de fysiska personer som fått i uppdrag att utöva mänsklig kontroll ges möjlighet, enligt vad som är lämpligt och proportionellt, att</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korrekt förstå den relevanta kapaciteten och begränsningarna hos AI-systemet och på vederbörligt sätt kunna övervaka dess drift, bland annat i syfte att upptäcka och ta itu med avvikelser, funktionsstörningar och oväntad prestanda,</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förbli medvetna om den möjliga tendensen att automatiskt eller i alltför hög grad lita på de utdata som produceras av AI-systemet (”automation bias”), särskilt om AI-systemet används för att tillhandahålla information eller rekommendationer för beslut som ska fattas av fysiska personer,</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korrekt kunna tolka utdata från AI-systemet, med beaktande av exempelvis och i synnerhet systemets egenskaper och tillgängliga tolkningsverktyg och tolkningsmetoder,</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i vissa situationer besluta att inte använda AI-systemet eller på annat sätt bortse från, åsidosätta eller reversera de resultat som AI-systemet genererar,</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ingripa i driften av AI-systemet eller stoppa systemet med en stoppknapp eller ett liknande förfarande som gör det möjligt för systemet att stoppas i ett säkert läge.</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&lt;Frivilligt&gt;</w:t>
      </w:r>
      <w:r>
        <w:rPr>
          <w:rFonts w:ascii="Arial" w:hAnsi="Arial"/>
          <w:sz w:val="22"/>
        </w:rPr>
        <w:t xml:space="preserve"> För att säkerställa lämplig mänsklig kontroll ska leverantören åtminstone genomföra de tekniska och organisatoriska åtgärder som beskrivs i </w:t>
      </w:r>
      <w:r>
        <w:rPr>
          <w:rFonts w:ascii="Arial" w:hAnsi="Arial"/>
          <w:b/>
          <w:sz w:val="22"/>
        </w:rPr>
        <w:t>bilaga F</w:t>
      </w:r>
      <w:r>
        <w:rPr>
          <w:rFonts w:ascii="Arial" w:hAnsi="Arial"/>
          <w:sz w:val="22"/>
        </w:rPr>
        <w:t xml:space="preserve"> före leveransen av AI-systemet.</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Riktighet, robusthet och cybersäkerhet</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Leverantören säkerställer att AI-systemet har utformats och utvecklats och ska utformas och utvecklats på ett sådant sätt att det uppnår en lämplig nivå avseende riktighet, robusthet, säkerhet och cybersäkerhet och presterar väl i dessa avseenden.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AI-systemets riktighetsnivåer och relevanta riktighetsmått beskrivs i </w:t>
      </w:r>
      <w:r>
        <w:rPr>
          <w:rFonts w:ascii="Arial" w:hAnsi="Arial"/>
          <w:b/>
          <w:sz w:val="22"/>
          <w:bdr w:val="none" w:sz="0" w:space="0" w:color="auto" w:frame="1"/>
        </w:rPr>
        <w:t>bilaga G</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För att säkerställa en lämplig nivå av robusthet, säkerhet och cybersäkerhet ska leverantören åtminstone genomföra de tekniska och organisatoriska åtgärder som beskrivs i </w:t>
      </w:r>
      <w:r>
        <w:rPr>
          <w:rFonts w:ascii="Arial" w:hAnsi="Arial"/>
          <w:b/>
          <w:sz w:val="22"/>
        </w:rPr>
        <w:t>bilaga H</w:t>
      </w:r>
      <w:r>
        <w:rPr>
          <w:rFonts w:ascii="Arial" w:hAnsi="Arial"/>
          <w:sz w:val="22"/>
        </w:rPr>
        <w:t xml:space="preserve"> före leveransen av AI-systemet.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Efterlevnad</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rPr>
        <w:t>Leverantören måste se till att AI-systemet efterlever MCC-AI-Light från leveransen av AI-systemet till slutet av avtalets löptid.</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På första begäran av den offentliga organisationen måste leverantörerna göra all information som krävs för att visa att MCC-AI-Light efterlevs tillgänglig för den offentliga organisationen.</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Om leverantören under avtalets löptid anser eller har skäl att tro att AI-systemet inte överensstämmer med MCC-AI-Light, oavsett om det sker till följd av en kommentar från den offentliga organisationens sida eller inte, ska leverantören omedelbart vidta nödvändiga korrigerande åtgärder för att få systemet att överensstämma med dessa standardavtalsklausuler. Leverantören ska informera den offentliga organisationen om detta.</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Konsekvensbedömning avseende grundläggande rättigheter</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På första begäran av den offentliga organisationen ska leverantören medverka i den offentliga organisationens genomförande av en bedömning av de konsekvenser avseende grundläggande rättigheter som användningen av AI-systemet kan ge upphov till.</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Skyldighet att förklara hur AI-systemet fungerar på en individuell nivå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Utöver de skyldigheter som beskrivs i artikel 6 är leverantören skyldig att, på den offentliga organisationens första begäran, bistå den offentliga organisationen i fråga om att tillhandahålla en tydlig och meningsfull förklaring av AI-systemets roll i beslutsförfarandet. Denna meningsfulla förklaring bör särskilt (men inte uteslutande) ge insikt i de viktigaste delarna av det eller de beslut som fattas till alla berörda personer som är föremål för den offentliga organisationens beslut som är baserat på AI-systemets utdata.</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Den skyldighet som beskrivs i artikel 11.1 omfattar att tillhandahålla den offentliga organisationen all teknisk information och annan information som krävs för att förklara hur AI-systemet producerade vissa utdata och att erbjuda de berörda personerna möjlighet att kontrollera det sätt på vilket AI-systemet producerade vissa utdata. Leverantören beviljar härmed den offentliga organisationen rätten att använda, dela och lämna ut denna information, om och i den utsträckning det är nödvändigt, för att informera de berörda personerna i enlighet med detta.</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&lt;Frivilligt&gt;</w:t>
      </w:r>
      <w:r>
        <w:rPr>
          <w:rFonts w:ascii="Arial" w:hAnsi="Arial"/>
          <w:sz w:val="22"/>
        </w:rPr>
        <w:t xml:space="preserve"> De skyldigheter som avses i artikel 11.1 och 11.2 omfattar AI-systemets källkod, de tekniska specifikationer som används vid utvecklingen av AI-systemet, dataseten, teknisk information om hur de dataset som används vid utvecklingen av AI-systemet har erhållits och redigerats, information om den utvecklingsmetod som används och den utvecklingsprocess som genomförs, motivering av valet av en viss modell och dess parametrar, samt information om AI-systemets prestanda.</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Avsnitt C – Rättigheter att använda dataset</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Rättigheter till offentliga organisationers dataset</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Alla rättigheter, inklusive eventuella immateriella rättigheter, som avser den offentliga organisationens dataset kommer att tillfalla den offentliga organisationen eller en tredje part som den offentliga organisationen har utsett för detta.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Leverantören har inte rätt att använda den offentliga organisationens dataset för något annat syfte än fullgörandet av avtalet, såvida inte annat anges i bilaga B.</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På första begäran av den offentliga organisationen måste leverantören förstöra den offentliga organisationens dataset, såvida inte annat anges i bilaga B. Om den offentliga organisationen begär detta måste leverantören tillhandahålla lämpliga bevis på att den offentliga organisationens dataset har förstörts.</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rättigheter till dataset från leverantörer och dataset från tredje part</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Alla rättigheter, inklusive eventuella immateriella rättigheter, som avser leverantörens dataset och tredje parts dataset kommer att tillfalla leverantören eller en tredje part.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Leverantören ger den offentliga organisationen en icke-exklusiv rätt att använda leverantörens dataset och tredje parts dataset som under alla omständigheter är tillräcklig för att fullgöra bestämmelserna i avtalet, inklusive MCC-AI-Light, såvida inte annat anges i bilaga B.</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 xml:space="preserve">&lt;Frivilligt&gt; </w:t>
      </w:r>
      <w:r>
        <w:rPr>
          <w:rFonts w:ascii="Arial" w:hAnsi="Arial"/>
          <w:sz w:val="22"/>
        </w:rPr>
        <w:t xml:space="preserve">Den rätt till användning som beskrivs i artikel 13.2 inbegriper rätten att använda leverantörens dataset och tredje parts dataset för vidareutveckling av AI-systemet, inklusive eventuella nya versioner därav, av den offentliga organisationen eller en tredje part.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Överlämning av dataseten</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På första begäran av den offentliga organisationen ska leverantören överlämna den senaste versionen av den offentliga organisationens dataset till den offentliga organisationen.</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På första begäran av den offentliga organisationen ska leverantören överlämna den senaste versionen av leverantörens dataset och tredje parts dataset till den offentliga organisationen, såvida inte annat anges i bilaga B.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Dataseten måste överlämnas till den offentliga organisationen av leverantören i ett vanligt filformat som ska anges av den offentliga organisationen. </w:t>
      </w:r>
      <w:r>
        <w:rPr>
          <w:rFonts w:ascii="Arial" w:hAnsi="Arial"/>
          <w:b/>
          <w:sz w:val="22"/>
        </w:rPr>
        <w:t>&lt;Frivilligt&gt; Dataseten ska returneras enligt följande: [filformat]</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Ersättningar</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Leverantören ska ersätta den offentliga organisationen för alla anspråk från tredje parter, inbegripet tillsynsmyndigheter, som rör eventuella intrång i immateriella rättigheter, dataskyddsrättigheter eller liknande rättigheter till följd av den offentliga organisationens användning av AI-systemet, leverantörens dataset och/eller tredje parts dataset.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Den offentliga organisationen ska ersätta leverantören för alla anspråk från tredje parter, inbegripet tillsynsmyndigheter, som rör eventuella intrång i deras immateriella rättigheter, rättigheter till personlig integritet eller liknande rättigheter till följd av användningen av den offentliga organisationens dataset. </w:t>
      </w:r>
    </w:p>
    <w:p w14:paraId="351A161B" w14:textId="77777777" w:rsidR="00DB24E3" w:rsidRPr="00BD0EE8" w:rsidRDefault="00DB24E3" w:rsidP="00BA16C1">
      <w:pPr>
        <w:rPr>
          <w:rFonts w:ascii="Arial" w:hAnsi="Arial" w:cs="Arial"/>
          <w:b/>
          <w:i/>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Bilaga A – AI-systemet och det avsedda ändamålet</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Beskrivning av AI-systemet</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Inom tillämpningsområdet för MCC-AI-Light finns följande system eller systemkomponenter: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Beskriv AI-systemet eller AI-systemen. Det kan även röra sig om ett algoritmiskt system som inte uppfyller kraven för ett AI-system enligt AI-förordningen.</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Avsett ändamål</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Beskriv den användning som AI-systemet är avsett för.</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Bilaga B – Dataseten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Beskriv de dataset som används för träningen (om detta är tillämpligt), valideringen och testningen av AI-systemet.</w:t>
      </w:r>
      <w:r>
        <w:rPr>
          <w:rFonts w:ascii="Arial" w:hAnsi="Arial"/>
          <w:i/>
          <w:color w:val="000000"/>
          <w:sz w:val="22"/>
          <w:shd w:val="clear" w:color="auto" w:fill="FFFFFF"/>
        </w:rPr>
        <w:t xml:space="preserve"> Skilj mellan offentliga organisationers dataset, leverantörers dataset och tredje parts dataset. När det gäller offentliga organisationers dataset, beskriv de ändamål för vilka leverantören får använda dataseten (annat än fullgörandet av avtalet) och huruvida leverantören är skyldig att förstöra datasetet när avtalet löper ut. I fråga om leverantörers dataset och tredje parts dataset, beskriv de ändamål för vilka den offentliga organisationen får använda dataseten och huruvida leverantören är skyldig att lämna över dataseten.</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Offentliga organisationers dataset</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Följande dataset tillhandahålls leverantören av den offentliga organisationen enligt avtalet eller ska skapas eller samlas in som en del av avtalet: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Beskrivning av datasetet</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Leverantörens användningsrättigheter</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Skyldighet att förstöra datasetet när avtalet löper ut</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Ja/Nej</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Ja/Nej</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Ja/Nej</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Ja/Nej</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Leverantörers dataset och tredje parts dataset</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Följande dataset från leverantören och från tredje part kommer att användas eller har använts för träning (om detta är tillämpligt), validering och testning av AI-systemet:</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Beskrivning av datasetet</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Den offentliga organisationens användningsrättigheter</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Skyldighet att överlämna</w:t>
            </w:r>
            <w:r>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Ja/Nej</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Ja/Nej</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Ja/Nej</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Ja/Nej</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Bilaga C – Teknisk dokumentation</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Den tekniska dokumentationen ska åtminstone innehålla följande information, beroende på vad som är tillämpligt för AI-systemet:</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En allmän beskrivning av AI-systemet, inklusive</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det avsedda ändamålet, leverantörens namn och systemversionen, som visar dess samband med tidigare versioner,</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hur AI-systemet kan interagera med eller kan användas för att interagera med maskinvara eller programvara, inbegripet med andra AI-system som inte ingår i själva AI-systemet, i tillämpliga fall,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versioner av relevant programvara eller fast programvara och eventuella krav med koppling till uppdatering av versioner,</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en beskrivning av den maskinvara som AI-systemet är avsett att köras på,</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när AI-systemet är en produktkomponent, fotografier eller illustrationer där de yttre egenskaperna framgår, samt dessa produkters märkning och interna utformning,</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en grundläggande beskrivning av det användargränssnitt som den offentliga organisationen erhåller,</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bruksanvisningar för tillhandahållaren och, i tillämpliga fall, en grundläggande beskrivning av användargränssnittet.</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En utförlig beskrivning av komponenterna i AI-systemet och av processen för systemets utveckling, inklusive</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 metoder och åtgärder som använts för att utveckla AI-systemet, inbegripet, i relevanta fall, användningen av förtränade system eller verktyg som tillhandahållits av tredje parter och hur dessa har använts, integrerats eller ändrats av leverantören, inklusive en beskrivning av eventuella licensavtal eller andra avtalsarrangemang som rör sådana indata från tredje parter,</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systemets konstruktionsspecifikationer, dvs. AI-systemets och algoritmernas allmänna logik, de viktigaste valen vid utformningen, bland annat motiveringen och de antaganden som gjorts, inbegripet med avseende på de personer eller grupper av personer som systemet är avsett att användas för, de viktigaste klassificeringsvalen, vad systemet har utformats för att optimera och de olika parametrarnas relevans, beskrivningen av systemets förväntade utdata och utdatakvalitet, de beslut om eventuella avvägningar mellan de tekniska lösningarna som valts för att uppfylla kraven i MCC-AI-Light,</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en beskrivning av systemarkitekturen som förklarar hur programvarukomponenter bygger på eller påverkar varandra och integreras i den övergripande behandlingen, de dataresurser som används för att utveckla, träna, testa och validera AI-systemet,</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i relevanta fall, uppgiftskraven i form av datablad som beskriver de träningsmetoder och träningstekniker och de träningsdataset som använts, inbegripet en allmän beskrivning av dessa dataset, information om var de </w:t>
      </w:r>
      <w:r>
        <w:rPr>
          <w:rFonts w:ascii="Arial" w:hAnsi="Arial"/>
          <w:sz w:val="22"/>
        </w:rPr>
        <w:lastRenderedPageBreak/>
        <w:t>kommer från, deras omfattning och deras huvudsakliga egenskaper, hur uppgifterna inhämtades och valdes ut, märkningsförfaranden (</w:t>
      </w:r>
      <w:proofErr w:type="gramStart"/>
      <w:r>
        <w:rPr>
          <w:rFonts w:ascii="Arial" w:hAnsi="Arial"/>
          <w:sz w:val="22"/>
        </w:rPr>
        <w:t>t.ex.</w:t>
      </w:r>
      <w:proofErr w:type="gramEnd"/>
      <w:r>
        <w:rPr>
          <w:rFonts w:ascii="Arial" w:hAnsi="Arial"/>
          <w:sz w:val="22"/>
        </w:rPr>
        <w:t xml:space="preserve"> för övervakad inlärning), datarensningsmetoder (t.ex. upptäckt av avvikande värden),</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en bedömning av de åtgärder för mänsklig kontroll som krävs i enlighet med MCC-AI-Light, inbegripet en bedömning av de tekniska åtgärder som krävs för att underlätta den offentliga organisationens tolkning av AI-systemens resultat, i enlighet med MCC-AI-Light,</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i tillämpliga fall, en utförlig beskrivning av sådana ändringar av AI-systemet och dess prestanda som fastställts på förhand, tillsammans med all relevant information om de tekniska lösningar som har valts för att säkerställa att AI-systemet kontinuerligt uppfyller de relevanta kraven i MCC-AI-Light,</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 validerings- och testningsförfaranden som används, inklusive information om de validerings- och testdata som har använts och deras huvudsakliga egenskaper, mått som används för att mäta riktighet, robusthet och överensstämmelse med andra relevanta krav som anges i MCC-AI-Light samt potentiellt diskriminerande effekter, testloggar och alla testrapporter, daterade och undertecknade av de ansvariga personerna, även med avseende på de på förhand fastställda ändringar som avses i punkt 2.5,</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 cybersäkerhetsåtgärder som vidtagits.</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Detaljerade uppgifter om övervakning, drift och kontroll av AI-systemet, särskilt med avseende på dess kapacitet och prestandabegränsningar, inbegripet graden av riktighet för specifika personer eller grupper av personer som systemet är avsett att användas för och den övergripande förväntade riktighetsnivån i förhållande till det avsedda ändamålet, de förutsebara oavsiktliga resultaten och källorna till risker för hälsa och säkerhet, grundläggande rättigheter och diskriminering med tanke på AI-systemets avsedda ändamål.</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En beskrivning av lämpligheten hos resultatmåtten för det specifika AI-systemet.</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En utförlig beskrivning av riskhanteringssystemet i enlighet med artikel 2.</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En beskrivning av alla relevanta ändringar av systemet som gjorts av leverantören under dess livscykel.</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Bilaga D – Bruksanvisning</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Bruksanvisningen ska åtminstone innehålla följande information, beroende på vad som är tillämpligt för AI-systemet:</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Identitet och kontaktuppgifter för leverantören och i tillämpliga fall för dennes ombud.</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AI-systemets egenskaper, kapacitet och prestandabegränsningar, inbegripet, i förekommande fall,</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dess avsedda ändamål,</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den nivå avseende riktighet, inbegripet mätningarna av denna, robusthet och cybersäkerhet som avses i artikel 8 mot vilken AI-systemet har testats och validerats och som kan förväntas, samt alla välkända och förutsebara omständigheter som kan påverka den förväntade riktighets-, robusthets- och cybersäkerhetsnivån,</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varje känd eller förutsebar omständighet som har samband med användningen av AI-systemet i enlighet med dess avsedda ändamål eller under förhållanden där det kan förekomma rimligen förutsebar felaktig användning, som kan leda till risker för hälsa och säkerhet eller grundläggande rättigheter,</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i tillämpliga fall, den tekniska kapaciteten och de tekniska egenskaperna hos AI-systemet med avseende på att tillhandahålla information som är relevant för att förklara dess utdata,</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när så är lämpligt, dess prestanda vad gäller specifika personer eller grupper av personer som omfattas av den avsedda användningen av systemet,</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i tillämpliga fall, specifikationer för indata eller all annan relevant information i fråga om de tränings-, validerings- och testdataset som används, med beaktande av AI-systemets avsedda ändamål,</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när så är tillämpligt, information som gör det möjligt för den offentliga organisationen att tolka utdata från AI-systemet och använda dem på lämpligt sätt.</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Eventuella ändringar av AI-systemet och dess prestanda som leverantören har fastställt på förhand.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De åtgärder för mänsklig kontroll som avses i artikel 7, inbegripet de tekniska åtgärder som införts för att underlätta den offentliga organisationens tolkning av AI-systemets utdata.</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De data- och maskinvaruresurser som krävs, den förväntade livstiden för AI-systemet och alla nödvändiga underhålls- och omsorgsåtgärder, inbegripet deras frekvens, för att säkerställa att AI-systemet fungerar korrekt, även när det gäller programvaruuppdateringar.</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t xml:space="preserve">I förekommande fall, en beskrivning av de mekanismer som ingår i AI-systemet vilka gör det möjligt för den offentliga organisationen att korrekt samla in, lagra och tolka loggarna i enlighet med artikel 5 i MCC-AI-Light.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Bilaga E – Åtgärder för att säkerställa transparens</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Beskriv de tekniska och organisatoriska åtgärder som leverantören ska vidta för att säkerställa transparens i enlighet med artikel 6 i MCC-AI-Light.</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Bilaga F – Åtgärder för att säkerställa mänsklig kontroll</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Beskriv de tekniska och organisatoriska åtgärder som leverantören ska vidta för att säkerställa mänsklig kontroll i enlighet med artikel 7 i MCC-AI-Light.</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Bilaga G – Riktighetsnivåer</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Beskriv de riktighetsnivåer som krävs.</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Bilaga H – Åtgärder för att säkerställa en lämplig nivå av robusthet, säkerhet och cybersäkerhet</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Beskriv de tekniska och organisatoriska åtgärder som leverantören ska vidta för att säkerställa en lämplig nivå av robusthet, säkerhet och cybersäkerhet i enlighet med artikel 8 i MCC-AI-Light.</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Genom dessa åtgärder måste det säkerställas att AI-systemet är så resilient som möjligt mot felaktigheter, funktionsfel eller inkonsekvenser som kan uppstå inom det system eller den miljö där systemet är i drift, särskilt på grund av interaktion med fysiska personer eller andra system.</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AI-systemet ska vara resilient mot försök av obehöriga tredje parter att ändra dess användning, beteende, utdata eller prestanda genom att utnyttja systemets sårbarheter. De tekniska lösningarna för att hantera AI-specifika sårbarheter kan, när så är lämpligt, inbegripa åtgärder för att förebygga, upptäcka, reagera på, komma till rätta med och bekämpa attacker som försöker manipulera träningsdatasetet (”dataförgiftning”) eller förtränade komponenter som används i träningen (”modellförgiftning”), indata som är utformade för att få modellen att göra ett misstag (”antagonistiska exempel” eller ”modellkringgående”), sekretessangrepp eller modellfel, som skulle kunna leda till skadligt beslutsfattande.</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even" r:id="rId15"/>
      <w:headerReference w:type="default" r:id="rId16"/>
      <w:footerReference w:type="even" r:id="rId17"/>
      <w:footerReference w:type="default" r:id="rId18"/>
      <w:headerReference w:type="first" r:id="rId19"/>
      <w:footerReference w:type="first" r:id="rId20"/>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4</w:t>
        </w:r>
        <w:r>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5E35E" w14:textId="77777777" w:rsidR="00B23CBD" w:rsidRDefault="00B23C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tab/>
      </w:r>
      <w:r>
        <w:rPr>
          <w:rFonts w:ascii="Arial" w:hAnsi="Arial"/>
          <w:sz w:val="18"/>
        </w:rPr>
        <w:t>En begränsning av skyldigheten att överlämna dataset från leverantören och från tredje part begränsar inte leverantörens skyldigheter enligt artiklarna 6 och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FEA09" w14:textId="77777777" w:rsidR="00B23CBD" w:rsidRDefault="00B23C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124A0202"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hyperlink r:id="rId2" w:history="1">
      <w:r>
        <w:rPr>
          <w:rStyle w:val="Hyperlink"/>
          <w:rFonts w:ascii="Arial" w:hAnsi="Arial"/>
          <w:color w:val="FFFFFF" w:themeColor="background1"/>
          <w:sz w:val="20"/>
          <w:u w:val="single"/>
        </w:rPr>
        <w:t>Upphandling av AI-system |</w:t>
      </w:r>
    </w:hyperlink>
    <w:hyperlink r:id="rId3" w:history="1">
      <w:r>
        <w:rPr>
          <w:rStyle w:val="Hyperlink"/>
          <w:rFonts w:ascii="Arial" w:hAnsi="Arial"/>
          <w:color w:val="FFFFFF" w:themeColor="background1"/>
          <w:sz w:val="20"/>
          <w:u w:val="single"/>
        </w:rPr>
        <w:t xml:space="preserve"> Public Buyers Community</w:t>
      </w:r>
    </w:hyperlink>
    <w:r>
      <w:tab/>
    </w:r>
    <w:r>
      <w:rPr>
        <w:rFonts w:ascii="Arial" w:hAnsi="Arial"/>
        <w:b/>
        <w:color w:val="FFFFFF" w:themeColor="background1"/>
      </w:rPr>
      <w:t>MCC-AI-LIGHT</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91142522"/>
    <w:lvl w:ilvl="0">
      <w:start w:val="1"/>
      <w:numFmt w:val="decimal"/>
      <w:pStyle w:val="doLijstnummering7"/>
      <w:lvlText w:val="Article %1"/>
      <w:lvlJc w:val="left"/>
      <w:pPr>
        <w:tabs>
          <w:tab w:val="num" w:pos="851"/>
        </w:tabs>
        <w:ind w:left="851" w:hanging="851"/>
      </w:pPr>
      <w:rPr>
        <w:rFonts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5C5"/>
    <w:rsid w:val="001D565B"/>
    <w:rsid w:val="001D6FF9"/>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9783D"/>
    <w:rsid w:val="009A315D"/>
    <w:rsid w:val="009C198A"/>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063EF"/>
    <w:rsid w:val="00B23CBD"/>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60202"/>
    <w:rsid w:val="00C72B64"/>
    <w:rsid w:val="00C758CB"/>
    <w:rsid w:val="00C90B5A"/>
    <w:rsid w:val="00C9725B"/>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sv-SE"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sv-SE"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sv-SE"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sv-SE"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sv-SE"/>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2.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3.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5.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6.xml><?xml version="1.0" encoding="utf-8"?>
<ds:datastoreItem xmlns:ds="http://schemas.openxmlformats.org/officeDocument/2006/customXml" ds:itemID="{DC39A6FF-EB1D-4F31-9330-5533E032AE3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21</Pages>
  <Words>4647</Words>
  <Characters>30072</Characters>
  <Application>Microsoft Office Word</Application>
  <DocSecurity>0</DocSecurity>
  <Lines>653</Lines>
  <Paragraphs>223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34496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PROTOPAPADAKIS Alexandra (DGT)</cp:lastModifiedBy>
  <cp:revision>5</cp:revision>
  <cp:lastPrinted>2023-10-05T08:08:00Z</cp:lastPrinted>
  <dcterms:created xsi:type="dcterms:W3CDTF">2025-05-08T14:26:00Z</dcterms:created>
  <dcterms:modified xsi:type="dcterms:W3CDTF">2025-05-27T00:52:00Z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