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49CFBA26" w:rsidR="00592734" w:rsidRPr="00107A1F" w:rsidRDefault="00107A1F">
      <w:r>
        <w:rPr>
          <w:lang w:val="en-IE"/>
        </w:rPr>
        <w:t>ka</w:t>
      </w:r>
    </w:p>
    <w:p w14:paraId="6E71A489" w14:textId="77777777" w:rsidR="000B1A35" w:rsidRPr="00F973AB" w:rsidRDefault="000B1A35" w:rsidP="000B1A35"/>
    <w:p w14:paraId="18C1FFA7" w14:textId="77777777" w:rsidR="000B1A35" w:rsidRPr="00F973AB" w:rsidRDefault="000B1A35" w:rsidP="000B1A35"/>
    <w:p w14:paraId="65796216" w14:textId="77777777" w:rsidR="000B1A35" w:rsidRPr="00F973AB" w:rsidRDefault="000B1A35" w:rsidP="000B1A35"/>
    <w:p w14:paraId="7CB4DD93" w14:textId="77777777" w:rsidR="000B1A35" w:rsidRPr="00F973AB" w:rsidRDefault="000B1A35" w:rsidP="000B1A35"/>
    <w:p w14:paraId="41A54CB5" w14:textId="77777777" w:rsidR="000B1A35" w:rsidRPr="00F973AB" w:rsidRDefault="000B1A35" w:rsidP="000B1A35"/>
    <w:p w14:paraId="7D7CA2C7" w14:textId="77777777" w:rsidR="000B1A35" w:rsidRPr="00F973AB" w:rsidRDefault="000B1A35" w:rsidP="000B1A35"/>
    <w:p w14:paraId="317DA321" w14:textId="77777777" w:rsidR="000B1A35" w:rsidRPr="00F973AB" w:rsidRDefault="000B1A35" w:rsidP="000B1A35"/>
    <w:p w14:paraId="3BE80620" w14:textId="77777777" w:rsidR="000B1A35" w:rsidRPr="00F973AB" w:rsidRDefault="000B1A35" w:rsidP="000B1A35"/>
    <w:p w14:paraId="4F3FCAFF" w14:textId="77777777" w:rsidR="000B1A35" w:rsidRPr="00F973AB" w:rsidRDefault="000B1A35" w:rsidP="000B1A35"/>
    <w:p w14:paraId="5D5B7C84" w14:textId="77777777" w:rsidR="000B1A35" w:rsidRPr="00F973AB" w:rsidRDefault="000B1A35" w:rsidP="000B1A35"/>
    <w:p w14:paraId="19C4B2AA" w14:textId="77777777" w:rsidR="000B1A35" w:rsidRPr="00F973AB" w:rsidRDefault="000B1A35" w:rsidP="000B1A35"/>
    <w:p w14:paraId="2A06EE03" w14:textId="77777777" w:rsidR="000B1A35" w:rsidRPr="00F973AB" w:rsidRDefault="000B1A35" w:rsidP="000B1A35"/>
    <w:p w14:paraId="66E5C327" w14:textId="77777777" w:rsidR="000B1A35" w:rsidRPr="00F973AB" w:rsidRDefault="000B1A35" w:rsidP="000B1A35"/>
    <w:p w14:paraId="177C95BF" w14:textId="77777777" w:rsidR="000B1A35" w:rsidRPr="00F973AB" w:rsidRDefault="000B1A35" w:rsidP="000B1A35"/>
    <w:p w14:paraId="21898D6A" w14:textId="77777777" w:rsidR="000B1A35" w:rsidRPr="00F973AB" w:rsidRDefault="000B1A35" w:rsidP="000B1A35"/>
    <w:p w14:paraId="3502EADC" w14:textId="77777777" w:rsidR="000B1A35" w:rsidRPr="00F973AB" w:rsidRDefault="000B1A35" w:rsidP="000B1A35"/>
    <w:p w14:paraId="4BF8BB1C" w14:textId="77777777" w:rsidR="000B1A35" w:rsidRPr="00F973AB" w:rsidRDefault="000B1A35" w:rsidP="000B1A35"/>
    <w:p w14:paraId="202EFC10" w14:textId="77777777" w:rsidR="000B1A35" w:rsidRPr="00F973AB" w:rsidRDefault="000B1A35" w:rsidP="000B1A35"/>
    <w:p w14:paraId="4588B1F3" w14:textId="77777777" w:rsidR="000B1A35" w:rsidRPr="00F973AB" w:rsidRDefault="000B1A35" w:rsidP="000B1A35"/>
    <w:p w14:paraId="281FA3B3" w14:textId="77777777" w:rsidR="000B1A35" w:rsidRPr="00F973AB" w:rsidRDefault="000B1A35" w:rsidP="000B1A35"/>
    <w:p w14:paraId="60D7DD7F" w14:textId="77777777" w:rsidR="000B1A35" w:rsidRPr="00F973AB" w:rsidRDefault="000B1A35" w:rsidP="000B1A35"/>
    <w:p w14:paraId="54593850" w14:textId="77777777" w:rsidR="000B1A35" w:rsidRPr="00F973AB" w:rsidRDefault="000B1A35" w:rsidP="000B1A35"/>
    <w:p w14:paraId="7DD23378" w14:textId="77777777" w:rsidR="000B1A35" w:rsidRPr="00F973AB" w:rsidRDefault="000B1A35" w:rsidP="000B1A35"/>
    <w:p w14:paraId="040D7DB4" w14:textId="77777777" w:rsidR="000B1A35" w:rsidRPr="00F973AB" w:rsidRDefault="000B1A35" w:rsidP="000B1A35"/>
    <w:p w14:paraId="149C26A7" w14:textId="77777777" w:rsidR="00E16661" w:rsidRPr="00F973AB" w:rsidRDefault="00E16661"/>
    <w:p w14:paraId="45839A5A" w14:textId="77777777" w:rsidR="00E16661" w:rsidRPr="00F973AB" w:rsidRDefault="00E16661"/>
    <w:p w14:paraId="64C545AF" w14:textId="77777777" w:rsidR="00E16661" w:rsidRPr="00F973AB" w:rsidRDefault="00E16661"/>
    <w:p w14:paraId="7F0F465A" w14:textId="77777777" w:rsidR="00E16661" w:rsidRPr="00F973AB" w:rsidRDefault="00E16661"/>
    <w:p w14:paraId="080AED99" w14:textId="77777777" w:rsidR="00E16661" w:rsidRPr="00F973AB" w:rsidRDefault="0042011F" w:rsidP="005A1B9E">
      <w:pPr>
        <w:pStyle w:val="COMMUNITY"/>
        <w:rPr>
          <w:rStyle w:val="Hyperlink"/>
          <w:color w:val="104D54"/>
          <w:u w:val="none"/>
        </w:rPr>
      </w:pPr>
      <w:hyperlink r:id="rId11" w:history="1">
        <w:r>
          <w:rPr>
            <w:rStyle w:val="Hyperlink"/>
            <w:color w:val="104D54"/>
            <w:u w:val="none"/>
          </w:rPr>
          <w:t>Κοινότητα για την</w:t>
        </w:r>
        <w:r>
          <w:rPr>
            <w:rStyle w:val="Hyperlink"/>
          </w:rPr>
          <w:t xml:space="preserve"> </w:t>
        </w:r>
        <w:r>
          <w:rPr>
            <w:rStyle w:val="Hyperlink"/>
          </w:rPr>
          <w:br/>
        </w:r>
        <w:r>
          <w:rPr>
            <w:rStyle w:val="Hyperlink"/>
            <w:color w:val="104D54"/>
            <w:u w:val="none"/>
          </w:rPr>
          <w:t>προμήθεια ΤΝ</w:t>
        </w:r>
      </w:hyperlink>
    </w:p>
    <w:p w14:paraId="2649C6A6" w14:textId="77777777" w:rsidR="00E16661" w:rsidRPr="00F973AB" w:rsidRDefault="00E16661">
      <w:pPr>
        <w:rPr>
          <w:rStyle w:val="Hyperlink"/>
          <w:rFonts w:ascii="Arial" w:hAnsi="Arial" w:cs="Arial"/>
          <w:b/>
          <w:bCs/>
          <w:sz w:val="44"/>
          <w:szCs w:val="44"/>
        </w:rPr>
      </w:pPr>
    </w:p>
    <w:p w14:paraId="77568D64" w14:textId="77777777" w:rsidR="00E16661" w:rsidRPr="00F973AB" w:rsidRDefault="00E16661">
      <w:pPr>
        <w:rPr>
          <w:rStyle w:val="Hyperlink"/>
          <w:rFonts w:ascii="Arial" w:hAnsi="Arial" w:cs="Arial"/>
          <w:b/>
          <w:bCs/>
          <w:sz w:val="44"/>
          <w:szCs w:val="44"/>
        </w:rPr>
      </w:pPr>
    </w:p>
    <w:p w14:paraId="4E7B3348" w14:textId="77777777" w:rsidR="00E16661" w:rsidRPr="00F973AB" w:rsidRDefault="00E16661">
      <w:pPr>
        <w:rPr>
          <w:rStyle w:val="Hyperlink"/>
          <w:rFonts w:ascii="Arial" w:hAnsi="Arial" w:cs="Arial"/>
          <w:b/>
          <w:bCs/>
          <w:sz w:val="44"/>
          <w:szCs w:val="44"/>
        </w:rPr>
      </w:pPr>
    </w:p>
    <w:p w14:paraId="676B3808" w14:textId="6C8CC332" w:rsidR="00E16661" w:rsidRPr="00F973AB" w:rsidRDefault="00FF13F0" w:rsidP="00E16661">
      <w:pPr>
        <w:pStyle w:val="TITLEStyle"/>
      </w:pPr>
      <w:bookmarkStart w:id="0" w:name="_Hlk189829106"/>
      <w:bookmarkStart w:id="1" w:name="_Hlk189934741"/>
      <w:r>
        <w:t>Τυποποιημένες συμβατικές ρήτρες για τη δημόσια προμήθεια ΤΝ υψηλού κινδύνου</w:t>
      </w:r>
      <w:bookmarkEnd w:id="0"/>
      <w:r>
        <w:t xml:space="preserve"> («ΤΣΡ-ΤΝ υψηλού κινδύνου»)</w:t>
      </w:r>
    </w:p>
    <w:bookmarkEnd w:id="1"/>
    <w:p w14:paraId="175173CF" w14:textId="77777777" w:rsidR="000B1A35" w:rsidRPr="00F973AB" w:rsidRDefault="00E16661">
      <w:r>
        <w:rPr>
          <w:noProof/>
        </w:rPr>
        <mc:AlternateContent>
          <mc:Choice Requires="wps">
            <w:drawing>
              <wp:anchor distT="0" distB="0" distL="114300" distR="114300" simplePos="0" relativeHeight="251668480" behindDoc="0" locked="1" layoutInCell="1" allowOverlap="1" wp14:anchorId="212FE0A9" wp14:editId="44CA7841">
                <wp:simplePos x="0" y="0"/>
                <wp:positionH relativeFrom="margin">
                  <wp:posOffset>-59055</wp:posOffset>
                </wp:positionH>
                <wp:positionV relativeFrom="page">
                  <wp:posOffset>9125585</wp:posOffset>
                </wp:positionV>
                <wp:extent cx="6477000" cy="38100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381000"/>
                        </a:xfrm>
                        <a:prstGeom prst="rect">
                          <a:avLst/>
                        </a:prstGeom>
                        <a:noFill/>
                        <a:ln w="6350">
                          <a:noFill/>
                        </a:ln>
                      </wps:spPr>
                      <wps:txbx>
                        <w:txbxContent>
                          <w:p w14:paraId="77DDF1B8" w14:textId="40D653B6" w:rsidR="003216B4" w:rsidRPr="00C758CB" w:rsidRDefault="003216B4" w:rsidP="00E16661">
                            <w:pPr>
                              <w:spacing w:line="360" w:lineRule="auto"/>
                              <w:rPr>
                                <w:rFonts w:ascii="Arial" w:hAnsi="Arial" w:cs="Arial"/>
                                <w:color w:val="104D55"/>
                                <w:sz w:val="36"/>
                                <w:szCs w:val="36"/>
                              </w:rPr>
                            </w:pPr>
                            <w:r>
                              <w:rPr>
                                <w:rFonts w:ascii="Arial" w:hAnsi="Arial"/>
                                <w:color w:val="104D55"/>
                                <w:sz w:val="36"/>
                              </w:rPr>
                              <w:t xml:space="preserve">Έκδοση Φεβρουαρίου 2025 — Προμήθεια ΤΝ υψηλού κινδύνου </w:t>
                            </w:r>
                          </w:p>
                          <w:p w14:paraId="188F1615" w14:textId="77777777" w:rsidR="003216B4" w:rsidRPr="00CF3CD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65pt;margin-top:718.55pt;width:510pt;height:30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9FoIAIAAEUEAAAOAAAAZHJzL2Uyb0RvYy54bWysU8lu2zAQvRfoPxC815IdZ6lgOXATuChg&#10;JAGcImeaIi2hJIclaUvu13dIyQvSnopeqKFmOMt7b2b3nVZkL5xvwJR0PMopEYZD1ZhtSb+/Lj/d&#10;UeIDMxVTYERJD8LT+/nHD7PWFmICNahKOIJJjC9aW9I6BFtkmee10MyPwAqDTglOs4BXt80qx1rM&#10;rlU2yfObrAVXWQdceI9/H3snnaf8UgoenqX0IhBVUuwtpNOlcxPPbD5jxdYxWzd8aIP9QxeaNQaL&#10;nlI9ssDIzjV/pNINd+BBhhEHnYGUDRdpBpxmnL+bZl0zK9IsCI63J5j8/0vLn/Zr++JI6L5AhwSm&#10;IbxdAf/hEZustb4YYiKmvvAYHQftpNPxiyMQfIjYHk54ii4Qjj9vpre3eY4ujr6ru3G0Y9Lza+t8&#10;+CpAk2iU1CFfqQO2X/nQhx5DYjEDy0apxJkypMUKV9d5enDyYHJlhsb7XmPXodt0+CyaG6gOOLCD&#10;Xgve8mWDxVfMhxfmkHzsFwUdnvGQCrAIDBYlNbhff/sf45ET9FLSophK6n/umBOUqG8G2fo8nk6j&#10;+tJlen07wYu79GwuPWanHwD1OsbVsTyZMT6ooykd6DfU/SJWRRczHGuXNBzNh9BLHPeGi8UiBaHe&#10;LAsrs7b8yHOE9rV7Y84O+Adk7gmOsmPFOxr62J6IxS6AbBJHZ1QH3FGrieVhr+IyXN5T1Hn7578B&#10;AAD//wMAUEsDBBQABgAIAAAAIQC5s79/4gAAAA0BAAAPAAAAZHJzL2Rvd25yZXYueG1sTI9NT8JA&#10;EIbvJv6HzZh4g92CCtRuCWlCTIwcQC7ept2hbdyP2l2g+uvdnvQ4z7x555lsPRjNLtT71lkJyVQA&#10;I1s51dpawvF9O1kC8wGtQu0sSfgmD+v89ibDVLmr3dPlEGoWS6xPUUITQpdy7quGDPqp68jG3cn1&#10;BkMc+5qrHq+x3Gg+E+KJG2xtvNBgR0VD1efhbCS8Ftsd7suZWf7o4uXttOm+jh+PUt7fDZtnYIGG&#10;8BeGUT+qQx6dSne2yjMtYbKax2TkD/NFAmxMiEQsgJUjW0XG84z//yL/BQAA//8DAFBLAQItABQA&#10;BgAIAAAAIQC2gziS/gAAAOEBAAATAAAAAAAAAAAAAAAAAAAAAABbQ29udGVudF9UeXBlc10ueG1s&#10;UEsBAi0AFAAGAAgAAAAhADj9If/WAAAAlAEAAAsAAAAAAAAAAAAAAAAALwEAAF9yZWxzLy5yZWxz&#10;UEsBAi0AFAAGAAgAAAAhAENT0WggAgAARQQAAA4AAAAAAAAAAAAAAAAALgIAAGRycy9lMm9Eb2Mu&#10;eG1sUEsBAi0AFAAGAAgAAAAhALmzv3/iAAAADQEAAA8AAAAAAAAAAAAAAAAAegQAAGRycy9kb3du&#10;cmV2LnhtbFBLBQYAAAAABAAEAPMAAACJBQAAAAA=&#10;" filled="f" stroked="f" strokeweight=".5pt">
                <v:textbox>
                  <w:txbxContent>
                    <w:p w14:paraId="77DDF1B8" w14:textId="40D653B6" w:rsidR="003216B4" w:rsidRPr="00C758CB" w:rsidRDefault="003216B4" w:rsidP="00E16661">
                      <w:pPr>
                        <w:spacing w:line="360" w:lineRule="auto"/>
                        <w:rPr>
                          <w:rFonts w:ascii="Arial" w:hAnsi="Arial" w:cs="Arial"/>
                          <w:color w:val="104D55"/>
                          <w:sz w:val="36"/>
                          <w:szCs w:val="36"/>
                        </w:rPr>
                      </w:pPr>
                      <w:r>
                        <w:rPr>
                          <w:rFonts w:ascii="Arial" w:hAnsi="Arial"/>
                          <w:color w:val="104D55"/>
                          <w:sz w:val="36"/>
                        </w:rPr>
                        <w:t xml:space="preserve">Έκδοση Φεβρουαρίου 2025 — Προμήθεια ΤΝ υψηλού κινδύνου </w:t>
                      </w:r>
                    </w:p>
                    <w:p w14:paraId="188F1615" w14:textId="77777777" w:rsidR="003216B4" w:rsidRPr="00CF3CDB" w:rsidRDefault="003216B4" w:rsidP="00E16661">
                      <w:pPr>
                        <w:rPr>
                          <w:rFonts w:ascii="Arial" w:hAnsi="Arial" w:cs="Arial"/>
                          <w:b/>
                          <w:bCs/>
                          <w:color w:val="104D54"/>
                          <w:sz w:val="44"/>
                          <w:szCs w:val="44"/>
                        </w:rPr>
                      </w:pPr>
                    </w:p>
                  </w:txbxContent>
                </v:textbox>
                <w10:wrap anchorx="margin" anchory="page"/>
                <w10:anchorlock/>
              </v:shape>
            </w:pict>
          </mc:Fallback>
        </mc:AlternateContent>
      </w:r>
      <w:r>
        <w:br w:type="page"/>
      </w:r>
    </w:p>
    <w:p w14:paraId="2AD48B11" w14:textId="77777777" w:rsidR="00172B4F" w:rsidRPr="00F973AB" w:rsidRDefault="00172B4F" w:rsidP="000F6F09">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ΔΗΛΩΣΗ ΑΠΟΠΟΙΗΣΗΣ ΕΥΘΥΝΗΣ</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2" w:name="_Hlk189935014"/>
                            <w:r>
                              <w:rPr>
                                <w:rFonts w:ascii="Arial" w:hAnsi="Arial"/>
                                <w:b/>
                                <w:color w:val="3B3838" w:themeColor="background2" w:themeShade="40"/>
                                <w:sz w:val="20"/>
                              </w:rPr>
                              <w:t xml:space="preserve">Το παρόν έγγραφο εργασίας δημιουργήθηκε από την Ευρωπαϊκή Επιτροπή για να στηρίξει την κοινότητα πρακτικής για την προμήθεια ΤΝ με σκοπό την καθοδήγηση των δημόσιων διοικήσεων κατά την προμήθεια λύσεων ΤΝ. Πρόκειται για έγγραφο εργασίας που βρίσκεται σε εξέλιξη και δεν αντικατοπτρίζει επίσημη θέση της Ευρωπαϊκής Επιτροπής.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Οι φορείς που αποφασίζουν να χρησιμοποιήσουν το παρόν έγγραφο εργασίας φέρουν πλήρη ευθύνη για τη χρήση του στο πλαίσιο δημόσιων προμηθειών.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Οι παρούσες τυποποιημένες ρήτρες για την ΤΝ υψηλού κινδύνου δεν θίγουν τις απαιτήσεις που απορρέουν από τον κανονισμό για την ΤΝ.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ΔΗΛΩΣΗ ΑΠΟΠΟΙΗΣΗΣ ΕΥΘΥΝΗΣ</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3" w:name="_Hlk189935014"/>
                      <w:r>
                        <w:rPr>
                          <w:rFonts w:ascii="Arial" w:hAnsi="Arial"/>
                          <w:b/>
                          <w:color w:val="3B3838" w:themeColor="background2" w:themeShade="40"/>
                          <w:sz w:val="20"/>
                        </w:rPr>
                        <w:t xml:space="preserve">Το παρόν έγγραφο εργασίας δημιουργήθηκε από την Ευρωπαϊκή Επιτροπή για να στηρίξει την κοινότητα πρακτικής για την προμήθεια ΤΝ με σκοπό την καθοδήγηση των δημόσιων διοικήσεων κατά την προμήθεια λύσεων ΤΝ. Πρόκειται για έγγραφο εργασίας που βρίσκεται σε εξέλιξη και δεν αντικατοπτρίζει επίσημη θέση της Ευρωπαϊκής Επιτροπής.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Οι φορείς που αποφασίζουν να χρησιμοποιήσουν το παρόν έγγραφο εργασίας φέρουν πλήρη ευθύνη για τη χρήση του στο πλαίσιο δημόσιων προμηθειών.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Οι παρούσες τυποποιημένες ρήτρες για την ΤΝ υψηλού κινδύνου δεν θίγουν τις απαιτήσεις που απορρέουν από τον κανονισμό για την ΤΝ.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br w:type="page"/>
      </w:r>
    </w:p>
    <w:p w14:paraId="75D16415" w14:textId="0A75DA7D" w:rsidR="00260A93" w:rsidRPr="00F973AB" w:rsidRDefault="00260A93" w:rsidP="00260A93">
      <w:pPr>
        <w:rPr>
          <w:rFonts w:ascii="Arial" w:hAnsi="Arial" w:cs="Arial"/>
          <w:sz w:val="22"/>
          <w:szCs w:val="22"/>
        </w:rPr>
      </w:pPr>
      <w:r>
        <w:rPr>
          <w:rFonts w:ascii="Arial" w:hAnsi="Arial"/>
          <w:sz w:val="22"/>
        </w:rPr>
        <w:lastRenderedPageBreak/>
        <w:t xml:space="preserve"> </w:t>
      </w:r>
    </w:p>
    <w:p w14:paraId="7CF980CC" w14:textId="77777777" w:rsidR="00260A93" w:rsidRPr="00F973AB" w:rsidRDefault="00260A93" w:rsidP="00260A93">
      <w:pPr>
        <w:rPr>
          <w:rFonts w:ascii="Arial" w:hAnsi="Arial" w:cs="Arial"/>
          <w:sz w:val="22"/>
          <w:szCs w:val="22"/>
        </w:rPr>
      </w:pPr>
    </w:p>
    <w:p w14:paraId="11551097" w14:textId="1F2DE0C7" w:rsidR="00260A93" w:rsidRPr="00F973AB" w:rsidRDefault="00260A93">
      <w:pPr>
        <w:rPr>
          <w:b/>
        </w:rPr>
      </w:pPr>
    </w:p>
    <w:p w14:paraId="076A3DF6" w14:textId="77777777" w:rsidR="000F6F09" w:rsidRPr="00F973AB" w:rsidRDefault="000F6F09" w:rsidP="000F6F09">
      <w:pPr>
        <w:rPr>
          <w:b/>
        </w:rPr>
      </w:pPr>
    </w:p>
    <w:p w14:paraId="11D7B653" w14:textId="77777777" w:rsidR="000F6F09" w:rsidRPr="00F973AB" w:rsidRDefault="000F6F09" w:rsidP="00A74620">
      <w:pPr>
        <w:spacing w:after="360"/>
        <w:rPr>
          <w:rFonts w:ascii="Arial" w:hAnsi="Arial" w:cs="Arial"/>
          <w:b/>
          <w:bCs/>
          <w:sz w:val="26"/>
          <w:szCs w:val="26"/>
        </w:rPr>
      </w:pPr>
      <w:r>
        <w:rPr>
          <w:rFonts w:ascii="Arial" w:hAnsi="Arial"/>
          <w:b/>
          <w:sz w:val="26"/>
        </w:rPr>
        <w:t>Τμήμα Α — Ορισμοί</w:t>
      </w:r>
    </w:p>
    <w:p w14:paraId="6A99E349" w14:textId="2D951991" w:rsidR="000F6F09" w:rsidRPr="00F973AB" w:rsidRDefault="000F6F09" w:rsidP="006F3E34">
      <w:pPr>
        <w:pStyle w:val="doLijstnummering7"/>
        <w:rPr>
          <w:rFonts w:ascii="Arial" w:eastAsia="Calibri" w:hAnsi="Arial" w:cs="Arial"/>
          <w:color w:val="3B3838" w:themeColor="background2" w:themeShade="40"/>
          <w:sz w:val="22"/>
          <w:szCs w:val="22"/>
        </w:rPr>
      </w:pPr>
      <w:r>
        <w:rPr>
          <w:rFonts w:ascii="Arial" w:hAnsi="Arial"/>
          <w:color w:val="3B3838" w:themeColor="background2" w:themeShade="40"/>
          <w:sz w:val="22"/>
        </w:rPr>
        <w:t>Ορισμοί: οι κεφαλαιοποιημένοι όροι που χρησιμοποιούνται στις παρούσες ΤΣΡ-ΤΝ υψηλού κινδύνου θα έχουν την έννοια που τους αποδίδεται στο παρόν άρθρο·</w:t>
      </w:r>
    </w:p>
    <w:p w14:paraId="2CB165B3" w14:textId="77777777" w:rsidR="000F6F09" w:rsidRPr="00F973AB"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7752FF49"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color w:val="3B3838" w:themeColor="background2" w:themeShade="40"/>
          <w:sz w:val="22"/>
          <w:u w:val="single"/>
        </w:rPr>
        <w:t>σύμβαση</w:t>
      </w:r>
      <w:r>
        <w:rPr>
          <w:rFonts w:ascii="Arial" w:hAnsi="Arial"/>
          <w:color w:val="3B3838" w:themeColor="background2" w:themeShade="40"/>
          <w:sz w:val="22"/>
        </w:rPr>
        <w:t>: το σύνολο της σύμβασης</w:t>
      </w:r>
      <w:r>
        <w:rPr>
          <w:rFonts w:ascii="Arial" w:hAnsi="Arial"/>
          <w:sz w:val="22"/>
        </w:rPr>
        <w:t xml:space="preserve"> της οποίας οι ΤΣΡ-ΤΝ υψηλού κινδύνου, ως προσάρτημα, αποτελούν αναπόσπαστο μέρος·</w:t>
      </w:r>
    </w:p>
    <w:p w14:paraId="5CC80148" w14:textId="77777777" w:rsidR="00DE20B9" w:rsidRPr="00F973AB" w:rsidRDefault="00DE20B9" w:rsidP="00564A63">
      <w:pPr>
        <w:pStyle w:val="doBullets1"/>
        <w:numPr>
          <w:ilvl w:val="0"/>
          <w:numId w:val="0"/>
        </w:numPr>
        <w:ind w:left="851" w:hanging="851"/>
        <w:rPr>
          <w:rFonts w:ascii="Arial" w:hAnsi="Arial" w:cs="Arial"/>
          <w:sz w:val="22"/>
          <w:szCs w:val="22"/>
        </w:rPr>
      </w:pPr>
    </w:p>
    <w:p w14:paraId="454C6714" w14:textId="2FE1BC34"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σύστημα ΤΝ</w:t>
      </w:r>
      <w:r>
        <w:rPr>
          <w:rFonts w:ascii="Arial" w:hAnsi="Arial"/>
          <w:sz w:val="22"/>
        </w:rPr>
        <w:t xml:space="preserve">: το μηχανικό σύστημα ή τα μηχανικά συστήματα που έχουν σχεδιαστεί για να λειτουργούν με διαφορετικά επίπεδα αυτονομίας και μπορούν να παρουσιάζουν προσαρμοστικότητα μετά την εφαρμογή τους και τα οποία, για ρητούς ή σιωπηρούς στόχους, συνάγουν, από τα στοιχεία εισόδου που λαμβάνουν, πώς να παράγουν στοιχεία εξόδου, όπως προβλέψεις, περιεχόμενο, συστάσεις ή αποφάσεις που μπορούν να επηρεάσουν υλικά ή εικονικά περιβάλλοντα, όπως προσδιορίζονται και περιγράφονται περαιτέρω στο </w:t>
      </w:r>
      <w:r>
        <w:rPr>
          <w:rFonts w:ascii="Arial" w:hAnsi="Arial"/>
          <w:b/>
          <w:sz w:val="22"/>
        </w:rPr>
        <w:t>παράρτημα Α</w:t>
      </w:r>
      <w:r>
        <w:rPr>
          <w:rFonts w:ascii="Arial" w:hAnsi="Arial"/>
          <w:sz w:val="22"/>
        </w:rPr>
        <w:t>, συμπεριλαμβανομένων τυχόν νέων εκδόσεων αυτού</w:t>
      </w:r>
      <w:r>
        <w:rPr>
          <w:rStyle w:val="FootnoteReference"/>
          <w:rFonts w:ascii="Arial" w:hAnsi="Arial" w:cs="Arial"/>
          <w:sz w:val="22"/>
          <w:szCs w:val="22"/>
        </w:rPr>
        <w:footnoteReference w:id="1"/>
      </w:r>
      <w:r>
        <w:rPr>
          <w:rFonts w:ascii="Arial" w:hAnsi="Arial"/>
          <w:sz w:val="22"/>
        </w:rPr>
        <w:t xml:space="preserve">· </w:t>
      </w:r>
    </w:p>
    <w:p w14:paraId="75C084B9" w14:textId="77777777" w:rsidR="00DE20B9" w:rsidRPr="00F973AB" w:rsidRDefault="00DE20B9" w:rsidP="00564A63">
      <w:pPr>
        <w:pStyle w:val="doBullets1"/>
        <w:numPr>
          <w:ilvl w:val="0"/>
          <w:numId w:val="0"/>
        </w:numPr>
        <w:ind w:left="851" w:hanging="851"/>
        <w:rPr>
          <w:rFonts w:ascii="Arial" w:hAnsi="Arial" w:cs="Arial"/>
          <w:sz w:val="22"/>
          <w:szCs w:val="22"/>
        </w:rPr>
      </w:pPr>
    </w:p>
    <w:p w14:paraId="1F1B54BE" w14:textId="7BBAE7D3" w:rsidR="000F6F09" w:rsidRPr="00F973AB" w:rsidRDefault="00A81582" w:rsidP="00DE20B9">
      <w:pPr>
        <w:pStyle w:val="doBullets1"/>
        <w:numPr>
          <w:ilvl w:val="0"/>
          <w:numId w:val="0"/>
        </w:numPr>
        <w:ind w:left="851" w:hanging="851"/>
        <w:rPr>
          <w:rFonts w:ascii="Arial" w:hAnsi="Arial" w:cs="Arial"/>
          <w:sz w:val="22"/>
          <w:szCs w:val="22"/>
        </w:rPr>
      </w:pPr>
      <w:r>
        <w:rPr>
          <w:rFonts w:ascii="Arial" w:hAnsi="Arial"/>
          <w:sz w:val="22"/>
          <w:u w:val="single"/>
        </w:rPr>
        <w:t>ΤΣΡ-ΤΝ υψηλού κινδύνου</w:t>
      </w:r>
      <w:r>
        <w:rPr>
          <w:rFonts w:ascii="Arial" w:hAnsi="Arial"/>
          <w:sz w:val="22"/>
        </w:rPr>
        <w:t>: οι παρούσες συμβατικές ρήτρες για τη δημόσια προμήθεια ΤΝ υψηλού κινδύνου από δημόσιους οργανισμούς·</w:t>
      </w:r>
    </w:p>
    <w:p w14:paraId="75B5B41E"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768EB4C4"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σύνολα δεδομένων δημόσιου οργανισμού</w:t>
      </w:r>
      <w:r>
        <w:rPr>
          <w:rFonts w:ascii="Arial" w:hAnsi="Arial"/>
          <w:sz w:val="22"/>
        </w:rPr>
        <w:t>: τα σύνολα δεδομένων (ή μέρη αυτών) i) που παρέχονται από τον δημόσιο οργανισμό στον προμηθευτή βάσει της σύμβασης ή ii) που πρόκειται να δημιουργηθούν ή να συλλεχθούν στο πλαίσιο της σύμβασης, συμπεριλαμβανομένων τυχόν τροποποιημένων ή εκτεταμένων εκδόσεων των συνόλων δεδομένων που αναφέρονται στα σημεία i) και ii) (για παράδειγμα λόγω σχολιασμού, επισήμανσης, καθαρισμού, εμπλουτισμού ή ομαδοποίησης)·</w:t>
      </w:r>
    </w:p>
    <w:p w14:paraId="6E76D7F6"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σύνολα δεδομένων</w:t>
      </w:r>
      <w:r>
        <w:rPr>
          <w:rFonts w:ascii="Arial" w:hAnsi="Arial"/>
          <w:sz w:val="22"/>
        </w:rPr>
        <w:t>: όλα τα σύνολα δεδομένων που χρησιμοποιούνται στην ανάπτυξη του συστήματος ΤΝ, συμπεριλαμβανομένων του/των συνόλου/-ων δεδομένων που περιγράφεται/-</w:t>
      </w:r>
      <w:proofErr w:type="spellStart"/>
      <w:r>
        <w:rPr>
          <w:rFonts w:ascii="Arial" w:hAnsi="Arial"/>
          <w:sz w:val="22"/>
        </w:rPr>
        <w:t>ονται</w:t>
      </w:r>
      <w:proofErr w:type="spellEnd"/>
      <w:r>
        <w:rPr>
          <w:rFonts w:ascii="Arial" w:hAnsi="Arial"/>
          <w:sz w:val="22"/>
        </w:rPr>
        <w:t xml:space="preserve"> στο </w:t>
      </w:r>
      <w:r>
        <w:rPr>
          <w:rFonts w:ascii="Arial" w:hAnsi="Arial"/>
          <w:b/>
          <w:sz w:val="22"/>
        </w:rPr>
        <w:t>παράρτημα Β</w:t>
      </w:r>
      <w:r>
        <w:rPr>
          <w:rFonts w:ascii="Arial" w:hAnsi="Arial"/>
          <w:sz w:val="22"/>
        </w:rPr>
        <w:t>·</w:t>
      </w:r>
    </w:p>
    <w:p w14:paraId="7C67D984"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παράδοση</w:t>
      </w:r>
      <w:r>
        <w:rPr>
          <w:rFonts w:ascii="Arial" w:hAnsi="Arial"/>
          <w:sz w:val="22"/>
        </w:rPr>
        <w:t>: ο χρόνος κατά τον οποίο ο προμηθευτής ενημερώνει τον δημόσιο οργανισμό ότι το σύστημα ΤΝ πληροί όλους τους συμφωνηθέντες όρους και είναι έτοιμο προς χρήση·</w:t>
      </w:r>
    </w:p>
    <w:p w14:paraId="573B7690"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επιδιωκόμενος σκοπός</w:t>
      </w:r>
      <w:r>
        <w:rPr>
          <w:rFonts w:ascii="Arial" w:hAnsi="Arial"/>
          <w:sz w:val="22"/>
        </w:rPr>
        <w:t xml:space="preserve">: η χρήση για την οποία προορίζει το σύστημα ΤΝ ο δημόσιος οργανισμός, συμπεριλαμβανομένων του ειδικού πλαισίου και των όρων χρήσης, όπως προσδιορίζονται στο παράρτημα Β, στις πληροφορίες που παρέχει ο </w:t>
      </w:r>
      <w:r>
        <w:rPr>
          <w:rFonts w:ascii="Arial" w:hAnsi="Arial"/>
          <w:sz w:val="22"/>
        </w:rPr>
        <w:lastRenderedPageBreak/>
        <w:t>προμηθευτής στις οδηγίες χρήσης, σε διαφημιστικό υλικό ή στο υλικό πωλήσεων και σε δηλώσεις, καθώς και στον τεχνικό φάκελο·</w:t>
      </w:r>
    </w:p>
    <w:p w14:paraId="10C49FB2"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ευλόγως προβλέψιμη κακή χρήση</w:t>
      </w:r>
      <w:r>
        <w:rPr>
          <w:rFonts w:ascii="Arial" w:hAnsi="Arial"/>
          <w:color w:val="000000"/>
          <w:sz w:val="22"/>
          <w:shd w:val="clear" w:color="auto" w:fill="FFFFFF"/>
        </w:rPr>
        <w:t>: η χρήση του συστήματος ΤΝ κατά τρόπο που δεν συνάδει με τον επιδιωκόμενο σκοπό του, αλλά μπορεί να προκύψει από ευλόγως προβλέψιμη ανθρώπινη συμπεριφορά ή αλληλεπίδραση με άλλα συστήματα, συμπεριλαμβανομένων άλλων συστημάτων ΤΝ·</w:t>
      </w:r>
    </w:p>
    <w:p w14:paraId="276D3C65"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2249CD8" w14:textId="59695DDE"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ουσιαστική τροποποίηση</w:t>
      </w:r>
      <w:r>
        <w:rPr>
          <w:rFonts w:ascii="Arial" w:hAnsi="Arial"/>
          <w:sz w:val="22"/>
        </w:rPr>
        <w:t>: αλλαγή στο σύστημα ΤΝ μετά την παράδοση, η οποία δεν προβλέπεται ούτε προγραμματίζεται στην αρχική αξιολόγηση της συμμόρφωσης που πραγματοποιεί ο προμηθευτής και η οποία επηρεάζει τη συμμόρφωση του συστήματος ΤΝ με τις απαιτήσεις που καθορίζονται στις παρούσες ΤΣΡ-ΤΝ υψηλού κινδύνου (με την επιφύλαξη του κεφαλαίου III τμήμα 2 του κανονισμού για την ΤΝ) ή επιφέρει τροποποίηση του επιδιωκόμενου σκοπού για τον οποίο έχει αξιολογηθεί το σύστημα ΤΝ·</w:t>
      </w:r>
    </w:p>
    <w:p w14:paraId="6DF917D7"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προμηθευτής</w:t>
      </w:r>
      <w:r>
        <w:rPr>
          <w:rFonts w:ascii="Arial" w:hAnsi="Arial"/>
          <w:sz w:val="22"/>
        </w:rPr>
        <w:t xml:space="preserve">: </w:t>
      </w:r>
      <w:r>
        <w:rPr>
          <w:rFonts w:ascii="Arial" w:hAnsi="Arial"/>
          <w:color w:val="000000"/>
          <w:sz w:val="22"/>
          <w:shd w:val="clear" w:color="auto" w:fill="FFFFFF"/>
        </w:rPr>
        <w:t>το φυσικό ή νομικό πρόσωπο, η δημόσια αρχή, η υπηρεσία ή άλλος φορέας που προμηθεύει το σύστημα ΤΝ στον δημόσιο οργανισμό βάσει της σύμβασης·</w:t>
      </w:r>
    </w:p>
    <w:p w14:paraId="453964DB" w14:textId="77777777" w:rsidR="00DE20B9" w:rsidRPr="00F973AB" w:rsidRDefault="00DE20B9" w:rsidP="00564A63">
      <w:pPr>
        <w:pStyle w:val="doBullets1"/>
        <w:numPr>
          <w:ilvl w:val="0"/>
          <w:numId w:val="0"/>
        </w:numPr>
        <w:ind w:left="851" w:hanging="851"/>
        <w:rPr>
          <w:rFonts w:ascii="Arial" w:hAnsi="Arial" w:cs="Arial"/>
          <w:sz w:val="22"/>
          <w:szCs w:val="22"/>
        </w:rPr>
      </w:pPr>
    </w:p>
    <w:p w14:paraId="431534B4" w14:textId="3A42F86C" w:rsidR="000F6F09" w:rsidRPr="00F973AB" w:rsidRDefault="000F6F09" w:rsidP="00564A63">
      <w:pPr>
        <w:pStyle w:val="doBullets1"/>
        <w:numPr>
          <w:ilvl w:val="0"/>
          <w:numId w:val="0"/>
        </w:numPr>
        <w:ind w:left="851" w:hanging="851"/>
        <w:rPr>
          <w:rFonts w:ascii="Arial" w:hAnsi="Arial" w:cs="Arial"/>
          <w:sz w:val="22"/>
          <w:szCs w:val="22"/>
        </w:rPr>
      </w:pPr>
      <w:r>
        <w:rPr>
          <w:rFonts w:ascii="Arial" w:hAnsi="Arial"/>
          <w:sz w:val="22"/>
          <w:u w:val="single"/>
        </w:rPr>
        <w:t>σύνολα δεδομένων προμηθευτή και σύνολα δεδομένων τρίτων</w:t>
      </w:r>
      <w:r>
        <w:rPr>
          <w:rFonts w:ascii="Arial" w:hAnsi="Arial"/>
          <w:sz w:val="22"/>
        </w:rPr>
        <w:t>: τα σύνολα δεδομένων (ή μέρη αυτών) που δεν χαρακτηρίζονται ως σύνολα δεδομένων δημόσιου οργανισμού.</w:t>
      </w:r>
    </w:p>
    <w:p w14:paraId="1F93B595" w14:textId="77777777" w:rsidR="00176170" w:rsidRPr="00F973AB" w:rsidRDefault="00176170" w:rsidP="000F6F09">
      <w:pPr>
        <w:rPr>
          <w:rFonts w:ascii="Arial" w:hAnsi="Arial" w:cs="Arial"/>
          <w:b/>
          <w:bCs/>
          <w:sz w:val="26"/>
          <w:szCs w:val="26"/>
        </w:rPr>
      </w:pPr>
      <w:r>
        <w:br w:type="page"/>
      </w:r>
    </w:p>
    <w:p w14:paraId="00A9E6F4" w14:textId="77777777" w:rsidR="000F6F09" w:rsidRPr="00F973AB" w:rsidRDefault="000F6F09" w:rsidP="00A74620">
      <w:pPr>
        <w:spacing w:after="360"/>
        <w:rPr>
          <w:rFonts w:ascii="Arial" w:hAnsi="Arial" w:cs="Arial"/>
          <w:b/>
          <w:bCs/>
          <w:sz w:val="26"/>
          <w:szCs w:val="26"/>
        </w:rPr>
      </w:pPr>
      <w:r>
        <w:rPr>
          <w:rFonts w:ascii="Arial" w:hAnsi="Arial"/>
          <w:b/>
          <w:sz w:val="26"/>
        </w:rPr>
        <w:lastRenderedPageBreak/>
        <w:t xml:space="preserve">Τμήμα Β — Βασικές απαιτήσεις σε σχέση με το σύστημα ΤΝ </w:t>
      </w:r>
    </w:p>
    <w:p w14:paraId="110DDF9B" w14:textId="77777777" w:rsidR="000F6F09" w:rsidRPr="00F973AB" w:rsidRDefault="000F6F09" w:rsidP="000F6F09">
      <w:pPr>
        <w:pStyle w:val="doLijstnummering7"/>
        <w:rPr>
          <w:rFonts w:ascii="Arial" w:hAnsi="Arial" w:cs="Arial"/>
          <w:sz w:val="22"/>
          <w:szCs w:val="22"/>
        </w:rPr>
      </w:pPr>
      <w:r>
        <w:rPr>
          <w:rFonts w:ascii="Arial" w:hAnsi="Arial"/>
          <w:sz w:val="22"/>
        </w:rPr>
        <w:t>Σύστημα διαχείρισης κινδύνου</w:t>
      </w:r>
    </w:p>
    <w:p w14:paraId="5C48034B" w14:textId="77777777" w:rsidR="000F6F09" w:rsidRPr="00F973AB" w:rsidRDefault="000F6F09" w:rsidP="000F6F09">
      <w:pPr>
        <w:rPr>
          <w:rFonts w:ascii="Arial" w:hAnsi="Arial" w:cs="Arial"/>
          <w:b/>
          <w:i/>
          <w:sz w:val="22"/>
          <w:szCs w:val="22"/>
        </w:rPr>
      </w:pPr>
    </w:p>
    <w:p w14:paraId="51B32C40" w14:textId="36411ADB"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Ο προμηθευτής διασφαλίζει ότι, πριν από την παράδοση του συστήματος ΤΝ, </w:t>
      </w:r>
      <w:r>
        <w:rPr>
          <w:rFonts w:ascii="Arial" w:hAnsi="Arial"/>
          <w:color w:val="000000"/>
          <w:sz w:val="22"/>
          <w:shd w:val="clear" w:color="auto" w:fill="FFFFFF"/>
        </w:rPr>
        <w:t>θεσπίζεται, υλοποιείται, τεκμηριώνεται και διατηρείται σύστημα διαχείρισης κινδύνου σε σχέση με το σύστημα ΤΝ.</w:t>
      </w:r>
      <w:r>
        <w:rPr>
          <w:rFonts w:ascii="Arial" w:hAnsi="Arial"/>
          <w:sz w:val="22"/>
        </w:rPr>
        <w:t xml:space="preserve"> </w:t>
      </w:r>
    </w:p>
    <w:p w14:paraId="61B566DE"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Το σύστημα διαχείρισης κινδύνου περιλαμβάνει τουλάχιστον τα ακόλουθα στάδια:</w:t>
      </w:r>
    </w:p>
    <w:p w14:paraId="073847C4" w14:textId="4FBB36DE"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τον προσδιορισμό, την εκτίμηση και την αξιολόγηση των γνωστών και ευλόγως προβλέψιμων κινδύνων που μπορεί να ενέχει το σύστημα ΤΝ για την υγεία, την ασφάλεια ή τα θεμελιώδη δικαιώματα, όταν το σύστημα ΤΝ χρησιμοποιείται σύμφωνα με τον επιδιωκόμενο σκοπό·</w:t>
      </w:r>
    </w:p>
    <w:p w14:paraId="1525DA03" w14:textId="77777777" w:rsidR="00BC4A48" w:rsidRPr="00F973AB" w:rsidRDefault="00BC4A48" w:rsidP="000F6F09">
      <w:pPr>
        <w:pStyle w:val="doLijstnummering7"/>
        <w:numPr>
          <w:ilvl w:val="2"/>
          <w:numId w:val="6"/>
        </w:numPr>
        <w:rPr>
          <w:rFonts w:ascii="Arial" w:hAnsi="Arial" w:cs="Arial"/>
          <w:color w:val="000000"/>
          <w:sz w:val="22"/>
          <w:szCs w:val="22"/>
          <w:shd w:val="clear" w:color="auto" w:fill="FFFFFF"/>
        </w:rPr>
      </w:pPr>
      <w:r>
        <w:rPr>
          <w:rFonts w:ascii="Arial" w:hAnsi="Arial"/>
          <w:color w:val="000000"/>
          <w:sz w:val="22"/>
          <w:shd w:val="clear" w:color="auto" w:fill="FFFFFF"/>
        </w:rPr>
        <w:t>την εκτίμηση και την αξιολόγηση των κινδύνων που ενδέχεται να προκύψουν όταν το σύστημα ΤΝ χρησιμοποιείται σύμφωνα με τον επιδιωκόμενο σκοπό και υπό συνθήκες ευλόγως προβλέψιμης κακής χρήσης·</w:t>
      </w:r>
    </w:p>
    <w:p w14:paraId="68295438" w14:textId="3D0D82CC"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αξιολόγηση άλλων πιθανών κινδύνων με βάση την ανάλυση των δεδομένων που συλλέγονται από το σύστημα παρακολούθησης μετά τη διάθεση στην αγορά·</w:t>
      </w:r>
    </w:p>
    <w:p w14:paraId="1490CBDA" w14:textId="47D4CA33"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θέσπιση κατάλληλων και στοχευμένων μέτρων διαχείρισης κινδύνου για την αντιμετώπιση των κινδύνων που προσδιορίζονται βάσει του στοιχείου α) της παρούσας παραγράφου σύμφωνα με τις διατάξεις των ακόλουθων παραγράφων.</w:t>
      </w:r>
    </w:p>
    <w:p w14:paraId="11E92611" w14:textId="60BA965A" w:rsidR="0026274B" w:rsidRPr="00F973AB" w:rsidRDefault="0026274B" w:rsidP="0026274B">
      <w:pPr>
        <w:pStyle w:val="doLijstnummering7"/>
        <w:numPr>
          <w:ilvl w:val="1"/>
          <w:numId w:val="6"/>
        </w:numPr>
        <w:rPr>
          <w:rFonts w:ascii="Arial" w:hAnsi="Arial" w:cs="Arial"/>
          <w:sz w:val="22"/>
          <w:szCs w:val="22"/>
        </w:rPr>
      </w:pPr>
      <w:r>
        <w:rPr>
          <w:rFonts w:ascii="Arial" w:hAnsi="Arial"/>
          <w:sz w:val="22"/>
        </w:rPr>
        <w:t xml:space="preserve">Το παρόν άρθρο αφορά μόνο όσους κινδύνους μπορούν εύλογα </w:t>
      </w:r>
    </w:p>
    <w:p w14:paraId="386612AC" w14:textId="43462CEB" w:rsidR="0026274B" w:rsidRPr="00F973AB" w:rsidRDefault="0026274B" w:rsidP="00564A63">
      <w:pPr>
        <w:pStyle w:val="doLijstnummering7"/>
        <w:numPr>
          <w:ilvl w:val="0"/>
          <w:numId w:val="0"/>
        </w:numPr>
        <w:ind w:left="709"/>
        <w:rPr>
          <w:rFonts w:ascii="Arial" w:hAnsi="Arial" w:cs="Arial"/>
          <w:sz w:val="22"/>
          <w:szCs w:val="22"/>
        </w:rPr>
      </w:pPr>
      <w:r>
        <w:rPr>
          <w:rFonts w:ascii="Arial" w:hAnsi="Arial"/>
          <w:sz w:val="22"/>
        </w:rPr>
        <w:t>να μετριαστούν ή να εξαλειφθούν μέσω της ανάπτυξης ή του σχεδιασμού του συστήματος ΤΝ ή της παροχής επαρκών τεχνικών πληροφοριών.</w:t>
      </w:r>
    </w:p>
    <w:p w14:paraId="2DCC99D1" w14:textId="0B98A71E" w:rsidR="00AE662B" w:rsidRPr="00F973AB" w:rsidRDefault="003F7670" w:rsidP="000F6F09">
      <w:pPr>
        <w:pStyle w:val="doLijstnummering7"/>
        <w:numPr>
          <w:ilvl w:val="1"/>
          <w:numId w:val="6"/>
        </w:numPr>
        <w:rPr>
          <w:rFonts w:ascii="Arial" w:hAnsi="Arial" w:cs="Arial"/>
          <w:sz w:val="22"/>
          <w:szCs w:val="22"/>
        </w:rPr>
      </w:pPr>
      <w:r>
        <w:rPr>
          <w:rFonts w:ascii="Arial" w:hAnsi="Arial"/>
          <w:sz w:val="22"/>
        </w:rPr>
        <w:t>Οι κίνδυνοι που αναφέρονται στο παρόν άρθρο λαμβάνουν δεόντως υπόψη τις επιπτώσεις και την ενδεχόμενη αλληλεπίδραση που προκύπτουν από τη συνδυασμένη εφαρμογή των απαιτήσεων που καθορίζονται στο τμήμα Β, με στόχο να ελαχιστοποιηθούν αποτελεσματικότερα οι κίνδυνοι, ενώ παράλληλα επιτυγχάνεται κατάλληλη ισορροπία κατά την εφαρμογή των μέτρων για την εκπλήρωση των απαιτήσεων αυτών.</w:t>
      </w:r>
    </w:p>
    <w:p w14:paraId="3EE728AD" w14:textId="322C3EF5"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Τα μέτρα διαχείρισης κινδύνου που αναφέρονται στην παράγραφο 2.2 στοιχείο δ) είναι τέτοια ώστε οι σχετικοί υπολειπόμενοι κίνδυνοι που συνδέονται με κάθε παράγοντα κινδύνου καθώς και ο συνολικός υπολειπόμενος κίνδυνος του συστήματος ΤΝ να κρίνονται αποδεκτοί από τον προμηθευτή, υπό την προϋπόθεση ότι το σύστημα ΤΝ χρησιμοποιείται σύμφωνα με τον επιδιωκόμενο σκοπό ή υπό συνθήκες ευλόγως προβλέψιμης κακής χρήσης.</w:t>
      </w:r>
    </w:p>
    <w:p w14:paraId="451046AB" w14:textId="667807DB"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Κατά τον προσδιορισμό των καταλληλότερων μέτρων διαχείρισης κινδύνου που αναφέρονται στην παράγραφο 2.2 στοιχείο δ), διασφαλίζονται τα εξής:</w:t>
      </w:r>
    </w:p>
    <w:p w14:paraId="1C73F573" w14:textId="25D24802"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εξάλειψη ή μείωση των κινδύνων που εντοπίζονται και αξιολογούνται κατ’ εφαρμογή της παραγράφου 2.2, στον βαθμό που αυτό είναι τεχνικά εφικτό, μέσω επαρκούς σχεδιασμού και ανάπτυξης του συστήματος ΤΝ·</w:t>
      </w:r>
    </w:p>
    <w:p w14:paraId="279C02C3" w14:textId="0F213A57"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κατά περίπτωση, εφαρμογή κατάλληλων μέτρων μετριασμού και ελέγχου για την αντιμετώπιση κινδύνων που δεν μπορούν να εξαλειφθούν·</w:t>
      </w:r>
    </w:p>
    <w:p w14:paraId="2722BF58" w14:textId="15946474"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παροχή επαρκών πληροφοριών στον δημόσιο οργανισμό και, κατά περίπτωση, κατάρτιση στους φορείς εφαρμογής.</w:t>
      </w:r>
    </w:p>
    <w:p w14:paraId="7B1357E6" w14:textId="74A52F18"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lastRenderedPageBreak/>
        <w:t>Ο προμηθευτής διασφαλίζει ότι το σύστημα ΤΝ, πριν από την παράδοσή του, υποβάλλεται σε δοκιμή προκειμένου να επαληθευτεί αν συμμορφώνεται με τις ΤΣΡ-ΤΝ υψηλού κινδύνου και αν τα μέτρα διαχείρισης κινδύνου που αναφέρονται στην παράγραφο 2.2 στοιχείο δ) είναι αποτελεσματικά, λαμβανομένων υπόψη του επιδιωκόμενου σκοπού του συστήματος ΤΝ και</w:t>
      </w:r>
      <w:r>
        <w:rPr>
          <w:rFonts w:ascii="Arial" w:hAnsi="Arial"/>
          <w:sz w:val="22"/>
        </w:rPr>
        <w:t xml:space="preserve"> της ευλόγως προβλέψιμης κακής χρήσης</w:t>
      </w:r>
      <w:r>
        <w:rPr>
          <w:rFonts w:ascii="Arial" w:hAnsi="Arial"/>
          <w:sz w:val="22"/>
          <w:bdr w:val="none" w:sz="0" w:space="0" w:color="auto" w:frame="1"/>
        </w:rPr>
        <w:t xml:space="preserve">. Εάν ζητηθεί από τον δημόσιο οργανισμό, ο προμηθευτής υποχρεούται να υποβάλει σε δοκιμή το σύστημα ΤΝ στο περιβάλλον του δημόσιου οργανισμού. </w:t>
      </w:r>
    </w:p>
    <w:p w14:paraId="302016F4" w14:textId="77777777" w:rsidR="00EF0D2A" w:rsidRPr="00F973AB" w:rsidRDefault="00EF0D2A"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Η δοκιμή του συστήματος ΤΝ διενεργείται, κατά περίπτωση, σε οποιοδήποτε στάδιο της διαδικασίας ανάπτυξης και, σε κάθε περίπτωση, πριν από την παράδοσή του. Η δοκιμή πραγματοποιείται βάσει προκαθορισμένων δεικτών μέτρησης και πιθανολογικών ορίων που είναι κατάλληλα για τον επιδιωκόμενο σκοπό του συστήματος ΤΝ.</w:t>
      </w:r>
    </w:p>
    <w:p w14:paraId="5A1D66FB"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Όλοι οι κίνδυνοι που προσδιορίζονται, τα μέτρα που λαμβάνονται και οι δοκιμές που διενεργούνται στο πλαίσιο της συμμόρφωσης με το παρόν άρθρο πρέπει να τεκμηριώνονται από τον προμηθευτή. Ο προμηθευτής πρέπει να θέτει την εν λόγω τεκμηρίωση στη διάθεση του δημόσιου οργανισμού τουλάχιστον κατά τον χρόνο παράδοσης του συστήματος ΤΝ. Η εν λόγω τεκμηρίωση μπορεί να αποτελεί μέρος του τεχνικού φακέλου και/ή των οδηγιών χρήσης.</w:t>
      </w:r>
    </w:p>
    <w:p w14:paraId="35048AF1" w14:textId="11810C1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Το σύστημα διαχείρισης κινδύνου νοείται ως μια συνεχής και επαναληπτική διαδικασία που έχει προγραμματιστεί και εκτελείται καθ’ όλη τη διάρκεια ισχύος της σύμβασης. Ως εκ τούτου, μετά την παράδοση του συστήματος ΤΝ, ο προμηθευτής πρέπει:</w:t>
      </w:r>
    </w:p>
    <w:p w14:paraId="0A531EA3" w14:textId="720061C7"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να επανεξετάζει και να επικαιροποιεί τακτικά τη διαδικασία διαχείρισης κινδύνου, ώστε να διασφαλίζεται η συνεχής αποτελεσματικότητά της· </w:t>
      </w:r>
    </w:p>
    <w:p w14:paraId="31CB19F3" w14:textId="1E78F77E"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να επικαιροποιεί την τεκμηρίωση που περιγράφεται στο άρθρο 2.7· και</w:t>
      </w:r>
    </w:p>
    <w:p w14:paraId="57AF44BC" w14:textId="21BB6F6C"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να θέτει χωρίς καθυστέρηση στη διάθεση του δημόσιου οργανισμού κάθε νέα έκδοση της τεκμηρίωσης που περιγράφεται στο άρθρο 2.7.</w:t>
      </w:r>
    </w:p>
    <w:p w14:paraId="79ECC8BE"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Εάν αυτό απαιτείται ευλόγως για την ορθή εφαρμογή του συστήματος διαχείρισης κινδύνου από τον προμηθευτή, ο δημόσιος οργανισμός παρέχει στον προμηθευτή, κατόπιν αιτήματος, πληροφορίες, στον βαθμό που αυτές δεν είναι εμπιστευτικού χαρακτήρα.</w:t>
      </w:r>
    </w:p>
    <w:p w14:paraId="0BDE292C" w14:textId="0ACBE7FC"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&lt;προαιρετικό&gt;</w:t>
      </w:r>
      <w:r>
        <w:rPr>
          <w:rFonts w:ascii="Arial" w:hAnsi="Arial"/>
          <w:sz w:val="22"/>
          <w:bdr w:val="none" w:sz="0" w:space="0" w:color="auto" w:frame="1"/>
        </w:rPr>
        <w:t xml:space="preserve"> Εάν η χρήση του συστήματος ΤΝ από τον δημόσιο οργανισμό συνεχιστεί πέραν της διάρκειας ισχύος της σύμβασης, κατά τον χρόνο λήξης της ισχύος της σύμβασης, ο προμηθευτής παρέχει στον δημόσιο οργανισμό τις πληροφορίες που είναι απαραίτητες για τη διατήρηση του συστήματος διαχείρισης κινδύνου από τον ίδιο.</w:t>
      </w:r>
    </w:p>
    <w:p w14:paraId="64DE321B" w14:textId="77777777" w:rsidR="000F6F09" w:rsidRPr="00F973AB" w:rsidRDefault="000F6F09" w:rsidP="000F6F09">
      <w:pPr>
        <w:pStyle w:val="doLijstnummering7"/>
        <w:numPr>
          <w:ilvl w:val="0"/>
          <w:numId w:val="0"/>
        </w:numPr>
        <w:ind w:left="851" w:hanging="851"/>
      </w:pPr>
    </w:p>
    <w:p w14:paraId="3B352DB2" w14:textId="101F80D1" w:rsidR="000F6F09" w:rsidRPr="00F973AB" w:rsidRDefault="000F6F09" w:rsidP="000F6F09">
      <w:pPr>
        <w:pStyle w:val="doLijstnummering7"/>
        <w:rPr>
          <w:rFonts w:ascii="Arial" w:hAnsi="Arial" w:cs="Arial"/>
          <w:sz w:val="22"/>
          <w:szCs w:val="22"/>
        </w:rPr>
      </w:pPr>
      <w:r>
        <w:rPr>
          <w:rFonts w:ascii="Arial" w:hAnsi="Arial"/>
          <w:b/>
          <w:sz w:val="22"/>
        </w:rPr>
        <w:t>&lt;Το άρθρο 3 αφορά μόνο τα συστήματα ΤΝ τα οποία χρησιμοποιούν τεχνικές που περιλαμβάνουν την εκπαίδευση μοντέλων με δεδομένα. Το άρθρο 3 προϋποθέτει ότι ο προμηθευτής (ή οι υπεργολάβοι του) έχει (έχουν) πλήρη πρόσβαση στα σύνολα δεδομένων. Εάν τα σύνολα δεδομένων τηρούνται αποκλειστικά από τον δημόσιο οργανισμό, είναι αναγκαίο να γίνουν άλλες ρυθμίσεις.&gt;</w:t>
      </w:r>
      <w:r>
        <w:rPr>
          <w:rFonts w:ascii="Arial" w:hAnsi="Arial"/>
          <w:sz w:val="22"/>
        </w:rPr>
        <w:t xml:space="preserve"> Δεδομένα και διακυβέρνηση δεδομένων</w:t>
      </w:r>
    </w:p>
    <w:p w14:paraId="0226D11F" w14:textId="77777777" w:rsidR="000F6F09" w:rsidRPr="00F973AB" w:rsidRDefault="000F6F09" w:rsidP="000F6F09">
      <w:pPr>
        <w:pStyle w:val="doLijstnummering7"/>
        <w:numPr>
          <w:ilvl w:val="0"/>
          <w:numId w:val="0"/>
        </w:numPr>
        <w:ind w:left="851"/>
        <w:rPr>
          <w:rFonts w:ascii="Arial" w:hAnsi="Arial" w:cs="Arial"/>
          <w:sz w:val="22"/>
          <w:szCs w:val="22"/>
        </w:rPr>
      </w:pPr>
    </w:p>
    <w:p w14:paraId="2631425E" w14:textId="6E51E1A3"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lastRenderedPageBreak/>
        <w:t>Ο προμηθευτής διασφαλίζει ότι τα σύνολα δεδομένων που χρησιμοποιούνται στην ανάπτυξη του συστήματος ΤΝ, συμπεριλαμβανομένων της εκπαίδευσης, της επικύρωσης και της δοκιμής, υπόκεινται ήδη και θα υπόκεινται σε πρακτικές διακυβέρνησης και διαχείρισης δεδομένων κατάλληλες για τον επιδιωκόμενο σκοπό του συστήματος ΤΝ. Τα εν λόγω μέτρα αφορούν ειδικότερα:</w:t>
      </w:r>
    </w:p>
    <w:p w14:paraId="09A35132"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τις σχετικές επιλογές σχεδιασμού·</w:t>
      </w:r>
    </w:p>
    <w:p w14:paraId="596E9F76" w14:textId="17DACB24" w:rsidR="00EF0D2A" w:rsidRPr="00F973AB" w:rsidRDefault="00EF0D2A" w:rsidP="00EF0D2A">
      <w:pPr>
        <w:pStyle w:val="doLijstnummering7"/>
        <w:numPr>
          <w:ilvl w:val="2"/>
          <w:numId w:val="6"/>
        </w:numPr>
        <w:rPr>
          <w:rFonts w:ascii="Arial" w:hAnsi="Arial" w:cs="Arial"/>
          <w:sz w:val="22"/>
          <w:szCs w:val="22"/>
        </w:rPr>
      </w:pPr>
      <w:r>
        <w:rPr>
          <w:rFonts w:ascii="Arial" w:hAnsi="Arial"/>
          <w:sz w:val="22"/>
        </w:rPr>
        <w:t>διαδικασίες συλλογής δεδομένων και την προέλευση των δεδομένων και, στην περίπτωση δεδομένων προσωπικού χαρακτήρα, τον αρχικό σκοπό της συλλογής δεδομένων·</w:t>
      </w:r>
    </w:p>
    <w:p w14:paraId="16B9E709" w14:textId="77777777" w:rsidR="000F6F09" w:rsidRPr="00F973AB" w:rsidRDefault="00BB3419" w:rsidP="000F6F09">
      <w:pPr>
        <w:pStyle w:val="doLijstnummering7"/>
        <w:numPr>
          <w:ilvl w:val="2"/>
          <w:numId w:val="6"/>
        </w:numPr>
        <w:rPr>
          <w:rFonts w:ascii="Arial" w:hAnsi="Arial" w:cs="Arial"/>
          <w:sz w:val="22"/>
          <w:szCs w:val="22"/>
        </w:rPr>
      </w:pPr>
      <w:r>
        <w:rPr>
          <w:rFonts w:ascii="Arial" w:hAnsi="Arial"/>
          <w:sz w:val="22"/>
        </w:rPr>
        <w:t>σχετική προετοιμασία των δεδομένων για τις εργασίες επεξεργασίας, όπως σχολιασμό, επισήμανση, καθαρισμό, επικαιροποίηση, εμπλουτισμό και ομαδοποίηση·</w:t>
      </w:r>
    </w:p>
    <w:p w14:paraId="4744A88C" w14:textId="0CBF6A1B" w:rsidR="00137BC0" w:rsidRPr="00F973AB" w:rsidRDefault="000F6F09" w:rsidP="00564A63">
      <w:pPr>
        <w:pStyle w:val="doLijstnummering7"/>
        <w:numPr>
          <w:ilvl w:val="2"/>
          <w:numId w:val="6"/>
        </w:numPr>
        <w:rPr>
          <w:rFonts w:ascii="Arial" w:hAnsi="Arial" w:cs="Arial"/>
          <w:sz w:val="22"/>
          <w:szCs w:val="22"/>
        </w:rPr>
      </w:pPr>
      <w:r>
        <w:rPr>
          <w:rFonts w:ascii="Arial" w:hAnsi="Arial"/>
          <w:sz w:val="22"/>
        </w:rPr>
        <w:t>τη διατύπωση παραδοχών όσον αφορά τις πληροφορίες τις οποίες πρέπει να μετρούν και να αντιπροσωπεύουν τα δεδομένα·</w:t>
      </w:r>
    </w:p>
    <w:p w14:paraId="0F0B2619" w14:textId="26564662" w:rsidR="00137BC0" w:rsidRPr="00F973AB" w:rsidRDefault="00BB3419" w:rsidP="00137BC0">
      <w:pPr>
        <w:pStyle w:val="doLijstnummering7"/>
        <w:numPr>
          <w:ilvl w:val="2"/>
          <w:numId w:val="6"/>
        </w:numPr>
        <w:rPr>
          <w:rFonts w:ascii="Arial" w:hAnsi="Arial" w:cs="Arial"/>
          <w:sz w:val="22"/>
          <w:szCs w:val="22"/>
        </w:rPr>
      </w:pPr>
      <w:r>
        <w:rPr>
          <w:rFonts w:ascii="Arial" w:hAnsi="Arial"/>
          <w:sz w:val="22"/>
        </w:rPr>
        <w:t>αξιολόγηση της διαθεσιμότητας, της ποσότητας και της καταλληλότητας των απαιτούμενων συνόλων δεδομένων·</w:t>
      </w:r>
    </w:p>
    <w:p w14:paraId="2D9E0809" w14:textId="099BCBC9" w:rsidR="000F6F09" w:rsidRPr="00F973AB" w:rsidRDefault="000F6F09" w:rsidP="00564A63">
      <w:pPr>
        <w:pStyle w:val="doLijstnummering7"/>
        <w:numPr>
          <w:ilvl w:val="2"/>
          <w:numId w:val="6"/>
        </w:numPr>
        <w:rPr>
          <w:rFonts w:ascii="Arial" w:hAnsi="Arial" w:cs="Arial"/>
          <w:sz w:val="22"/>
          <w:szCs w:val="22"/>
        </w:rPr>
      </w:pPr>
      <w:r>
        <w:rPr>
          <w:rFonts w:ascii="Arial" w:hAnsi="Arial"/>
          <w:sz w:val="22"/>
        </w:rPr>
        <w:t>εξέταση έναντι πιθανών περιπτώσεων μεροληψίας που ενδέχεται να επηρεάσουν την υγεία και την ασφάλεια των προσώπων, να έχουν αρνητικό αντίκτυπο στα θεμελιώδη δικαιώματα ή να οδηγήσουν σε διακρίσεις που απαγορεύονται βάσει του ενωσιακού δικαίου, ιδίως όταν τα δεδομένα εξόδου επηρεάζουν τα δεδομένα εισόδου για μελλοντικές εργασίες·</w:t>
      </w:r>
    </w:p>
    <w:p w14:paraId="22A71AF6"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 xml:space="preserve">κατάλληλα μέτρα για τον εντοπισμό, την πρόληψη και τον μετριασμό πιθανών περιπτώσεων μεροληψίας που προσδιορίζονται σύμφωνα με το στοιχείο </w:t>
      </w:r>
      <w:proofErr w:type="spellStart"/>
      <w:r>
        <w:rPr>
          <w:rFonts w:ascii="Arial" w:hAnsi="Arial"/>
          <w:sz w:val="22"/>
        </w:rPr>
        <w:t>στ</w:t>
      </w:r>
      <w:proofErr w:type="spellEnd"/>
      <w:r>
        <w:rPr>
          <w:rFonts w:ascii="Arial" w:hAnsi="Arial"/>
          <w:sz w:val="22"/>
        </w:rPr>
        <w:t>)·</w:t>
      </w:r>
    </w:p>
    <w:p w14:paraId="7FC21319" w14:textId="56D6D665"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τον εντοπισμό σχετικών κενών ή ελλείψεων δεδομένων που παρεμποδίζουν τη συμμόρφωση με τις παρούσες ΤΣΡ-ΤΝ υψηλού κινδύνου και τον τρόπο με τον οποίο μπορούν να αντιμετωπιστούν τα εν λόγω κενά και οι ελλείψεις.</w:t>
      </w:r>
    </w:p>
    <w:p w14:paraId="5363AE13" w14:textId="4EF6339D"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Ο προμηθευτής διασφαλίζει ότι τα σύνολα δεδομένων που χρησιμοποιούνται για την ανάπτυξη του συστήματος ΤΝ </w:t>
      </w:r>
      <w:r>
        <w:rPr>
          <w:rFonts w:ascii="Arial" w:hAnsi="Arial"/>
          <w:sz w:val="22"/>
          <w:bdr w:val="none" w:sz="0" w:space="0" w:color="auto" w:frame="1"/>
        </w:rPr>
        <w:t>είναι συναφή, επαρκώς αντιπροσωπευτικά</w:t>
      </w:r>
      <w:r>
        <w:rPr>
          <w:rFonts w:ascii="Arial" w:hAnsi="Arial"/>
          <w:sz w:val="22"/>
        </w:rPr>
        <w:t xml:space="preserve"> και, στον μέγιστο δυνατό βαθμό, </w:t>
      </w:r>
      <w:r>
        <w:rPr>
          <w:rFonts w:ascii="Arial" w:hAnsi="Arial"/>
          <w:sz w:val="22"/>
          <w:bdr w:val="none" w:sz="0" w:space="0" w:color="auto" w:frame="1"/>
        </w:rPr>
        <w:t>δεν περιέχουν σφάλματα και είναι πλήρη, λαμβανομένου υπόψη του επιδιωκόμενου σκοπού. Ο προμηθευτής διασφαλίζει ότι τα σύνολα δεδομένων έχουν τις κατάλληλες στατιστικές ιδιότητες, μεταξύ άλλων, κατά περίπτωση, όσον αφορά τα πρόσωπα ή τις ομάδες προσώπων σε σχέση με τα οποία προορίζεται να χρησιμοποιηθεί το σύστημα ΤΝ. Αυτά τα χαρακτηριστικά των συνόλων δεδομένων πληρούνται σε επίπεδο μεμονωμένων συνόλων δεδομένων ή συνδυασμού αυτών.</w:t>
      </w:r>
    </w:p>
    <w:p w14:paraId="321A02D1" w14:textId="56EFC739"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Ο προμηθευτής διασφαλίζει ότι τα σύνολα δεδομένων που χρησιμοποιούνται στην ανάπτυξη του συστήματος ΤΝ </w:t>
      </w:r>
      <w:r>
        <w:rPr>
          <w:rFonts w:ascii="Arial" w:hAnsi="Arial"/>
          <w:sz w:val="22"/>
          <w:bdr w:val="none" w:sz="0" w:space="0" w:color="auto" w:frame="1"/>
        </w:rPr>
        <w:t xml:space="preserve">έχουν λάβει υπόψη, στον βαθμό που απαιτείται από τον επιδιωκόμενο σκοπό ή την ευλόγως προβλέψιμη κακή χρήση, τα χαρακτηριστικά ή τα στοιχεία που προσιδιάζουν σε συγκεκριμένο γεωγραφικό, </w:t>
      </w:r>
      <w:proofErr w:type="spellStart"/>
      <w:r>
        <w:rPr>
          <w:rFonts w:ascii="Arial" w:hAnsi="Arial"/>
          <w:sz w:val="22"/>
          <w:bdr w:val="none" w:sz="0" w:space="0" w:color="auto" w:frame="1"/>
        </w:rPr>
        <w:t>συμπεριφορικό</w:t>
      </w:r>
      <w:proofErr w:type="spellEnd"/>
      <w:r>
        <w:rPr>
          <w:rFonts w:ascii="Arial" w:hAnsi="Arial"/>
          <w:sz w:val="22"/>
          <w:bdr w:val="none" w:sz="0" w:space="0" w:color="auto" w:frame="1"/>
        </w:rPr>
        <w:t xml:space="preserve"> ή λειτουργικό περιβάλλον εντός του οποίου προορίζεται να χρησιμοποιηθεί το σύστημα ΤΝ.</w:t>
      </w:r>
    </w:p>
    <w:p w14:paraId="2AEAE5B1"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 xml:space="preserve">Οι υποχρεώσεις που απορρέουν από το παρόν άρθρο ισχύουν τόσο για την ανάπτυξη του συστήματος ΤΝ πριν από την παράδοση όσο και για κάθε χρήση συνόλων δεδομένων από τον προμηθευτή που ενδέχεται να επηρεάσει τη λειτουργία </w:t>
      </w:r>
      <w:r>
        <w:rPr>
          <w:rFonts w:ascii="Arial" w:hAnsi="Arial"/>
          <w:sz w:val="22"/>
          <w:bdr w:val="none" w:sz="0" w:space="0" w:color="auto" w:frame="1"/>
        </w:rPr>
        <w:lastRenderedPageBreak/>
        <w:t>του συστήματος ΤΝ σε οποιαδήποτε άλλη χρονική στιγμή κατά τη διάρκεια ισχύος της σύμβασης.</w:t>
      </w:r>
    </w:p>
    <w:p w14:paraId="77709FDD" w14:textId="77777777" w:rsidR="00D170E9" w:rsidRPr="00F973AB" w:rsidRDefault="00D170E9" w:rsidP="00564A63">
      <w:pPr>
        <w:pStyle w:val="doLijstnummering7"/>
        <w:numPr>
          <w:ilvl w:val="0"/>
          <w:numId w:val="0"/>
        </w:numPr>
        <w:ind w:left="709"/>
        <w:rPr>
          <w:rFonts w:ascii="Arial" w:hAnsi="Arial" w:cs="Arial"/>
          <w:sz w:val="22"/>
          <w:szCs w:val="22"/>
        </w:rPr>
      </w:pPr>
    </w:p>
    <w:p w14:paraId="107A8202" w14:textId="77777777" w:rsidR="000F6F09" w:rsidRPr="00F973AB" w:rsidRDefault="000F6F09" w:rsidP="000F6F09">
      <w:pPr>
        <w:rPr>
          <w:rFonts w:ascii="Arial" w:hAnsi="Arial" w:cs="Arial"/>
          <w:sz w:val="22"/>
          <w:szCs w:val="22"/>
          <w:lang w:eastAsia="en-GB"/>
        </w:rPr>
      </w:pPr>
    </w:p>
    <w:p w14:paraId="46DA3DE0" w14:textId="77777777" w:rsidR="00CE2EF9" w:rsidRPr="00F973AB" w:rsidRDefault="00CE2EF9" w:rsidP="00CE2EF9">
      <w:pPr>
        <w:pStyle w:val="doLijstnummering7"/>
        <w:rPr>
          <w:rFonts w:ascii="Arial" w:hAnsi="Arial" w:cs="Arial"/>
          <w:sz w:val="22"/>
          <w:szCs w:val="22"/>
        </w:rPr>
      </w:pPr>
      <w:r>
        <w:rPr>
          <w:rFonts w:ascii="Arial" w:hAnsi="Arial"/>
          <w:sz w:val="22"/>
        </w:rPr>
        <w:t>Τεχνικός φάκελος και οδηγίες χρήσης</w:t>
      </w:r>
    </w:p>
    <w:p w14:paraId="3D84883A" w14:textId="77777777" w:rsidR="00CE2EF9" w:rsidRPr="00F973AB" w:rsidRDefault="00CE2EF9" w:rsidP="00CE2EF9">
      <w:pPr>
        <w:pStyle w:val="doLijstnummering7"/>
        <w:numPr>
          <w:ilvl w:val="0"/>
          <w:numId w:val="0"/>
        </w:numPr>
        <w:ind w:left="851"/>
        <w:rPr>
          <w:rFonts w:ascii="Arial" w:hAnsi="Arial" w:cs="Arial"/>
          <w:sz w:val="22"/>
          <w:szCs w:val="22"/>
        </w:rPr>
      </w:pPr>
    </w:p>
    <w:p w14:paraId="206AE8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Η </w:t>
      </w:r>
      <w:r>
        <w:rPr>
          <w:rFonts w:ascii="Arial" w:hAnsi="Arial"/>
          <w:sz w:val="22"/>
          <w:bdr w:val="none" w:sz="0" w:space="0" w:color="auto" w:frame="1"/>
        </w:rPr>
        <w:t>παράδοση</w:t>
      </w:r>
      <w:r>
        <w:rPr>
          <w:rFonts w:ascii="Arial" w:hAnsi="Arial"/>
          <w:sz w:val="22"/>
        </w:rPr>
        <w:t xml:space="preserve"> του συστήματος ΤΝ από τον προμηθευτή περιλαμβάνει την παράδοση του τεχνικού φακέλου και των οδηγιών χρήσης.</w:t>
      </w:r>
    </w:p>
    <w:p w14:paraId="4060588D" w14:textId="536D7596"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Ο τεχνικός φάκελος πρέπει να παρέχει τη δυνατότητα στον δημόσιο οργανισμό ή σε τρίτο να αξιολογεί αν το σύστημα ΤΝ συμμορφώνεται με τις διατάξεις των απαιτήσεων που καθορίζονται στις παρούσες ΤΣΡ-ΤΝ υψηλού κινδύνου και να πληροί τουλάχιστον τους όρους που περιγράφονται στο </w:t>
      </w:r>
      <w:r>
        <w:rPr>
          <w:rFonts w:ascii="Arial" w:hAnsi="Arial"/>
          <w:b/>
          <w:sz w:val="22"/>
        </w:rPr>
        <w:t>παράρτημα Γ</w:t>
      </w:r>
      <w:r>
        <w:rPr>
          <w:rFonts w:ascii="Arial" w:hAnsi="Arial"/>
          <w:sz w:val="22"/>
        </w:rPr>
        <w:t xml:space="preserve">. </w:t>
      </w:r>
    </w:p>
    <w:p w14:paraId="4B31F83B"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Οι οδηγίες χρήσης περιλαμβάνουν </w:t>
      </w:r>
      <w:r>
        <w:rPr>
          <w:rFonts w:ascii="Arial" w:hAnsi="Arial"/>
          <w:color w:val="000000"/>
          <w:sz w:val="22"/>
          <w:shd w:val="clear" w:color="auto" w:fill="FFFFFF"/>
        </w:rPr>
        <w:t xml:space="preserve">συνοπτικές, πλήρεις, ορθές και σαφείς πληροφορίες που είναι συναφείς, προσβάσιμες και κατανοητές από τον δημόσιο οργανισμό. Οι οδηγίες χρήσης πρέπει να πληρούν τουλάχιστον τους όρους που περιγράφονται στο </w:t>
      </w:r>
      <w:r>
        <w:rPr>
          <w:rFonts w:ascii="Arial" w:hAnsi="Arial"/>
          <w:b/>
          <w:color w:val="000000"/>
          <w:sz w:val="22"/>
          <w:shd w:val="clear" w:color="auto" w:fill="FFFFFF"/>
        </w:rPr>
        <w:t>παράρτημα Δ</w:t>
      </w:r>
      <w:r>
        <w:rPr>
          <w:rFonts w:ascii="Arial" w:hAnsi="Arial"/>
          <w:sz w:val="22"/>
        </w:rPr>
        <w:t>.</w:t>
      </w:r>
    </w:p>
    <w:p w14:paraId="570CD58F" w14:textId="137F2359" w:rsidR="00CE2EF9" w:rsidRPr="00F973AB" w:rsidRDefault="00CE2EF9" w:rsidP="00CE2EF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Ο προμηθευτής πρέπει να επικαιροποιεί τον εν λόγω φάκελο τουλάχιστον</w:t>
      </w:r>
      <w:r>
        <w:rPr>
          <w:rFonts w:ascii="Arial" w:hAnsi="Arial"/>
          <w:sz w:val="22"/>
        </w:rPr>
        <w:t xml:space="preserve"> όταν επέρχεται ουσιαστική τροποποίηση κατά τη διάρκεια ισχύος της σύμβασης </w:t>
      </w:r>
      <w:r>
        <w:rPr>
          <w:rFonts w:ascii="Arial" w:hAnsi="Arial"/>
          <w:sz w:val="22"/>
          <w:bdr w:val="none" w:sz="0" w:space="0" w:color="auto" w:frame="1"/>
        </w:rPr>
        <w:t>και, στη συνέχεια, να τον θέτει στη διάθεση του δημόσιου οργανισμού.</w:t>
      </w:r>
    </w:p>
    <w:p w14:paraId="2269BEE5" w14:textId="76F75F0F"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&lt;προαιρετικό&gt;</w:t>
      </w:r>
      <w:r>
        <w:rPr>
          <w:rFonts w:ascii="Arial" w:hAnsi="Arial"/>
          <w:sz w:val="22"/>
        </w:rPr>
        <w:t xml:space="preserve"> Ο τεχνικός φάκελος και οι οδηγίες χρήσης πρέπει να συντάσσονται στην αγγλική γλώσσα.</w:t>
      </w:r>
    </w:p>
    <w:p w14:paraId="4DCD18E7" w14:textId="113FDD83"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&lt;προαιρετικό&gt;</w:t>
      </w:r>
      <w:r>
        <w:rPr>
          <w:rFonts w:ascii="Arial" w:hAnsi="Arial"/>
          <w:sz w:val="22"/>
        </w:rPr>
        <w:t xml:space="preserve"> Ο δημόσιος οργανισμός έχει το δικαίωμα να παράγει αντίγραφα του τεχνικού φακέλου και των οδηγιών χρήσης, στον βαθμό που απαιτείται, για εσωτερική χρήση εντός της δομής του δημόσιου οργανισμού, με την επιφύλαξη των διατάξεων του άρθρου 6 και του άρθρου 14.</w:t>
      </w:r>
    </w:p>
    <w:p w14:paraId="479C740A" w14:textId="77777777" w:rsidR="00785D3E" w:rsidRPr="00F973AB" w:rsidRDefault="00785D3E" w:rsidP="00564A63">
      <w:pPr>
        <w:pStyle w:val="doLijstnummering7"/>
        <w:numPr>
          <w:ilvl w:val="0"/>
          <w:numId w:val="0"/>
        </w:numPr>
        <w:ind w:left="709"/>
        <w:rPr>
          <w:rFonts w:ascii="Arial" w:hAnsi="Arial" w:cs="Arial"/>
          <w:sz w:val="22"/>
          <w:szCs w:val="22"/>
        </w:rPr>
      </w:pPr>
    </w:p>
    <w:p w14:paraId="50413B38" w14:textId="08F03557" w:rsidR="00CE2EF9" w:rsidRPr="00F973AB" w:rsidRDefault="00CE2EF9" w:rsidP="00CE2EF9">
      <w:pPr>
        <w:pStyle w:val="doLijstnummering7"/>
        <w:numPr>
          <w:ilvl w:val="0"/>
          <w:numId w:val="0"/>
        </w:numPr>
        <w:ind w:left="851"/>
        <w:rPr>
          <w:rFonts w:ascii="Arial" w:hAnsi="Arial" w:cs="Arial"/>
          <w:sz w:val="22"/>
          <w:szCs w:val="22"/>
        </w:rPr>
      </w:pPr>
    </w:p>
    <w:p w14:paraId="7189C35C" w14:textId="77777777" w:rsidR="00CE2EF9" w:rsidRPr="00F973AB" w:rsidRDefault="00CE2EF9" w:rsidP="00CE2EF9">
      <w:pPr>
        <w:pStyle w:val="doLijstnummering7"/>
        <w:rPr>
          <w:rFonts w:ascii="Arial" w:hAnsi="Arial" w:cs="Arial"/>
          <w:sz w:val="22"/>
          <w:szCs w:val="22"/>
        </w:rPr>
      </w:pPr>
      <w:r>
        <w:rPr>
          <w:rFonts w:ascii="Arial" w:hAnsi="Arial"/>
          <w:sz w:val="22"/>
        </w:rPr>
        <w:t>Τήρηση αρχείων</w:t>
      </w:r>
    </w:p>
    <w:p w14:paraId="4D188F77" w14:textId="77777777" w:rsidR="00CE2EF9" w:rsidRPr="00F973AB" w:rsidRDefault="00CE2EF9" w:rsidP="00CE2EF9">
      <w:pPr>
        <w:pStyle w:val="doLijstnummering7"/>
        <w:numPr>
          <w:ilvl w:val="0"/>
          <w:numId w:val="0"/>
        </w:numPr>
        <w:ind w:left="851"/>
        <w:rPr>
          <w:rFonts w:ascii="Arial" w:hAnsi="Arial" w:cs="Arial"/>
          <w:sz w:val="22"/>
          <w:szCs w:val="22"/>
        </w:rPr>
      </w:pPr>
    </w:p>
    <w:p w14:paraId="4244A990" w14:textId="17DCE35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Ο προμηθευτής διασφαλίζει ότι τα συστήματα ΤΝ επιτρέπουν τεχνικά την αυτόματη καταγραφή συμβάντων («αρχεία καταγραφής») καθ’ όλη τη διάρκεια ζωής του συστήματος. </w:t>
      </w:r>
    </w:p>
    <w:p w14:paraId="5F29D147" w14:textId="49036DC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Οι ικανότητες καταγραφής διασφαλίζουν ένα επίπεδο ιχνηλασιμότητας του συστήματος ΤΝ που είναι κατάλληλο για τον επιδιωκόμενο σκοπό του συστήματος και την </w:t>
      </w:r>
      <w:r>
        <w:rPr>
          <w:rFonts w:ascii="Arial" w:hAnsi="Arial"/>
          <w:sz w:val="22"/>
          <w:bdr w:val="none" w:sz="0" w:space="0" w:color="auto" w:frame="1"/>
        </w:rPr>
        <w:t>ευλόγως προβλέψιμη κακή χρήση</w:t>
      </w:r>
      <w:r>
        <w:rPr>
          <w:rFonts w:ascii="Arial" w:hAnsi="Arial"/>
          <w:sz w:val="22"/>
        </w:rPr>
        <w:t xml:space="preserve">. Συγκεκριμένα, οι ικανότητες καταγραφής καθιστούν δυνατή την καταγραφή συμβάντων που είναι σημαντικά για τον εντοπισμό καταστάσεων οι οποίες ενδέχεται: </w:t>
      </w:r>
    </w:p>
    <w:p w14:paraId="624E7412"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να έχουν ως αποτέλεσμα το σύστημα ΤΝ να παρουσιάσει κίνδυνο για την υγεία ή την ασφάλεια ή για την προστασία των θεμελιωδών δικαιωμάτων των προσώπων· ή </w:t>
      </w:r>
    </w:p>
    <w:p w14:paraId="76C7CA3A"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να οδηγήσουν σε ουσιαστική τροποποίηση.</w:t>
      </w:r>
    </w:p>
    <w:p w14:paraId="69A5FE4A" w14:textId="51CF679A" w:rsidR="00CE2EF9" w:rsidRPr="00F973AB" w:rsidRDefault="00CE2EF9" w:rsidP="00CE2EF9">
      <w:pPr>
        <w:pStyle w:val="doLijstnummering7"/>
        <w:numPr>
          <w:ilvl w:val="1"/>
          <w:numId w:val="6"/>
        </w:numPr>
        <w:rPr>
          <w:rFonts w:ascii="Arial" w:hAnsi="Arial" w:cs="Arial"/>
          <w:sz w:val="22"/>
          <w:szCs w:val="22"/>
        </w:rPr>
      </w:pPr>
      <w:r>
        <w:rPr>
          <w:rFonts w:ascii="Arial" w:hAnsi="Arial"/>
          <w:b/>
          <w:sz w:val="22"/>
        </w:rPr>
        <w:t>&lt;προαιρετικό&gt;</w:t>
      </w:r>
      <w:r>
        <w:rPr>
          <w:rFonts w:ascii="Arial" w:hAnsi="Arial"/>
          <w:sz w:val="22"/>
        </w:rPr>
        <w:t xml:space="preserve"> Ο προμηθευτής επιτρέπει στον δημόσιο οργανισμό να έχει πρόσβαση στα αρχεία καταγραφής που δημιουργούνται αυτόματα από το σύστημα ΤΝ σε πραγματικό χρόνο.</w:t>
      </w:r>
    </w:p>
    <w:p w14:paraId="20195A64"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lastRenderedPageBreak/>
        <w:t>Ο προμηθευτής τηρεί τα αρχεία καταγραφής που δημιουργούνται αυτόματα από το σύστημα ΤΝ, στον βαθμό που τα εν λόγω αρχεία καταγραφής βρίσκονται υπό τον έλεγχό του βάσει της σύμβασης, καθ’ όλη τη διάρκεια ισχύος της σύμβασης. Κατά τον χρόνο λήξης ισχύος της σύμβασης, ο προμηθευτής διαβιβάζει αμελλητί τα εν λόγω αρχεία καταγραφής στον δημόσιο οργανισμό.</w:t>
      </w:r>
    </w:p>
    <w:p w14:paraId="7CD86A13" w14:textId="77777777" w:rsidR="00FC2BCA" w:rsidRPr="002F066E" w:rsidRDefault="00FC2BCA" w:rsidP="00564A63">
      <w:pPr>
        <w:pStyle w:val="doLijstnummering7"/>
        <w:numPr>
          <w:ilvl w:val="0"/>
          <w:numId w:val="0"/>
        </w:numPr>
        <w:ind w:left="709"/>
        <w:rPr>
          <w:rFonts w:ascii="Arial" w:hAnsi="Arial" w:cs="Arial"/>
          <w:sz w:val="22"/>
          <w:szCs w:val="22"/>
        </w:rPr>
      </w:pPr>
    </w:p>
    <w:p w14:paraId="07AD6B53" w14:textId="77777777" w:rsidR="00CE2EF9" w:rsidRPr="00F973AB"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F973AB" w:rsidRDefault="00CE2EF9" w:rsidP="00CE2EF9">
      <w:pPr>
        <w:pStyle w:val="doLijstnummering7"/>
        <w:rPr>
          <w:rFonts w:ascii="Arial" w:hAnsi="Arial" w:cs="Arial"/>
          <w:sz w:val="22"/>
          <w:szCs w:val="22"/>
        </w:rPr>
      </w:pPr>
      <w:r>
        <w:rPr>
          <w:rFonts w:ascii="Arial" w:hAnsi="Arial"/>
          <w:sz w:val="22"/>
        </w:rPr>
        <w:t>Διαφάνεια του συστήματος ΤΝ</w:t>
      </w:r>
    </w:p>
    <w:p w14:paraId="11CBF5BC" w14:textId="77777777" w:rsidR="00CE2EF9" w:rsidRPr="00F973AB" w:rsidRDefault="00CE2EF9" w:rsidP="00CE2EF9">
      <w:pPr>
        <w:pStyle w:val="doLijstnummering7"/>
        <w:numPr>
          <w:ilvl w:val="0"/>
          <w:numId w:val="0"/>
        </w:numPr>
        <w:ind w:left="851"/>
        <w:rPr>
          <w:rFonts w:ascii="Arial" w:hAnsi="Arial" w:cs="Arial"/>
          <w:sz w:val="22"/>
          <w:szCs w:val="22"/>
        </w:rPr>
      </w:pPr>
    </w:p>
    <w:p w14:paraId="589EDE60" w14:textId="57199FF3" w:rsidR="00CE2EF9" w:rsidRPr="00F973AB" w:rsidRDefault="00CE2EF9" w:rsidP="00CE2EF9">
      <w:pPr>
        <w:pStyle w:val="doLijstnummering7"/>
        <w:numPr>
          <w:ilvl w:val="1"/>
          <w:numId w:val="6"/>
        </w:numPr>
        <w:rPr>
          <w:rFonts w:ascii="Arial" w:hAnsi="Arial" w:cs="Arial"/>
          <w:sz w:val="22"/>
          <w:szCs w:val="22"/>
        </w:rPr>
      </w:pPr>
      <w:r>
        <w:rPr>
          <w:rFonts w:ascii="Arial" w:hAnsi="Arial"/>
          <w:color w:val="000000"/>
          <w:sz w:val="22"/>
          <w:shd w:val="clear" w:color="auto" w:fill="FFFFFF"/>
        </w:rPr>
        <w:t>Ο προμηθευτής διασφαλίζει ότι το σύστημα ΤΝ έχει σχεδιαστεί και αναπτυχθεί και σχεδιάζεται και αναπτύσσεται κατά τρόπο ώστε η λειτουργία του συστήματος ΤΝ να είναι επαρκώς διαφανής, ώστε ο δημόσιος οργανισμός να είναι σε θέση να</w:t>
      </w:r>
      <w:r>
        <w:rPr>
          <w:rFonts w:ascii="Arial" w:hAnsi="Arial"/>
          <w:sz w:val="22"/>
        </w:rPr>
        <w:t xml:space="preserve"> ερμηνεύει τα στοιχεία εξόδου του συστήματος και να τα χρησιμοποιεί κατάλληλα</w:t>
      </w:r>
      <w:r>
        <w:rPr>
          <w:rFonts w:ascii="Arial" w:hAnsi="Arial"/>
          <w:color w:val="000000"/>
          <w:sz w:val="22"/>
          <w:shd w:val="clear" w:color="auto" w:fill="FFFFFF"/>
        </w:rPr>
        <w:t>.</w:t>
      </w:r>
    </w:p>
    <w:p w14:paraId="61C5E1BD" w14:textId="08A3494E"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Για να διασφαλιστεί η δέουσα διαφάνεια, πριν από την παράδοση του συστήματος ΤΝ ο προμηθευτής εφαρμόζει τουλάχιστον τα τεχνικά και οργανωτικά μέτρα που περιγράφονται στο </w:t>
      </w:r>
      <w:r>
        <w:rPr>
          <w:rFonts w:ascii="Arial" w:hAnsi="Arial"/>
          <w:b/>
          <w:sz w:val="22"/>
        </w:rPr>
        <w:t>παράρτημα Ε</w:t>
      </w:r>
      <w:r>
        <w:rPr>
          <w:rFonts w:ascii="Arial" w:hAnsi="Arial"/>
          <w:sz w:val="22"/>
        </w:rPr>
        <w:t xml:space="preserve">. </w:t>
      </w:r>
    </w:p>
    <w:p w14:paraId="7F71F9D4" w14:textId="77777777" w:rsidR="00CE2EF9" w:rsidRPr="00F973AB" w:rsidRDefault="00CE2EF9" w:rsidP="00CE2EF9">
      <w:pPr>
        <w:pStyle w:val="doLijstnummering7"/>
        <w:numPr>
          <w:ilvl w:val="0"/>
          <w:numId w:val="0"/>
        </w:numPr>
        <w:rPr>
          <w:rFonts w:ascii="Arial" w:hAnsi="Arial" w:cs="Arial"/>
          <w:sz w:val="22"/>
          <w:szCs w:val="22"/>
        </w:rPr>
      </w:pPr>
    </w:p>
    <w:p w14:paraId="528A48FA" w14:textId="77777777" w:rsidR="00CE2EF9" w:rsidRPr="00F973AB" w:rsidRDefault="00CE2EF9" w:rsidP="00CE2EF9">
      <w:pPr>
        <w:pStyle w:val="doLijstnummering7"/>
        <w:rPr>
          <w:rFonts w:ascii="Arial" w:hAnsi="Arial" w:cs="Arial"/>
          <w:sz w:val="22"/>
          <w:szCs w:val="22"/>
        </w:rPr>
      </w:pPr>
      <w:r>
        <w:rPr>
          <w:rFonts w:ascii="Arial" w:hAnsi="Arial"/>
          <w:sz w:val="22"/>
        </w:rPr>
        <w:t>Ανθρώπινη εποπτεία</w:t>
      </w:r>
    </w:p>
    <w:p w14:paraId="1E1E8E8A" w14:textId="77777777" w:rsidR="00CE2EF9" w:rsidRPr="00F973AB" w:rsidRDefault="00CE2EF9" w:rsidP="00CE2EF9">
      <w:pPr>
        <w:pStyle w:val="doLijstnummering7"/>
        <w:numPr>
          <w:ilvl w:val="0"/>
          <w:numId w:val="0"/>
        </w:numPr>
        <w:ind w:left="851"/>
        <w:rPr>
          <w:rFonts w:ascii="Arial" w:hAnsi="Arial" w:cs="Arial"/>
          <w:sz w:val="22"/>
          <w:szCs w:val="22"/>
        </w:rPr>
      </w:pPr>
    </w:p>
    <w:p w14:paraId="154F174E" w14:textId="7A1C0B2A"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Ο προμηθευτής διασφαλίζει ότι το σύστημα ΤΝ έχει σχεδιαστεί και αναπτυχθεί και σχεδιάζεται και αναπτύσσεται κατά τέτοιο τρόπο, μεταξύ άλλων με κατάλληλα εργαλεία διεπαφής ανθρώπου–μηχανής, ώστε να μπορεί να εποπτεύεται αποτελεσματικά από φυσικά πρόσωπα</w:t>
      </w:r>
      <w:r>
        <w:rPr>
          <w:rFonts w:ascii="Arial" w:hAnsi="Arial"/>
          <w:sz w:val="22"/>
        </w:rPr>
        <w:t xml:space="preserve"> κατά τη διάρκεια της περιόδου χρήσης του</w:t>
      </w:r>
      <w:r>
        <w:rPr>
          <w:rFonts w:ascii="Arial" w:hAnsi="Arial"/>
          <w:sz w:val="22"/>
          <w:bdr w:val="none" w:sz="0" w:space="0" w:color="auto" w:frame="1"/>
        </w:rPr>
        <w:t>.</w:t>
      </w:r>
    </w:p>
    <w:p w14:paraId="510D7F17" w14:textId="20E5491D"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Η ανθρώπινη εποπτεία αποσκοπεί στην πρόληψη ή την ελαχιστοποίηση των κινδύνων για την υγεία, την ασφάλεια ή τα θεμελιώδη δικαιώματα που ενδέχεται να προκύψουν, όταν ένα σύστημα ΤΝ χρησιμοποιείται σύμφωνα με τον επιδιωκόμενο σκοπό του ή υπό συνθήκες ευλόγως προβλέψιμης κακής χρήσης, όταν οι κίνδυνοι αυτοί εξακολουθούν να υφίστανται παρά την εφαρμογή άλλων απαιτήσεων που καθορίζονται στο παρόν τμήμα.</w:t>
      </w:r>
    </w:p>
    <w:p w14:paraId="191405AE" w14:textId="4DD4CEA8"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Τα μέτρα εποπτείας είναι ανάλογα με τους κινδύνους, το επίπεδο αυτονομίας και το πλαίσιο χρήσης του συστήματος ΤΝ και εξασφαλίζονται είτε με ένα είτε και με τα δύο από τα ακόλουθα είδη μέτρων.</w:t>
      </w:r>
    </w:p>
    <w:p w14:paraId="163DD6A4" w14:textId="28096A99"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Ο προμηθευτής διασφαλίζει ότι, πριν από την παράδοση, ενσωματώνονται στο σύστημα ΤΝ κατάλληλα μέτρα, τα οποία λαμβάνονται για τη διασφάλιση της ανθρώπινης εποπτείας. Τα μέτρα αυτά διασφαλίζουν ότι επιτρέπεται στα φυσικά πρόσωπα στα οποία έχει ανατεθεί ανθρώπινη εποπτεία, με τρόπο κατάλληλο και αναλογικό: </w:t>
      </w:r>
    </w:p>
    <w:p w14:paraId="5D601A1B" w14:textId="5366B787" w:rsidR="00CE2EF9" w:rsidRPr="00F973AB" w:rsidRDefault="00975D0E" w:rsidP="00CE2EF9">
      <w:pPr>
        <w:pStyle w:val="doLijstnummering7"/>
        <w:numPr>
          <w:ilvl w:val="2"/>
          <w:numId w:val="6"/>
        </w:numPr>
        <w:rPr>
          <w:rFonts w:ascii="Arial" w:hAnsi="Arial" w:cs="Arial"/>
          <w:sz w:val="22"/>
          <w:szCs w:val="22"/>
        </w:rPr>
      </w:pPr>
      <w:r>
        <w:rPr>
          <w:rFonts w:ascii="Arial" w:hAnsi="Arial"/>
          <w:sz w:val="22"/>
        </w:rPr>
        <w:t xml:space="preserve">να </w:t>
      </w:r>
      <w:r>
        <w:rPr>
          <w:rFonts w:ascii="Arial" w:hAnsi="Arial"/>
          <w:sz w:val="22"/>
          <w:bdr w:val="none" w:sz="0" w:space="0" w:color="auto" w:frame="1"/>
        </w:rPr>
        <w:t>κατανοούν σωστά τις σχετικές ικανότητες και τους περιορισμούς του συστήματος ΤΝ και να είναι σε θέση να παρακολουθούν δεόντως τη λειτουργία του, μεταξύ άλλων με σκοπό τον εντοπισμό και την αντιμετώπιση ανωμαλιών, δυσλειτουργιών και απροσδόκητων επιδόσεων·</w:t>
      </w:r>
    </w:p>
    <w:p w14:paraId="4AD6776B" w14:textId="0B1DA45B" w:rsidR="00CE2EF9" w:rsidRPr="00F973AB" w:rsidRDefault="003216B4" w:rsidP="00CE2EF9">
      <w:pPr>
        <w:pStyle w:val="doLijstnummering7"/>
        <w:numPr>
          <w:ilvl w:val="2"/>
          <w:numId w:val="6"/>
        </w:numPr>
        <w:rPr>
          <w:rFonts w:ascii="Arial" w:hAnsi="Arial" w:cs="Arial"/>
          <w:sz w:val="22"/>
          <w:szCs w:val="22"/>
        </w:rPr>
      </w:pPr>
      <w:r>
        <w:rPr>
          <w:rFonts w:ascii="Arial" w:hAnsi="Arial"/>
          <w:sz w:val="22"/>
          <w:bdr w:val="none" w:sz="0" w:space="0" w:color="auto" w:frame="1"/>
        </w:rPr>
        <w:t xml:space="preserve">να παραμένουν ενήμερα για την πιθανή τάση αυτόματης εξάρτησης ή υπέρμετρης εξάρτησης από τα στοιχεία εξόδου που παράγονται από το σύστημα ΤΝ («μεροληψία αυτοματισμού»), ειδικότερα αν το σύστημα ΤΝ χρησιμοποιείται </w:t>
      </w:r>
      <w:r>
        <w:rPr>
          <w:rFonts w:ascii="Arial" w:hAnsi="Arial"/>
          <w:sz w:val="22"/>
          <w:bdr w:val="none" w:sz="0" w:space="0" w:color="auto" w:frame="1"/>
        </w:rPr>
        <w:lastRenderedPageBreak/>
        <w:t>για την παροχή πληροφοριών ή συστάσεων για αποφάσεις που πρόκειται να ληφθούν από φυσικά πρόσωπα·</w:t>
      </w:r>
    </w:p>
    <w:p w14:paraId="20B01625" w14:textId="46C4458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να ερμηνεύουν ορθά τα στοιχεία εξόδου του συστήματος ΤΝ, λαμβάνοντας ιδιαίτερα υπόψη, για παράδειγμα, τα χαρακτηριστικά του συστήματος και τα διαθέσιμα εργαλεία και μεθόδους ερμηνείας·</w:t>
      </w:r>
    </w:p>
    <w:p w14:paraId="1E4E4DDA" w14:textId="72AC619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να αποφασίζουν, σε οποιαδήποτε συγκεκριμένη περίπτωση, να μη χρησιμοποιήσουν το σύστημα ΤΝ ή να αγνοούν, να παρακάμπτουν ή να αντιστρέφουν με οποιονδήποτε άλλον τρόπο τα στοιχεία εξόδου του συστήματος ΤΝ·</w:t>
      </w:r>
    </w:p>
    <w:p w14:paraId="3D0D77D1" w14:textId="64C46959" w:rsidR="00CE2EF9" w:rsidRPr="00F973AB" w:rsidRDefault="00CE2EF9" w:rsidP="003216B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να παρεμβαίνουν στη λειτουργία του συστήματος ΤΝ ή να διακόπτουν το σύστημα μέσω ενός κουμπιού διακοπής («</w:t>
      </w:r>
      <w:proofErr w:type="spellStart"/>
      <w:r>
        <w:rPr>
          <w:rFonts w:ascii="Arial" w:hAnsi="Arial"/>
          <w:sz w:val="22"/>
          <w:bdr w:val="none" w:sz="0" w:space="0" w:color="auto" w:frame="1"/>
        </w:rPr>
        <w:t>stop</w:t>
      </w:r>
      <w:proofErr w:type="spellEnd"/>
      <w:r>
        <w:rPr>
          <w:rFonts w:ascii="Arial" w:hAnsi="Arial"/>
          <w:sz w:val="22"/>
          <w:bdr w:val="none" w:sz="0" w:space="0" w:color="auto" w:frame="1"/>
        </w:rPr>
        <w:t>») ή παρόμοιας διαδικασίας που επιτρέπει στο σύστημα να σταματήσει σε ασφαλή κατάσταση.</w:t>
      </w:r>
    </w:p>
    <w:p w14:paraId="48BA5BAD" w14:textId="3262F3FD"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&lt;προαιρετικό&gt;</w:t>
      </w:r>
      <w:r>
        <w:rPr>
          <w:rFonts w:ascii="Arial" w:hAnsi="Arial"/>
          <w:sz w:val="22"/>
        </w:rPr>
        <w:t xml:space="preserve"> Για να διασφαλιστεί η κατάλληλη ανθρώπινη εποπτεία, ο προμηθευτής εφαρμόζει τουλάχιστον τα τεχνικά και οργανωτικά μέτρα που περιγράφονται στο </w:t>
      </w:r>
      <w:r>
        <w:rPr>
          <w:rFonts w:ascii="Arial" w:hAnsi="Arial"/>
          <w:b/>
          <w:sz w:val="22"/>
        </w:rPr>
        <w:t>παράρτημα ΣΤ</w:t>
      </w:r>
      <w:r>
        <w:rPr>
          <w:rFonts w:ascii="Arial" w:hAnsi="Arial"/>
          <w:sz w:val="22"/>
        </w:rPr>
        <w:t xml:space="preserve"> πριν από την παράδοση του συστήματος ΤΝ</w:t>
      </w:r>
      <w:r>
        <w:rPr>
          <w:rFonts w:ascii="Arial" w:hAnsi="Arial"/>
          <w:b/>
          <w:sz w:val="22"/>
        </w:rPr>
        <w:t>.</w:t>
      </w:r>
    </w:p>
    <w:p w14:paraId="305BD204" w14:textId="77777777" w:rsidR="00CE2EF9" w:rsidRPr="00F973AB" w:rsidRDefault="00CE2EF9" w:rsidP="00CE2EF9">
      <w:pPr>
        <w:pStyle w:val="doLijstnummering7"/>
        <w:numPr>
          <w:ilvl w:val="0"/>
          <w:numId w:val="0"/>
        </w:numPr>
        <w:ind w:left="851"/>
        <w:rPr>
          <w:rFonts w:ascii="Arial" w:hAnsi="Arial" w:cs="Arial"/>
          <w:sz w:val="22"/>
          <w:szCs w:val="22"/>
        </w:rPr>
      </w:pPr>
    </w:p>
    <w:p w14:paraId="4D94B8F2" w14:textId="77777777" w:rsidR="00CE2EF9" w:rsidRPr="00F973AB" w:rsidRDefault="00CE2EF9" w:rsidP="00D33B49">
      <w:pPr>
        <w:pStyle w:val="doLijstnummering7"/>
        <w:rPr>
          <w:rFonts w:ascii="Arial" w:hAnsi="Arial" w:cs="Arial"/>
          <w:sz w:val="22"/>
          <w:szCs w:val="22"/>
        </w:rPr>
      </w:pPr>
      <w:r>
        <w:rPr>
          <w:rFonts w:ascii="Arial" w:hAnsi="Arial"/>
          <w:sz w:val="22"/>
        </w:rPr>
        <w:t>Ακρίβεια, στιβαρότητα και κυβερνοασφάλεια</w:t>
      </w:r>
    </w:p>
    <w:p w14:paraId="5D87FF6B" w14:textId="77777777" w:rsidR="00CE2EF9" w:rsidRPr="00F973AB" w:rsidRDefault="00CE2EF9" w:rsidP="00CE2EF9">
      <w:pPr>
        <w:pStyle w:val="doLijstnummering7"/>
        <w:numPr>
          <w:ilvl w:val="0"/>
          <w:numId w:val="0"/>
        </w:numPr>
        <w:ind w:left="851"/>
        <w:rPr>
          <w:rFonts w:ascii="Arial" w:hAnsi="Arial" w:cs="Arial"/>
          <w:sz w:val="22"/>
          <w:szCs w:val="22"/>
        </w:rPr>
      </w:pPr>
    </w:p>
    <w:p w14:paraId="455E8E1A" w14:textId="169C41B9"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Ο προμηθευτής διασφαλίζει ότι το σύστημα ΤΝ έχει σχεδιαστεί και</w:t>
      </w:r>
      <w:r>
        <w:rPr>
          <w:rFonts w:ascii="Arial" w:hAnsi="Arial"/>
          <w:sz w:val="22"/>
        </w:rPr>
        <w:t xml:space="preserve"> αναπτυχθεί και σχεδιάζεται και αναπτύσσεται κατά τρόπο ώστε να επιτυγχάνει κατάλληλο επίπεδο ακρίβειας, στιβαρότητας, ασφάλειας και κυβερνοασφάλειας και να λειτουργεί με συνέπεια ως προς αυτές τις πτυχές. </w:t>
      </w:r>
    </w:p>
    <w:p w14:paraId="577E5A4E"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Τα επίπεδα ακρίβειας και οι σχετικοί δείκτες μέτρησης της ακρίβειας του συστήματος ΤΝ περιγράφονται στο </w:t>
      </w:r>
      <w:r>
        <w:rPr>
          <w:rFonts w:ascii="Arial" w:hAnsi="Arial"/>
          <w:b/>
          <w:sz w:val="22"/>
          <w:bdr w:val="none" w:sz="0" w:space="0" w:color="auto" w:frame="1"/>
        </w:rPr>
        <w:t>παράρτημα Ζ</w:t>
      </w:r>
      <w:r>
        <w:rPr>
          <w:rFonts w:ascii="Arial" w:hAnsi="Arial"/>
          <w:sz w:val="22"/>
          <w:bdr w:val="none" w:sz="0" w:space="0" w:color="auto" w:frame="1"/>
        </w:rPr>
        <w:t>.</w:t>
      </w:r>
    </w:p>
    <w:p w14:paraId="255B3A87" w14:textId="039205CA" w:rsidR="00CE2EF9" w:rsidRPr="00F973AB" w:rsidRDefault="003C2AF0" w:rsidP="00CE2EF9">
      <w:pPr>
        <w:pStyle w:val="doLijstnummering7"/>
        <w:numPr>
          <w:ilvl w:val="1"/>
          <w:numId w:val="6"/>
        </w:numPr>
        <w:rPr>
          <w:rFonts w:ascii="Arial" w:hAnsi="Arial" w:cs="Arial"/>
          <w:sz w:val="22"/>
          <w:szCs w:val="22"/>
        </w:rPr>
      </w:pPr>
      <w:r>
        <w:rPr>
          <w:rFonts w:ascii="Arial" w:hAnsi="Arial"/>
          <w:sz w:val="22"/>
        </w:rPr>
        <w:t xml:space="preserve">Για να διασφαλιστεί κατάλληλο επίπεδο στιβαρότητας, ασφάλειας και κυβερνοασφάλειας, ο προμηθευτής εφαρμόζει τουλάχιστον τα τεχνικά και οργανωτικά μέτρα που περιγράφονται στο </w:t>
      </w:r>
      <w:r>
        <w:rPr>
          <w:rFonts w:ascii="Arial" w:hAnsi="Arial"/>
          <w:b/>
          <w:sz w:val="22"/>
        </w:rPr>
        <w:t>παράρτημα Η</w:t>
      </w:r>
      <w:r>
        <w:rPr>
          <w:rFonts w:ascii="Arial" w:hAnsi="Arial"/>
          <w:sz w:val="22"/>
        </w:rPr>
        <w:t xml:space="preserve"> πριν από την παράδοση του συστήματος ΤΝ. </w:t>
      </w:r>
    </w:p>
    <w:p w14:paraId="2C43D5E4" w14:textId="44B7A154" w:rsidR="009813B5" w:rsidRPr="002F066E" w:rsidRDefault="009813B5" w:rsidP="009813B5">
      <w:pPr>
        <w:pStyle w:val="ListParagraph"/>
        <w:numPr>
          <w:ilvl w:val="1"/>
          <w:numId w:val="6"/>
        </w:numPr>
        <w:rPr>
          <w:rFonts w:eastAsia="Times New Roman"/>
          <w:color w:val="auto"/>
          <w:sz w:val="22"/>
          <w:szCs w:val="22"/>
        </w:rPr>
      </w:pPr>
      <w:r>
        <w:rPr>
          <w:color w:val="auto"/>
          <w:sz w:val="22"/>
        </w:rPr>
        <w:t>Η απαίτηση αυτή ισχύει με την επιφύλαξη των απαιτήσεων που απορρέουν από το άρθρο 15 του κανονισμού για την ΤΝ.</w:t>
      </w:r>
    </w:p>
    <w:p w14:paraId="32934CE0" w14:textId="77777777" w:rsidR="009813B5" w:rsidRPr="00F973AB" w:rsidRDefault="009813B5" w:rsidP="00564A63">
      <w:pPr>
        <w:pStyle w:val="doLijstnummering7"/>
        <w:numPr>
          <w:ilvl w:val="0"/>
          <w:numId w:val="0"/>
        </w:numPr>
        <w:ind w:left="709"/>
        <w:rPr>
          <w:rFonts w:ascii="Arial" w:hAnsi="Arial" w:cs="Arial"/>
          <w:sz w:val="22"/>
          <w:szCs w:val="22"/>
        </w:rPr>
      </w:pPr>
    </w:p>
    <w:p w14:paraId="37E11EDE" w14:textId="77777777" w:rsidR="00CE2EF9" w:rsidRPr="00F973AB" w:rsidRDefault="00CE2EF9" w:rsidP="00CE2EF9">
      <w:pPr>
        <w:pStyle w:val="doLijstnummering7"/>
        <w:numPr>
          <w:ilvl w:val="0"/>
          <w:numId w:val="0"/>
        </w:numPr>
        <w:ind w:left="709"/>
        <w:rPr>
          <w:rFonts w:ascii="Arial" w:hAnsi="Arial" w:cs="Arial"/>
          <w:sz w:val="22"/>
          <w:szCs w:val="22"/>
        </w:rPr>
      </w:pPr>
    </w:p>
    <w:p w14:paraId="5269EB9C" w14:textId="77777777" w:rsidR="00C56C58" w:rsidRPr="00F973AB" w:rsidRDefault="00C56C58" w:rsidP="00CE2EF9">
      <w:pPr>
        <w:pStyle w:val="doLijstnummering7"/>
        <w:numPr>
          <w:ilvl w:val="0"/>
          <w:numId w:val="0"/>
        </w:numPr>
        <w:ind w:left="709"/>
        <w:rPr>
          <w:rFonts w:ascii="Arial" w:hAnsi="Arial" w:cs="Arial"/>
          <w:sz w:val="22"/>
          <w:szCs w:val="22"/>
        </w:rPr>
      </w:pPr>
    </w:p>
    <w:p w14:paraId="4480AC05" w14:textId="77777777" w:rsidR="00CE2EF9" w:rsidRPr="00F973AB" w:rsidRDefault="00CE2EF9" w:rsidP="00A74620">
      <w:pPr>
        <w:spacing w:after="240"/>
        <w:rPr>
          <w:rFonts w:ascii="Arial" w:hAnsi="Arial" w:cs="Arial"/>
          <w:b/>
          <w:bCs/>
          <w:sz w:val="26"/>
          <w:szCs w:val="26"/>
        </w:rPr>
      </w:pPr>
      <w:r>
        <w:rPr>
          <w:rFonts w:ascii="Arial" w:hAnsi="Arial"/>
          <w:b/>
          <w:sz w:val="26"/>
        </w:rPr>
        <w:t>Τμήμα Γ — Υποχρεώσεις του προμηθευτή σε σχέση με το σύστημα ΤΝ</w:t>
      </w:r>
    </w:p>
    <w:p w14:paraId="17540852" w14:textId="77777777" w:rsidR="00CE2EF9" w:rsidRPr="00F973AB" w:rsidRDefault="00CE2EF9" w:rsidP="00CE2EF9">
      <w:pPr>
        <w:pStyle w:val="doLijstnummering7"/>
        <w:rPr>
          <w:rFonts w:ascii="Arial" w:hAnsi="Arial" w:cs="Arial"/>
          <w:sz w:val="22"/>
          <w:szCs w:val="22"/>
        </w:rPr>
      </w:pPr>
      <w:r>
        <w:rPr>
          <w:rFonts w:ascii="Arial" w:hAnsi="Arial"/>
          <w:sz w:val="22"/>
        </w:rPr>
        <w:t>Συμμόρφωση με το τμήμα Β</w:t>
      </w:r>
    </w:p>
    <w:p w14:paraId="0DCFF6BA" w14:textId="77777777" w:rsidR="00CE2EF9" w:rsidRPr="00F973AB" w:rsidRDefault="00CE2EF9" w:rsidP="00CE2EF9">
      <w:pPr>
        <w:pStyle w:val="doLijstnummering7"/>
        <w:numPr>
          <w:ilvl w:val="0"/>
          <w:numId w:val="0"/>
        </w:numPr>
        <w:ind w:left="851"/>
        <w:rPr>
          <w:rFonts w:ascii="Arial" w:hAnsi="Arial" w:cs="Arial"/>
          <w:sz w:val="22"/>
          <w:szCs w:val="22"/>
        </w:rPr>
      </w:pPr>
    </w:p>
    <w:p w14:paraId="7E38F53D" w14:textId="61EF8E48" w:rsidR="00CE2EF9" w:rsidRPr="00F973AB" w:rsidRDefault="00CE2EF9" w:rsidP="00CE2EF9">
      <w:pPr>
        <w:pStyle w:val="doLijstnummering7"/>
        <w:numPr>
          <w:ilvl w:val="0"/>
          <w:numId w:val="0"/>
        </w:numPr>
        <w:ind w:left="709"/>
        <w:rPr>
          <w:rFonts w:ascii="Arial" w:hAnsi="Arial" w:cs="Arial"/>
          <w:b/>
          <w:bCs/>
          <w:iCs/>
          <w:sz w:val="22"/>
          <w:szCs w:val="22"/>
        </w:rPr>
      </w:pPr>
      <w:r>
        <w:rPr>
          <w:rFonts w:ascii="Arial" w:hAnsi="Arial"/>
          <w:sz w:val="22"/>
          <w:bdr w:val="none" w:sz="0" w:space="0" w:color="auto" w:frame="1"/>
        </w:rPr>
        <w:t>Ο προμηθευτής πρέπει να διασφαλίζει ότι, από την παράδοση του συστήματος ΤΝ έως τη λήξη ισχύος της σύμβασης, το σύστημα ΤΝ συμμορφώνεται με τις απαιτήσεις που καθορίζονται στο τμήμα Β του παρόντος εγγράφου ΤΣΡ-ΤΝ υψηλού κινδύνου.</w:t>
      </w:r>
    </w:p>
    <w:p w14:paraId="6A2523C9" w14:textId="77777777" w:rsidR="00CE2EF9" w:rsidRPr="00F973AB" w:rsidRDefault="00CE2EF9" w:rsidP="00CE2EF9">
      <w:pPr>
        <w:pStyle w:val="doLijstnummering7"/>
        <w:numPr>
          <w:ilvl w:val="0"/>
          <w:numId w:val="0"/>
        </w:numPr>
        <w:ind w:left="709"/>
        <w:rPr>
          <w:rFonts w:ascii="Arial" w:hAnsi="Arial" w:cs="Arial"/>
          <w:b/>
          <w:bCs/>
          <w:iCs/>
          <w:sz w:val="22"/>
          <w:szCs w:val="22"/>
        </w:rPr>
      </w:pPr>
    </w:p>
    <w:p w14:paraId="2DDAD553" w14:textId="4415C3A5" w:rsidR="00CE2EF9" w:rsidRPr="00F973AB" w:rsidRDefault="00CE2EF9" w:rsidP="00CE2EF9">
      <w:pPr>
        <w:pStyle w:val="doLijstnummering7"/>
        <w:rPr>
          <w:rFonts w:ascii="Arial" w:hAnsi="Arial" w:cs="Arial"/>
          <w:sz w:val="22"/>
          <w:szCs w:val="22"/>
        </w:rPr>
      </w:pPr>
      <w:r>
        <w:rPr>
          <w:rFonts w:ascii="Arial" w:hAnsi="Arial"/>
          <w:sz w:val="22"/>
        </w:rPr>
        <w:t xml:space="preserve">Σύστημα διαχείρισης της ποιότητας </w:t>
      </w:r>
    </w:p>
    <w:p w14:paraId="3F369BEE"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2D08DDF1" w14:textId="0354D97A" w:rsidR="00D81335" w:rsidRPr="002F066E" w:rsidRDefault="00CE2EF9" w:rsidP="00CE2EF9">
      <w:pPr>
        <w:pStyle w:val="doLijstnummering7"/>
        <w:numPr>
          <w:ilvl w:val="1"/>
          <w:numId w:val="6"/>
        </w:numPr>
        <w:rPr>
          <w:rFonts w:ascii="Arial" w:hAnsi="Arial" w:cs="Arial"/>
          <w:noProof/>
          <w:sz w:val="22"/>
          <w:szCs w:val="22"/>
        </w:rPr>
      </w:pPr>
      <w:r>
        <w:rPr>
          <w:rFonts w:ascii="Arial" w:hAnsi="Arial"/>
          <w:sz w:val="22"/>
        </w:rPr>
        <w:t xml:space="preserve">Πριν από την παράδοση του συστήματος ΤΝ, ο προμηθευτής εφαρμόζει σύστημα διαχείρισης της ποιότητας το οποίο διασφαλίζει τη συμμόρφωση με τις παρούσες ΤΣΡ-ΤΝ υψηλού κινδύνου. </w:t>
      </w:r>
    </w:p>
    <w:p w14:paraId="48373048" w14:textId="6927E061" w:rsidR="00CE2EF9" w:rsidRPr="002F066E" w:rsidRDefault="00D81335" w:rsidP="00CE2EF9">
      <w:pPr>
        <w:pStyle w:val="doLijstnummering7"/>
        <w:numPr>
          <w:ilvl w:val="1"/>
          <w:numId w:val="6"/>
        </w:numPr>
        <w:rPr>
          <w:rFonts w:ascii="Arial" w:hAnsi="Arial" w:cs="Arial"/>
          <w:noProof/>
          <w:sz w:val="22"/>
          <w:szCs w:val="22"/>
        </w:rPr>
      </w:pPr>
      <w:r>
        <w:rPr>
          <w:rFonts w:ascii="Arial" w:hAnsi="Arial"/>
          <w:sz w:val="22"/>
        </w:rPr>
        <w:lastRenderedPageBreak/>
        <w:t>Το σύστημα διαχείρισης της ποιότητας τεκμηριώνεται με συστηματικό και τακτικό τρόπο υπό τη μορφή γραπτών πολιτικών, διαδικασιών και οδηγιών και περιλαμβάνει τουλάχιστον τις ακόλουθες πτυχές:</w:t>
      </w:r>
    </w:p>
    <w:p w14:paraId="084409CF"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στρατηγική για την κανονιστική συμμόρφωση·</w:t>
      </w:r>
    </w:p>
    <w:p w14:paraId="353900E6"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τεχνικές, διαδικασίες και συστηματικές ενέργειες που πρέπει να χρησιμοποιούνται για τον σχεδιασμό, τον έλεγχο του σχεδιασμού και την επαλήθευση του σχεδιασμού του συστήματος ΤΝ·</w:t>
      </w:r>
    </w:p>
    <w:p w14:paraId="66E441F5"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τεχνικές, διαδικασίες και συστηματικές ενέργειες που πρέπει να χρησιμοποιούνται για την ανάπτυξη, τον έλεγχο ποιότητας και τη διασφάλιση της ποιότητας του συστήματος ΤΝ·</w:t>
      </w:r>
    </w:p>
    <w:p w14:paraId="5DC33C01"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διαδικασίες εξέτασης, δοκιμής και επικύρωσης που πρέπει να διενεργούνται πριν, κατά τη διάρκεια και μετά την ανάπτυξη του συστήματος ΤΝ, καθώς και τη συχνότητα με την οποία πρέπει να διενεργούνται·</w:t>
      </w:r>
    </w:p>
    <w:p w14:paraId="25E1D0B3" w14:textId="1D8BCDA3"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τεχνικές προδιαγραφές, συμπεριλαμβανομένων των προτύπων, που πρέπει να εφαρμόζονται και, όταν τα σχετικά εναρμονισμένα πρότυπα δεν εφαρμόζονται πλήρως</w:t>
      </w:r>
      <w:r>
        <w:rPr>
          <w:rFonts w:ascii="Arial" w:hAnsi="Arial"/>
          <w:sz w:val="22"/>
        </w:rPr>
        <w:t xml:space="preserve"> ή δεν καλύπτουν όλες τις σχετικές απαιτήσεις, </w:t>
      </w:r>
      <w:r>
        <w:rPr>
          <w:rFonts w:ascii="Arial" w:hAnsi="Arial"/>
          <w:sz w:val="22"/>
          <w:bdr w:val="none" w:sz="0" w:space="0" w:color="auto" w:frame="1"/>
        </w:rPr>
        <w:t>τα μέσα που πρέπει να χρησιμοποιούνται για να διασφαλίζεται ότι το σύστημα ΤΝ συμμορφώνεται με τις απαιτήσεις που καθορίζονται στο τμήμα Β του παρόντος εγγράφου ΤΣΡ-ΤΝ υψηλού κινδύνου·</w:t>
      </w:r>
    </w:p>
    <w:p w14:paraId="631030CD"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συστήματα και διαδικασίες για τη διαχείριση δεδομένων, συμπεριλαμβανομένων της συλλογής δεδομένων, της απόκτησης δεδομένων, της ανάλυσης δεδομένων, της επισήμανσης δεδομένων, της αποθήκευσης δεδομένων, του φιλτραρίσματος δεδομένων, της εξόρυξης δεδομένων, της ομαδοποίησης δεδομένων, της διατήρησης δεδομένων και κάθε άλλης ενέργειας σχετικά με τα δεδομένα η οποία εκτελείται πριν από την παράδοση του συστήματος ΤΝ·</w:t>
      </w:r>
    </w:p>
    <w:p w14:paraId="7F2D1723"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το σύστημα διαχείρισης κινδύνου που αναφέρεται στο άρθρο 2·</w:t>
      </w:r>
    </w:p>
    <w:p w14:paraId="7FDDA4C7" w14:textId="28A8394F"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διαδικασίες που σχετίζονται με την αναφορά σοβαρών περιστατικών·</w:t>
      </w:r>
    </w:p>
    <w:p w14:paraId="72907D66" w14:textId="0E06772E" w:rsidR="005A49B9" w:rsidRPr="00F973AB" w:rsidRDefault="005A49B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τον χειρισμό της επικοινωνίας με τις εθνικές αρμόδιες αρχές, άλλες σχετικές αρχές, περιλαμβανομένων των αρχών που παρέχουν ή υποστηρίζουν την πρόσβαση σε δεδομένα, κοινοποιημένους οργανισμούς, άλλους φορείς εκμετάλλευσης, πελάτες ή άλλα ενδιαφερόμενα μέρη·</w:t>
      </w:r>
    </w:p>
    <w:p w14:paraId="75076B4A"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συστήματα και διαδικασίες για την τήρηση αρχείων όλων των σχετικών εγγράφων και πληροφοριών·</w:t>
      </w:r>
    </w:p>
    <w:p w14:paraId="38ABDF9B"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διαχείριση των πόρων, συμπεριλαμβανομένων μέτρων σχετικών με την ασφάλεια του εφοδιασμού·</w:t>
      </w:r>
    </w:p>
    <w:p w14:paraId="34AE228A" w14:textId="58AB520E"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πλαίσιο λογοδοσίας που καθορίζει τις αρμοδιότητες της διοίκησης και του λοιπού προσωπικού όσον αφορά όλες τις πτυχές που απαριθμούνται στην παρούσα παράγραφο.</w:t>
      </w:r>
    </w:p>
    <w:p w14:paraId="176FCAD2" w14:textId="77777777" w:rsidR="00636C8D" w:rsidRPr="00F973AB" w:rsidRDefault="00636C8D" w:rsidP="00636C8D">
      <w:pPr>
        <w:pStyle w:val="doLijstnummering7"/>
        <w:numPr>
          <w:ilvl w:val="1"/>
          <w:numId w:val="6"/>
        </w:numPr>
        <w:rPr>
          <w:rFonts w:ascii="Arial" w:hAnsi="Arial" w:cs="Arial"/>
          <w:sz w:val="22"/>
          <w:szCs w:val="22"/>
        </w:rPr>
      </w:pPr>
      <w:r>
        <w:rPr>
          <w:rFonts w:ascii="Arial" w:hAnsi="Arial"/>
          <w:sz w:val="22"/>
        </w:rPr>
        <w:t>Κατά τη διάρκεια ισχύος της σύμβασης, ο προμηθευτής πρέπει να διατηρεί διαθέσιμη την τεκμηρίωση που αφορά το σύστημα διαχείρισης της ποιότητας. Μόλις του ζητηθεί από τον δημόσιο οργανισμό, ο προμηθευτής παραδίδει την πλέον πρόσφατη έκδοση της τεκμηρίωσης που αφορά το σύστημα διαχείρισης της ποιότητας στον δημόσιο οργανισμό.</w:t>
      </w:r>
    </w:p>
    <w:p w14:paraId="36C4A717" w14:textId="77777777" w:rsidR="00CE2EF9" w:rsidRPr="002F066E" w:rsidRDefault="00CE2EF9" w:rsidP="00564A63">
      <w:pPr>
        <w:pStyle w:val="doLijstnummering7"/>
        <w:numPr>
          <w:ilvl w:val="0"/>
          <w:numId w:val="0"/>
        </w:numPr>
        <w:ind w:left="709"/>
        <w:rPr>
          <w:rFonts w:ascii="Arial" w:hAnsi="Arial" w:cs="Arial"/>
          <w:sz w:val="22"/>
          <w:szCs w:val="22"/>
        </w:rPr>
      </w:pPr>
    </w:p>
    <w:p w14:paraId="314AFE2A" w14:textId="3F77D26E" w:rsidR="00CE2EF9" w:rsidRPr="00F973AB" w:rsidRDefault="00CE2EF9" w:rsidP="00CE2EF9">
      <w:pPr>
        <w:pStyle w:val="doLijstnummering7"/>
        <w:rPr>
          <w:rFonts w:ascii="Arial" w:hAnsi="Arial" w:cs="Arial"/>
          <w:sz w:val="22"/>
          <w:szCs w:val="22"/>
        </w:rPr>
      </w:pPr>
      <w:r>
        <w:rPr>
          <w:rFonts w:ascii="Arial" w:hAnsi="Arial"/>
          <w:sz w:val="22"/>
        </w:rPr>
        <w:t xml:space="preserve">Αξιολόγηση της συμμόρφωσης </w:t>
      </w:r>
    </w:p>
    <w:p w14:paraId="25055ED0" w14:textId="77777777" w:rsidR="00CE2EF9" w:rsidRPr="00F973AB" w:rsidRDefault="00CE2EF9" w:rsidP="00CE2EF9">
      <w:pPr>
        <w:pStyle w:val="doLijstnummering7"/>
        <w:numPr>
          <w:ilvl w:val="0"/>
          <w:numId w:val="0"/>
        </w:numPr>
        <w:ind w:left="851"/>
        <w:rPr>
          <w:rFonts w:ascii="Arial" w:hAnsi="Arial" w:cs="Arial"/>
          <w:sz w:val="22"/>
          <w:szCs w:val="22"/>
        </w:rPr>
      </w:pPr>
    </w:p>
    <w:p w14:paraId="5A1304F6"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Ο προμηθευτής διασφαλίζει ότι το σύστημα ΤΝ υποβάλλεται στην ακόλουθη διαδικασία αξιολόγησης της συμμόρφωσης πριν από την παράδοση του συστήματος ΤΝ:</w:t>
      </w:r>
    </w:p>
    <w:p w14:paraId="26B24270" w14:textId="72D09CA6"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Ο προμηθευτής ελέγχει αν το σύστημα διαχείρισης της ποιότητας που έχει θεσπιστεί πληροί τις απαιτήσεις του άρθρου 10. </w:t>
      </w:r>
    </w:p>
    <w:p w14:paraId="1FAB79D6" w14:textId="2501FE6D"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Ο προμηθευτής εξετάζει τις πληροφορίες που περιέχονται στον τεχνικό φάκελο προκειμένου να αξιολογήσει τη συμμόρφωση του συστήματος ΤΝ με τις σχετικές βασικές απαιτήσεις που καθορίζονται στο τμήμα Β του παρόντος εγγράφου ΤΣΡ-ΤΝ υψηλού κινδύνου.</w:t>
      </w:r>
    </w:p>
    <w:p w14:paraId="106DD499"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Ο προμηθευτής ελέγχει επίσης αν η διαδικασία σχεδιασμού και ανάπτυξης του συστήματος ΤΝ είναι σύμφωνη με τον τεχνικό φάκελο.</w:t>
      </w:r>
    </w:p>
    <w:p w14:paraId="60819A7E"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t xml:space="preserve">Ο προμηθευτής διασφαλίζει ότι το σύστημα ΤΝ υποβάλλεται σε νέα διαδικασία αξιολόγησης της συμμόρφωσης κάθε φορά που στο σύστημα ΤΝ πραγματοποιείται ουσιαστική τροποποίηση από τον προμηθευτή κατά τη διάρκεια ισχύος της σύμβασης. </w:t>
      </w:r>
    </w:p>
    <w:p w14:paraId="191F9E28" w14:textId="77777777" w:rsidR="008F5F39" w:rsidRPr="002F066E" w:rsidRDefault="008F5F39" w:rsidP="00564A63">
      <w:pPr>
        <w:pStyle w:val="doLijstnummering7"/>
        <w:numPr>
          <w:ilvl w:val="0"/>
          <w:numId w:val="0"/>
        </w:numPr>
        <w:ind w:left="709"/>
        <w:rPr>
          <w:rFonts w:ascii="Arial" w:hAnsi="Arial" w:cs="Arial"/>
          <w:sz w:val="22"/>
          <w:szCs w:val="22"/>
        </w:rPr>
      </w:pPr>
    </w:p>
    <w:p w14:paraId="6710B45B" w14:textId="77777777" w:rsidR="00CE2EF9" w:rsidRPr="002F066E" w:rsidRDefault="00CE2EF9" w:rsidP="00CE2EF9">
      <w:pPr>
        <w:pStyle w:val="doLijstnummering7"/>
        <w:numPr>
          <w:ilvl w:val="0"/>
          <w:numId w:val="0"/>
        </w:numPr>
        <w:ind w:left="709"/>
        <w:rPr>
          <w:rFonts w:ascii="Arial" w:hAnsi="Arial" w:cs="Arial"/>
          <w:sz w:val="22"/>
          <w:szCs w:val="22"/>
        </w:rPr>
      </w:pPr>
    </w:p>
    <w:p w14:paraId="06E3E612" w14:textId="368646C6" w:rsidR="002C7FA3" w:rsidRPr="002F066E" w:rsidRDefault="00C77C3E" w:rsidP="00CE2EF9">
      <w:pPr>
        <w:pStyle w:val="doLijstnummering7"/>
        <w:rPr>
          <w:rFonts w:ascii="Arial" w:hAnsi="Arial" w:cs="Arial"/>
          <w:noProof/>
          <w:sz w:val="22"/>
          <w:szCs w:val="22"/>
        </w:rPr>
      </w:pPr>
      <w:r>
        <w:rPr>
          <w:rFonts w:ascii="Arial" w:hAnsi="Arial"/>
          <w:b/>
          <w:sz w:val="22"/>
        </w:rPr>
        <w:t>&lt;προαιρετικό&gt;</w:t>
      </w:r>
      <w:r>
        <w:rPr>
          <w:rFonts w:ascii="Arial" w:hAnsi="Arial"/>
          <w:sz w:val="22"/>
        </w:rPr>
        <w:t xml:space="preserve"> Εκτίμηση των επιπτώσεων στα θεμελιώδη δικαιώματα</w:t>
      </w:r>
    </w:p>
    <w:p w14:paraId="6FFE004D" w14:textId="77777777" w:rsidR="002C7FA3" w:rsidRPr="002F066E" w:rsidRDefault="002C7FA3" w:rsidP="00564A63">
      <w:pPr>
        <w:pStyle w:val="doLijstnummering7"/>
        <w:numPr>
          <w:ilvl w:val="0"/>
          <w:numId w:val="0"/>
        </w:numPr>
        <w:ind w:left="851"/>
        <w:rPr>
          <w:rFonts w:ascii="Arial" w:hAnsi="Arial" w:cs="Arial"/>
          <w:noProof/>
          <w:sz w:val="22"/>
          <w:szCs w:val="22"/>
        </w:rPr>
      </w:pPr>
    </w:p>
    <w:p w14:paraId="7E5E79E9" w14:textId="0B9A69CF" w:rsidR="002C7FA3" w:rsidRPr="008A1402" w:rsidRDefault="00C77C3E" w:rsidP="00564A63">
      <w:pPr>
        <w:pStyle w:val="doLijstnummering7"/>
        <w:numPr>
          <w:ilvl w:val="0"/>
          <w:numId w:val="0"/>
        </w:numPr>
        <w:ind w:left="851"/>
        <w:rPr>
          <w:rFonts w:ascii="Arial" w:hAnsi="Arial" w:cs="Arial"/>
          <w:noProof/>
          <w:sz w:val="22"/>
          <w:szCs w:val="22"/>
        </w:rPr>
      </w:pPr>
      <w:r>
        <w:rPr>
          <w:rFonts w:ascii="Arial" w:hAnsi="Arial"/>
          <w:b/>
          <w:sz w:val="22"/>
        </w:rPr>
        <w:t>&lt;προαιρετικό&gt;</w:t>
      </w:r>
      <w:r>
        <w:rPr>
          <w:rFonts w:ascii="Arial" w:hAnsi="Arial"/>
          <w:sz w:val="22"/>
        </w:rPr>
        <w:t xml:space="preserve"> Μόλις του ζητηθεί από τον δημόσιο οργανισμό, ο προμηθευτής συνεργάζεται για τη διενέργεια, από τον δημόσιο οργανισμό, εκτίμησης των επιπτώσεων που μπορεί να επιφέρει η χρήση του συστήματος ΤΝ στα θεμελιώδη δικαιώματα.</w:t>
      </w:r>
    </w:p>
    <w:p w14:paraId="0977EE3D" w14:textId="77777777" w:rsidR="002C7FA3" w:rsidRPr="00107A1F" w:rsidRDefault="002C7FA3" w:rsidP="00564A63">
      <w:pPr>
        <w:pStyle w:val="doLijstnummering7"/>
        <w:numPr>
          <w:ilvl w:val="0"/>
          <w:numId w:val="0"/>
        </w:numPr>
        <w:ind w:left="851" w:hanging="851"/>
        <w:rPr>
          <w:rFonts w:ascii="Arial" w:hAnsi="Arial" w:cs="Arial"/>
          <w:noProof/>
          <w:sz w:val="22"/>
          <w:szCs w:val="22"/>
        </w:rPr>
      </w:pPr>
    </w:p>
    <w:p w14:paraId="58FB40BF" w14:textId="77777777" w:rsidR="00CE2EF9" w:rsidRPr="008A1402" w:rsidRDefault="00CE2EF9" w:rsidP="00CE2EF9">
      <w:pPr>
        <w:pStyle w:val="doLijstnummering7"/>
        <w:rPr>
          <w:rFonts w:ascii="Arial" w:hAnsi="Arial" w:cs="Arial"/>
          <w:noProof/>
          <w:sz w:val="22"/>
          <w:szCs w:val="22"/>
        </w:rPr>
      </w:pPr>
      <w:r>
        <w:rPr>
          <w:rFonts w:ascii="Arial" w:hAnsi="Arial"/>
          <w:sz w:val="22"/>
        </w:rPr>
        <w:t xml:space="preserve">Διορθωτικά μέτρα </w:t>
      </w:r>
    </w:p>
    <w:p w14:paraId="39EFCE22" w14:textId="77777777" w:rsidR="00CE2EF9" w:rsidRPr="008A1402" w:rsidRDefault="00CE2EF9" w:rsidP="00CE2EF9">
      <w:pPr>
        <w:pStyle w:val="doLijstnummering7"/>
        <w:numPr>
          <w:ilvl w:val="0"/>
          <w:numId w:val="0"/>
        </w:numPr>
        <w:ind w:left="851"/>
        <w:rPr>
          <w:rFonts w:ascii="Arial" w:hAnsi="Arial" w:cs="Arial"/>
          <w:noProof/>
          <w:sz w:val="22"/>
          <w:szCs w:val="22"/>
          <w:lang w:val="en-IE"/>
        </w:rPr>
      </w:pPr>
    </w:p>
    <w:p w14:paraId="3FC3B3A9" w14:textId="4EAEEA90" w:rsidR="00CE2EF9" w:rsidRPr="008A1402" w:rsidRDefault="00CE2EF9" w:rsidP="00CE2EF9">
      <w:pPr>
        <w:pStyle w:val="doLijstnummering7"/>
        <w:numPr>
          <w:ilvl w:val="0"/>
          <w:numId w:val="0"/>
        </w:numPr>
        <w:ind w:left="709"/>
        <w:rPr>
          <w:rFonts w:ascii="Arial" w:hAnsi="Arial" w:cs="Arial"/>
          <w:noProof/>
          <w:sz w:val="22"/>
          <w:szCs w:val="22"/>
        </w:rPr>
      </w:pPr>
      <w:r>
        <w:rPr>
          <w:rFonts w:ascii="Arial" w:hAnsi="Arial"/>
          <w:sz w:val="22"/>
        </w:rPr>
        <w:t>Εάν, κατά τη διάρκεια ισχύος της σύμβασης, ο προμηθευτής θεωρεί ή έχει λόγους να θεωρεί ότι το σύστημα ΤΝ δεν συμμορφώνεται με τις παρούσες ΤΣΡ-ΤΝ υψηλού κινδύνου, είτε ανταποκρινόμενος σε παρατήρηση του δημόσιου οργανισμού είτε όχι, λαμβάνει αμέσως τα αναγκαία διορθωτικά μέτρα για τη συμμόρφωση του συστήματος. Ο προμηθευτής ενημερώνει σχετικά τον δημόσιο οργανισμό.</w:t>
      </w:r>
    </w:p>
    <w:p w14:paraId="51D034E8" w14:textId="77777777" w:rsidR="00CE2EF9" w:rsidRPr="00F973AB" w:rsidRDefault="00CE2EF9" w:rsidP="00CE2EF9">
      <w:pPr>
        <w:pStyle w:val="doLijstnummering7"/>
        <w:numPr>
          <w:ilvl w:val="0"/>
          <w:numId w:val="0"/>
        </w:numPr>
        <w:ind w:left="709"/>
        <w:rPr>
          <w:rFonts w:ascii="Arial" w:hAnsi="Arial" w:cs="Arial"/>
          <w:sz w:val="22"/>
          <w:szCs w:val="22"/>
        </w:rPr>
      </w:pPr>
    </w:p>
    <w:p w14:paraId="3B8A924E" w14:textId="452280E4" w:rsidR="00CE2EF9" w:rsidRPr="00F973AB" w:rsidRDefault="00C77C3E" w:rsidP="002C7FA3">
      <w:pPr>
        <w:pStyle w:val="doLijstnummering7"/>
      </w:pPr>
      <w:r>
        <w:rPr>
          <w:rFonts w:ascii="Arial" w:hAnsi="Arial"/>
          <w:b/>
          <w:sz w:val="22"/>
        </w:rPr>
        <w:t>&lt;προαιρετικό&gt;</w:t>
      </w:r>
      <w:r>
        <w:rPr>
          <w:rFonts w:ascii="Arial" w:hAnsi="Arial"/>
          <w:sz w:val="22"/>
        </w:rPr>
        <w:t xml:space="preserve"> Υποχρέωση επεξήγησης της ατομικής λήψης αποφάσεων</w:t>
      </w:r>
    </w:p>
    <w:p w14:paraId="4E1B9500" w14:textId="77777777" w:rsidR="00CE2EF9" w:rsidRPr="00F973AB" w:rsidRDefault="00CE2EF9" w:rsidP="00CE2EF9">
      <w:pPr>
        <w:pStyle w:val="doLijstnummering7"/>
        <w:numPr>
          <w:ilvl w:val="0"/>
          <w:numId w:val="0"/>
        </w:numPr>
        <w:ind w:left="851"/>
        <w:rPr>
          <w:rFonts w:ascii="Arial" w:hAnsi="Arial" w:cs="Arial"/>
          <w:sz w:val="22"/>
          <w:szCs w:val="22"/>
        </w:rPr>
      </w:pPr>
    </w:p>
    <w:p w14:paraId="132FF29A" w14:textId="4F837ACD" w:rsidR="009B4B27" w:rsidRPr="00F973AB" w:rsidRDefault="0012712E" w:rsidP="00C77C3E">
      <w:pPr>
        <w:pStyle w:val="doLijstnummering7"/>
        <w:numPr>
          <w:ilvl w:val="1"/>
          <w:numId w:val="6"/>
        </w:numPr>
        <w:rPr>
          <w:rFonts w:ascii="Arial" w:hAnsi="Arial" w:cs="Arial"/>
          <w:sz w:val="22"/>
          <w:szCs w:val="22"/>
        </w:rPr>
      </w:pPr>
      <w:r>
        <w:rPr>
          <w:rFonts w:ascii="Arial" w:hAnsi="Arial"/>
          <w:b/>
          <w:sz w:val="22"/>
        </w:rPr>
        <w:t>&lt;προαιρετικό&gt;</w:t>
      </w:r>
      <w:r>
        <w:rPr>
          <w:rFonts w:ascii="Arial" w:hAnsi="Arial"/>
          <w:sz w:val="22"/>
        </w:rPr>
        <w:t xml:space="preserve"> Επιπρόσθετα στις υποχρεώσεις που περιγράφονται στο άρθρο 6, ο προμηθευτής υποχρεούται να συνδράμει τον δημόσιο οργανισμό, μόλις του ζητηθεί από τον δημόσιο οργανισμό, παρέχοντας σαφή και ουσιαστική επεξήγηση σχετικά με τον ρόλο του συστήματος ΤΝ στη διαδικασία λήψης αποφάσεων. Αυτή η ουσιαστική επεξήγηση θα πρέπει να παρέχει ιδίως (αλλά όχι αποκλειστικά) πληροφορίες σχετικά με τα κύρια στοιχεία της απόφασης ή των αποφάσεων που λαμβάνονται σε κάθε θιγόμενο πρόσωπο που υπόκειται σε απόφαση ή αποφάσεις δημόσιου οργανισμού με βάση τα στοιχεία εξόδου του συστήματος ΤΝ.</w:t>
      </w:r>
    </w:p>
    <w:p w14:paraId="49D8BAB6" w14:textId="7261D6C6"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&lt;προαιρετικό&gt;</w:t>
      </w:r>
      <w:r>
        <w:rPr>
          <w:rFonts w:ascii="Arial" w:hAnsi="Arial"/>
          <w:sz w:val="22"/>
        </w:rPr>
        <w:t xml:space="preserve"> Η υποχρέωση που περιγράφεται στο άρθρο 14.1 περιλαμβάνει την παροχή στον δημόσιο οργανισμό όλων των τεχνικών και άλλων πληροφοριών που </w:t>
      </w:r>
      <w:r>
        <w:rPr>
          <w:rFonts w:ascii="Arial" w:hAnsi="Arial"/>
          <w:sz w:val="22"/>
        </w:rPr>
        <w:lastRenderedPageBreak/>
        <w:t>απαιτούνται για να εξηγηθεί ο τρόπος με τον οποίο το σύστημα ΤΝ παρήγαγε συγκεκριμένα στοιχεία εξόδου και να προσφερθεί στα θιγόμενα πρόσωπα η δυνατότητα να επαληθεύσουν τον τρόπο με τον οποίο το σύστημα ΤΝ παρήγαγε συγκεκριμένα στοιχεία εξόδου. Ο προμηθευτής παραχωρεί με την παρούσα στον δημόσιο οργανισμό το δικαίωμα να χρησιμοποιεί, να κοινοποιεί και να γνωστοποιεί τις πληροφορίες αυτές, εάν και στον βαθμό που είναι αναγκαίο, για να ενημερώσει σχετικά τα θιγόμενα πρόσωπα.</w:t>
      </w:r>
    </w:p>
    <w:p w14:paraId="1A7FA37F" w14:textId="2B9AF792"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&lt;προαιρετικό&gt;</w:t>
      </w:r>
      <w:r>
        <w:rPr>
          <w:rFonts w:ascii="Arial" w:hAnsi="Arial"/>
          <w:sz w:val="22"/>
        </w:rPr>
        <w:t xml:space="preserve"> Οι υποχρεώσεις που αναφέρονται στο άρθρο 14.1 και στο άρθρο 14.2 περιλαμβάνουν τον πηγαίο κώδικα του συστήματος ΤΝ, τις τεχνικές προδιαγραφές που χρησιμοποιήθηκαν για την ανάπτυξη του συστήματος ΤΝ, τα σύνολα δεδομένων, τεχνικές πληροφορίες σχετικά με τον τρόπο λήψης και επεξεργασίας των συνόλων δεδομένων που χρησιμοποιήθηκαν για την ανάπτυξη του συστήματος ΤΝ, πληροφορίες σχετικά με τη μέθοδο ανάπτυξης που χρησιμοποιήθηκε και τη διαδικασία ανάπτυξης που εφαρμόστηκε, την τεκμηρίωση της επιλογής για ένα συγκεκριμένο μοντέλο και τις παραμέτρους του, καθώς και πληροφορίες σχετικά με τις επιδόσεις του συστήματος ΤΝ.</w:t>
      </w:r>
    </w:p>
    <w:p w14:paraId="52778463" w14:textId="77777777" w:rsidR="004C37ED" w:rsidRPr="00F973AB" w:rsidRDefault="004C37ED" w:rsidP="00564A63">
      <w:pPr>
        <w:pStyle w:val="doLijstnummering7"/>
        <w:numPr>
          <w:ilvl w:val="0"/>
          <w:numId w:val="0"/>
        </w:numPr>
        <w:ind w:left="709"/>
        <w:rPr>
          <w:rFonts w:ascii="Arial" w:hAnsi="Arial" w:cs="Arial"/>
          <w:sz w:val="22"/>
          <w:szCs w:val="22"/>
        </w:rPr>
      </w:pPr>
    </w:p>
    <w:p w14:paraId="562E5257" w14:textId="77777777" w:rsidR="00C56C58" w:rsidRPr="00F973AB" w:rsidRDefault="00C56C58" w:rsidP="00CE2EF9">
      <w:pPr>
        <w:pStyle w:val="doLijstnummering7"/>
        <w:numPr>
          <w:ilvl w:val="0"/>
          <w:numId w:val="0"/>
        </w:numPr>
        <w:rPr>
          <w:rFonts w:ascii="Arial" w:hAnsi="Arial" w:cs="Arial"/>
          <w:sz w:val="22"/>
          <w:szCs w:val="22"/>
        </w:rPr>
      </w:pPr>
    </w:p>
    <w:p w14:paraId="4A19A640" w14:textId="77777777" w:rsidR="00CE2EF9" w:rsidRPr="00F973AB" w:rsidRDefault="00CE2EF9" w:rsidP="00D33B49">
      <w:pPr>
        <w:spacing w:before="120" w:after="240"/>
        <w:rPr>
          <w:rFonts w:ascii="Arial" w:hAnsi="Arial" w:cs="Arial"/>
          <w:b/>
          <w:sz w:val="26"/>
          <w:szCs w:val="26"/>
        </w:rPr>
      </w:pPr>
      <w:r>
        <w:rPr>
          <w:rFonts w:ascii="Arial" w:hAnsi="Arial"/>
          <w:b/>
          <w:sz w:val="26"/>
        </w:rPr>
        <w:t>Τμήμα Δ — Δικαιώματα χρήσης των συνόλων δεδομένων</w:t>
      </w:r>
    </w:p>
    <w:p w14:paraId="550BCC80" w14:textId="77777777" w:rsidR="00CE2EF9" w:rsidRPr="00F973AB" w:rsidRDefault="00CE2EF9" w:rsidP="00CE2EF9">
      <w:pPr>
        <w:pStyle w:val="doLijstnummering7"/>
        <w:rPr>
          <w:rFonts w:ascii="Arial" w:hAnsi="Arial" w:cs="Arial"/>
          <w:sz w:val="22"/>
          <w:szCs w:val="22"/>
        </w:rPr>
      </w:pPr>
      <w:r>
        <w:rPr>
          <w:rFonts w:ascii="Arial" w:hAnsi="Arial"/>
          <w:sz w:val="22"/>
        </w:rPr>
        <w:t>Δικαιώματα σε σύνολα δεδομένων του δημόσιου οργανισμού</w:t>
      </w:r>
    </w:p>
    <w:p w14:paraId="40B12FE1" w14:textId="77777777" w:rsidR="00CE2EF9" w:rsidRPr="00F973AB" w:rsidRDefault="00CE2EF9" w:rsidP="00CE2EF9">
      <w:pPr>
        <w:pStyle w:val="doLijstnummering7"/>
        <w:numPr>
          <w:ilvl w:val="0"/>
          <w:numId w:val="0"/>
        </w:numPr>
        <w:ind w:left="709"/>
        <w:rPr>
          <w:rFonts w:ascii="Arial" w:hAnsi="Arial" w:cs="Arial"/>
          <w:sz w:val="22"/>
          <w:szCs w:val="22"/>
        </w:rPr>
      </w:pPr>
    </w:p>
    <w:p w14:paraId="68869B5C"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Όλα τα δικαιώματα, συμπεριλαμβανομένων τυχόν δικαιωμάτων διανοητικής ιδιοκτησίας, τα οποία σχετίζονται με τα σύνολα δεδομένων του δημόσιου οργανισμού περιέρχονται στον δημόσιο οργανισμό ή σε τρίτο που ορίζεται για τον σκοπό αυτόν από τον δημόσιο οργανισμό. </w:t>
      </w:r>
    </w:p>
    <w:p w14:paraId="0F0303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Ο προμηθευτής δεν δικαιούται να χρησιμοποιεί σύνολα δεδομένων του δημόσιου οργανισμού για σκοπούς άλλους από την εκτέλεση της σύμβασης, εκτός εάν προβλέπεται διαφορετικά στο παράρτημα Β.</w:t>
      </w:r>
    </w:p>
    <w:p w14:paraId="01A42888"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Μόλις του ζητηθεί από τον δημόσιο οργανισμό, ο προμηθευτής υποχρεούται να καταστρέψει τα σύνολα δεδομένων του δημόσιου οργανισμού, εκτός εάν προβλέπεται διαφορετικά στο παράρτημα Β. Εάν το ζητήσει ο δημόσιος οργανισμός, ο προμηθευτής πρέπει να παράσχει απτές αποδείξεις της καταστροφής των συνόλων δεδομένων του δημόσιου οργανισμού.</w:t>
      </w:r>
    </w:p>
    <w:p w14:paraId="11B3898E" w14:textId="77777777" w:rsidR="00CE2EF9" w:rsidRPr="00F973AB" w:rsidRDefault="00CE2EF9" w:rsidP="00CE2EF9">
      <w:pPr>
        <w:pStyle w:val="doLijstnummering7"/>
        <w:numPr>
          <w:ilvl w:val="0"/>
          <w:numId w:val="0"/>
        </w:numPr>
        <w:ind w:left="709"/>
        <w:rPr>
          <w:rFonts w:ascii="Arial" w:hAnsi="Arial" w:cs="Arial"/>
          <w:sz w:val="22"/>
          <w:szCs w:val="22"/>
        </w:rPr>
      </w:pPr>
    </w:p>
    <w:p w14:paraId="2FB0BD24" w14:textId="144D52B8" w:rsidR="00CE2EF9" w:rsidRPr="00F973AB" w:rsidRDefault="00CE2EF9" w:rsidP="00CE2EF9">
      <w:pPr>
        <w:pStyle w:val="doLijstnummering7"/>
        <w:rPr>
          <w:rFonts w:ascii="Arial" w:hAnsi="Arial" w:cs="Arial"/>
          <w:sz w:val="22"/>
          <w:szCs w:val="22"/>
        </w:rPr>
      </w:pPr>
      <w:r>
        <w:rPr>
          <w:rFonts w:ascii="Arial" w:hAnsi="Arial"/>
          <w:sz w:val="22"/>
        </w:rPr>
        <w:t>Δικαιώματα σε σύνολα δεδομένων του προμηθευτή και σύνολα δεδομένων τρίτων</w:t>
      </w:r>
    </w:p>
    <w:p w14:paraId="2A54E808"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165643DA" w14:textId="756B08C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Όλα τα δικαιώματα, συμπεριλαμβανομένων τυχόν δικαιωμάτων διανοητικής ιδιοκτησίας, τα οποία αφορούν σύνολα δεδομένων του προμηθευτή και σύνολα δεδομένων τρίτων περιέρχονται στον προμηθευτή ή σε τρίτο. </w:t>
      </w:r>
    </w:p>
    <w:p w14:paraId="0675C23A" w14:textId="5757206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Ο προμηθευτής χορηγεί στον δημόσιο οργανισμό μη αποκλειστικό δικαίωμα χρήσης συνόλων δεδομένων του προμηθευτή και συνόλων δεδομένων τρίτων, το οποίο είναι σε κάθε περίπτωση επαρκές για την εκτέλεση των διατάξεων της σύμβασης, </w:t>
      </w:r>
      <w:r>
        <w:rPr>
          <w:rFonts w:ascii="Arial" w:hAnsi="Arial"/>
          <w:sz w:val="22"/>
        </w:rPr>
        <w:lastRenderedPageBreak/>
        <w:t>συμπεριλαμβανομένων των ΤΣΡ-ΤΝ υψηλού κινδύνου, εκτός εάν προβλέπεται διαφορετικά στο παράρτημα Β.</w:t>
      </w:r>
    </w:p>
    <w:p w14:paraId="6EA8D37E" w14:textId="378C3B57"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&lt;προαιρετικό&gt;</w:t>
      </w:r>
      <w:r>
        <w:rPr>
          <w:rFonts w:ascii="Arial" w:hAnsi="Arial"/>
          <w:sz w:val="22"/>
        </w:rPr>
        <w:t xml:space="preserve"> Το δικαίωμα χρήσης που περιγράφεται στο άρθρο 16.2 περιλαμβάνει το δικαίωμα χρήσης συνόλων δεδομένων του προμηθευτή και συνόλων τρίτων για την περαιτέρω ανάπτυξη του συστήματος ΤΝ, συμπεριλαμβανομένων τυχόν νέων εκδόσεών του, από τον δημόσιο οργανισμό ή από τρίτο. </w:t>
      </w:r>
    </w:p>
    <w:p w14:paraId="5DC6759B" w14:textId="77777777" w:rsidR="009B4B27" w:rsidRPr="00F973AB" w:rsidRDefault="009B4B27" w:rsidP="00564A63">
      <w:pPr>
        <w:pStyle w:val="doLijstnummering7"/>
        <w:numPr>
          <w:ilvl w:val="0"/>
          <w:numId w:val="0"/>
        </w:numPr>
        <w:ind w:left="709"/>
        <w:rPr>
          <w:rFonts w:ascii="Arial" w:hAnsi="Arial" w:cs="Arial"/>
          <w:sz w:val="22"/>
          <w:szCs w:val="22"/>
        </w:rPr>
      </w:pPr>
    </w:p>
    <w:p w14:paraId="219AA20A" w14:textId="0E263393" w:rsidR="00CE2EF9" w:rsidRPr="00F973AB" w:rsidRDefault="009B4B27" w:rsidP="00CE2EF9">
      <w:pPr>
        <w:pStyle w:val="doLijstnummering7"/>
        <w:rPr>
          <w:rFonts w:ascii="Arial" w:hAnsi="Arial" w:cs="Arial"/>
          <w:sz w:val="22"/>
          <w:szCs w:val="22"/>
        </w:rPr>
      </w:pPr>
      <w:r>
        <w:rPr>
          <w:rFonts w:ascii="Arial" w:hAnsi="Arial"/>
          <w:sz w:val="22"/>
        </w:rPr>
        <w:t>Παράδοση των συνόλων δεδομένων</w:t>
      </w:r>
    </w:p>
    <w:p w14:paraId="44470E3C"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74F9DAE7" w14:textId="15A422A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Μόλις του ζητηθεί από τον δημόσιο οργανισμό, ο προμηθευτής παραδίδει την πλέον πρόσφατη έκδοση των συνόλων δεδομένων του δημόσιου οργανισμού στον δημόσιο οργανισμό.</w:t>
      </w:r>
    </w:p>
    <w:p w14:paraId="304FB838" w14:textId="1AD1DC3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Μόλις του ζητηθεί από τον δημόσιο οργανισμό, ο προμηθευτής παραδίδει την πλέον πρόσφατη έκδοση των συνόλων δεδομένων του προμηθευτή και των συνόλων δεδομένων τρίτων στον δημόσιο οργανισμό, εκτός εάν προβλέπεται διαφορετικά στο παράρτημα Β. </w:t>
      </w:r>
    </w:p>
    <w:p w14:paraId="7D5B102F" w14:textId="67D7327A"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Τα σύνολα δεδομένων πρέπει να παραδίδονται στον δημόσιο οργανισμό από τον προμηθευτή σε κοινό μορφότυπο αρχείου που καθορίζεται από τον δημόσιο οργανισμό. </w:t>
      </w:r>
      <w:r>
        <w:rPr>
          <w:rFonts w:ascii="Arial" w:hAnsi="Arial"/>
          <w:b/>
          <w:sz w:val="22"/>
        </w:rPr>
        <w:t>&lt;προαιρετικό&gt; Τα σύνολα δεδομένων επιστρέφονται στην ακόλουθη μορφή: [μορφότυπος αρχείων].</w:t>
      </w:r>
    </w:p>
    <w:p w14:paraId="2988E518" w14:textId="77777777" w:rsidR="00CE2EF9" w:rsidRPr="00F973AB" w:rsidRDefault="00CE2EF9" w:rsidP="00CE2EF9">
      <w:pPr>
        <w:pStyle w:val="doLijstnummering7"/>
        <w:numPr>
          <w:ilvl w:val="0"/>
          <w:numId w:val="0"/>
        </w:numPr>
        <w:ind w:left="709"/>
        <w:rPr>
          <w:rFonts w:ascii="Arial" w:hAnsi="Arial" w:cs="Arial"/>
          <w:sz w:val="22"/>
          <w:szCs w:val="22"/>
        </w:rPr>
      </w:pPr>
    </w:p>
    <w:p w14:paraId="03C993AD" w14:textId="77777777" w:rsidR="00CE2EF9" w:rsidRPr="00F973AB" w:rsidRDefault="00CE2EF9" w:rsidP="00CE2EF9">
      <w:pPr>
        <w:pStyle w:val="doLijstnummering7"/>
        <w:rPr>
          <w:rFonts w:ascii="Arial" w:hAnsi="Arial" w:cs="Arial"/>
          <w:sz w:val="22"/>
          <w:szCs w:val="22"/>
        </w:rPr>
      </w:pPr>
      <w:r>
        <w:rPr>
          <w:rFonts w:ascii="Arial" w:hAnsi="Arial"/>
          <w:sz w:val="22"/>
        </w:rPr>
        <w:t>Αποζημιώσεις</w:t>
      </w:r>
    </w:p>
    <w:p w14:paraId="67331209" w14:textId="77777777" w:rsidR="00CE2EF9" w:rsidRPr="00F973AB" w:rsidRDefault="00CE2EF9" w:rsidP="00CE2EF9">
      <w:pPr>
        <w:pStyle w:val="doLijstnummering7"/>
        <w:numPr>
          <w:ilvl w:val="0"/>
          <w:numId w:val="0"/>
        </w:numPr>
        <w:ind w:left="851"/>
        <w:rPr>
          <w:rFonts w:ascii="Arial" w:hAnsi="Arial" w:cs="Arial"/>
          <w:sz w:val="22"/>
          <w:szCs w:val="22"/>
        </w:rPr>
      </w:pPr>
    </w:p>
    <w:p w14:paraId="2D47DA55" w14:textId="68C3EDFE" w:rsidR="00CE2EF9" w:rsidRPr="00F973AB" w:rsidRDefault="00CE2EF9" w:rsidP="002C7FA3">
      <w:pPr>
        <w:pStyle w:val="doLijstnummering7"/>
        <w:numPr>
          <w:ilvl w:val="1"/>
          <w:numId w:val="6"/>
        </w:numPr>
        <w:rPr>
          <w:rFonts w:ascii="Arial" w:hAnsi="Arial" w:cs="Arial"/>
          <w:sz w:val="22"/>
          <w:szCs w:val="22"/>
        </w:rPr>
      </w:pPr>
      <w:r>
        <w:rPr>
          <w:rFonts w:ascii="Arial" w:hAnsi="Arial"/>
          <w:sz w:val="22"/>
        </w:rPr>
        <w:t xml:space="preserve">Ο προμηθευτής αποζημιώνει τον δημόσιο οργανισμό για όλες τις αξιώσεις τρίτων, συμπεριλαμβανομένων των εποπτικών αρχών, οι οποίες προκύπτουν από οποιαδήποτε παραβίαση δικαιωμάτων διανοητικής ιδιοκτησίας, δικαιωμάτων προστασίας δεδομένων ή ισοδύναμων δικαιωμάτων που απορρέουν από τη χρήση του συστήματος ΤΝ, των συνόλων δεδομένων του προμηθευτή και/ή συνόλων δεδομένων τρίτων από τον δημόσιο οργανισμό. </w:t>
      </w:r>
    </w:p>
    <w:p w14:paraId="388FBA68" w14:textId="6E1A7CB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Ο δημόσιος οργανισμός αποζημιώνει τον προμηθευτή για όλες τις αξιώσεις τρίτων, συμπεριλαμβανομένων των εποπτικών αρχών, οι οποίες προκύπτουν από οποιαδήποτε παραβίαση των δικαιωμάτων διανοητικής ιδιοκτησίας, των δικαιωμάτων προστασίας της ιδιωτικής ζωής ή ισοδύναμων δικαιωμάτων τους που απορρέουν από τη χρήση των συνόλων δεδομένων του δημόσιου οργανισμού. </w:t>
      </w:r>
    </w:p>
    <w:p w14:paraId="7CEF0537" w14:textId="77777777" w:rsidR="00CE2EF9" w:rsidRPr="00F973AB" w:rsidRDefault="00CE2EF9" w:rsidP="00CE2EF9">
      <w:pPr>
        <w:pStyle w:val="doLijstnummering7"/>
        <w:numPr>
          <w:ilvl w:val="0"/>
          <w:numId w:val="0"/>
        </w:numPr>
        <w:rPr>
          <w:rFonts w:ascii="Arial" w:hAnsi="Arial" w:cs="Arial"/>
          <w:sz w:val="22"/>
          <w:szCs w:val="22"/>
        </w:rPr>
      </w:pPr>
    </w:p>
    <w:p w14:paraId="78A7FC39" w14:textId="77777777" w:rsidR="00C56C58" w:rsidRPr="00F973AB" w:rsidRDefault="00C56C58" w:rsidP="00CE2EF9">
      <w:pPr>
        <w:pStyle w:val="doLijstnummering7"/>
        <w:numPr>
          <w:ilvl w:val="0"/>
          <w:numId w:val="0"/>
        </w:numPr>
        <w:rPr>
          <w:rFonts w:ascii="Arial" w:hAnsi="Arial" w:cs="Arial"/>
          <w:sz w:val="22"/>
          <w:szCs w:val="22"/>
        </w:rPr>
      </w:pPr>
    </w:p>
    <w:p w14:paraId="5F84109D" w14:textId="77777777" w:rsidR="00CE2EF9" w:rsidRPr="00F973AB" w:rsidRDefault="00CE2EF9" w:rsidP="00D33B49">
      <w:pPr>
        <w:spacing w:before="120" w:after="240"/>
        <w:rPr>
          <w:rFonts w:ascii="Arial" w:hAnsi="Arial" w:cs="Arial"/>
          <w:b/>
          <w:sz w:val="26"/>
          <w:szCs w:val="26"/>
        </w:rPr>
      </w:pPr>
      <w:r>
        <w:rPr>
          <w:rFonts w:ascii="Arial" w:hAnsi="Arial"/>
          <w:b/>
          <w:sz w:val="26"/>
        </w:rPr>
        <w:t xml:space="preserve">ΤΜΗΜΑ Ε — Μητρώο ΤΝ και έλεγχος </w:t>
      </w:r>
    </w:p>
    <w:p w14:paraId="687E4541" w14:textId="77777777" w:rsidR="00CE2EF9" w:rsidRPr="00F973AB" w:rsidRDefault="00CE2EF9" w:rsidP="00CE2EF9">
      <w:pPr>
        <w:pStyle w:val="doLijstnummering7"/>
        <w:rPr>
          <w:rFonts w:ascii="Arial" w:hAnsi="Arial" w:cs="Arial"/>
          <w:sz w:val="22"/>
          <w:szCs w:val="22"/>
        </w:rPr>
      </w:pPr>
      <w:r>
        <w:rPr>
          <w:rFonts w:ascii="Arial" w:hAnsi="Arial"/>
          <w:b/>
          <w:sz w:val="22"/>
        </w:rPr>
        <w:t>&lt;προαιρετικό&gt;</w:t>
      </w:r>
      <w:r>
        <w:rPr>
          <w:rFonts w:ascii="Arial" w:hAnsi="Arial"/>
          <w:sz w:val="22"/>
        </w:rPr>
        <w:t xml:space="preserve"> Μητρώο ΤΝ</w:t>
      </w:r>
    </w:p>
    <w:p w14:paraId="4F33AFDF" w14:textId="77777777" w:rsidR="00CE2EF9" w:rsidRPr="00F973AB" w:rsidRDefault="00CE2EF9" w:rsidP="00CE2EF9">
      <w:pPr>
        <w:pStyle w:val="doLijstnummering7"/>
        <w:numPr>
          <w:ilvl w:val="0"/>
          <w:numId w:val="0"/>
        </w:numPr>
        <w:ind w:left="851"/>
        <w:rPr>
          <w:rFonts w:ascii="Arial" w:hAnsi="Arial" w:cs="Arial"/>
          <w:sz w:val="22"/>
          <w:szCs w:val="22"/>
        </w:rPr>
      </w:pPr>
    </w:p>
    <w:p w14:paraId="0CEECF03"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Μόλις του ζητηθεί από τον δημόσιο οργανισμό, ο προμηθευτής παρέχει στον δημόσιο οργανισμό την πλέον πρόσφατη έκδοση των πληροφοριών που περιγράφονται στο παράρτημα Γ και στο παράρτημα Δ.</w:t>
      </w:r>
    </w:p>
    <w:p w14:paraId="40886721" w14:textId="092F684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lastRenderedPageBreak/>
        <w:t xml:space="preserve">Ο δημόσιος οργανισμός έχει το δικαίωμα να κοινοποιεί σε τρίτους τις πληροφορίες που περιγράφονται στο άρθρο 19.1 και να τις δημοσιοποιεί, για παράδειγμα σε μητρώο συστημάτων ΤΝ. </w:t>
      </w:r>
    </w:p>
    <w:p w14:paraId="4BE929F0"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Εάν το ζητήσει ο δημόσιος οργανισμός, ο προμηθευτής τον συνδράμει στην καταχώριση των συστημάτων ΤΝ σε οποιοδήποτε σχετικό μητρώο.</w:t>
      </w:r>
    </w:p>
    <w:p w14:paraId="4AFACAEE" w14:textId="77777777" w:rsidR="00CE2EF9" w:rsidRPr="00F973AB" w:rsidRDefault="00CE2EF9" w:rsidP="00CE2EF9">
      <w:pPr>
        <w:pStyle w:val="doLijstnummering7"/>
        <w:numPr>
          <w:ilvl w:val="0"/>
          <w:numId w:val="0"/>
        </w:numPr>
        <w:ind w:left="851"/>
        <w:rPr>
          <w:rFonts w:ascii="Arial" w:hAnsi="Arial" w:cs="Arial"/>
          <w:sz w:val="22"/>
          <w:szCs w:val="22"/>
        </w:rPr>
      </w:pPr>
    </w:p>
    <w:p w14:paraId="1247F823" w14:textId="77777777" w:rsidR="00CE2EF9" w:rsidRPr="00F973AB" w:rsidRDefault="00CE2EF9" w:rsidP="00CE2EF9">
      <w:pPr>
        <w:pStyle w:val="doLijstnummering7"/>
        <w:rPr>
          <w:rFonts w:ascii="Arial" w:hAnsi="Arial" w:cs="Arial"/>
          <w:sz w:val="22"/>
          <w:szCs w:val="22"/>
        </w:rPr>
      </w:pPr>
      <w:r>
        <w:rPr>
          <w:rFonts w:ascii="Arial" w:hAnsi="Arial"/>
          <w:sz w:val="22"/>
        </w:rPr>
        <w:t>Συμμόρφωση και έλεγχος</w:t>
      </w:r>
    </w:p>
    <w:p w14:paraId="6E070ADD" w14:textId="77777777" w:rsidR="00CE2EF9" w:rsidRPr="00F973AB" w:rsidRDefault="00CE2EF9" w:rsidP="00CE2EF9">
      <w:pPr>
        <w:pStyle w:val="doLijstnummering7"/>
        <w:numPr>
          <w:ilvl w:val="0"/>
          <w:numId w:val="0"/>
        </w:numPr>
        <w:ind w:left="851"/>
        <w:rPr>
          <w:rFonts w:ascii="Arial" w:hAnsi="Arial" w:cs="Arial"/>
          <w:sz w:val="22"/>
          <w:szCs w:val="22"/>
        </w:rPr>
      </w:pPr>
    </w:p>
    <w:p w14:paraId="1F38AA50" w14:textId="7AC01F91"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Μόλις του ζητηθεί από τον δημόσιο οργανισμό, ο προμηθευτής πρέπει να θέτει στη διάθεση του δημόσιου οργανισμού όλες τις απαραίτητες πληροφορίες για την απόδειξη της συμμόρφωσης με τις παρούσες ΤΣΡ-ΤΝ υψηλού κινδύνου.</w:t>
      </w:r>
    </w:p>
    <w:p w14:paraId="5BEA7370" w14:textId="3787EB3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Ο προμηθευτής υποχρεούται να συνεργάζεται σε έλεγχο ή σε άλλο είδος επιθεώρησης που διενεργείται από τον δημόσιο οργανισμό ή για λογαριασμό του δημόσιου οργανισμού για την αξιολόγηση της συνεχούς συμμόρφωσης του προμηθευτή με τις οικείες υποχρεώσεις που προβλέπονται στις παρούσες ΤΣΡ-ΤΝ υψηλού κινδύνου. Η συνεργασία αυτή περιλαμβάνει την παροχή όλων των πληροφοριών που ζητούνται από τον δημόσιο οργανισμό, την παροχή πληροφοριών σχετικά με το σύστημα διαχείρισης κινδύνου που εφαρμόζεται, τη διάθεση του προσωπικού του προμηθευτή για συνεντεύξεις και την παροχή πρόσβασης στους χώρους του προμηθευτή.</w:t>
      </w:r>
    </w:p>
    <w:p w14:paraId="4C5B6841"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Ο δημόσιος οργανισμός εκπονεί ή αναθέτει την εκπόνηση έκθεσης στην οποία καταγράφονται τα συμπεράσματα του ελέγχου. Στην έκθεση, ο δημόσιος οργανισμός καταγράφει τον βαθμό στον οποίο ο προμηθευτής συμμορφώνεται με τις υποχρεώσεις που απορρέουν από τη συμφωνία. Εάν ο δημόσιος οργανισμός διαπιστώσει ότι ο προμηθευτής δεν συμμορφώνεται με τις υποχρεώσεις που απορρέουν από το παρόν άρθρο, ο προμηθευτής υποχρεούται να διορθώσει τα ελαττώματα που εντόπισε ο δημόσιος οργανισμός εντός της εύλογης προθεσμίας που ορίζεται από τον δημόσιο οργανισμό στην έκθεση. Εάν ο προμηθευτής δεν διορθώσει τα ελαττώματα που εντοπίστηκαν από τον δημόσιο οργανισμό εντός της προθεσμίας που ορίζεται στην έκθεση για τη διόρθωση των εν λόγω ελαττωμάτων, ο προμηθευτής θεωρείται εκ του νόμου ότι έχει αθετήσει τις υποχρεώσεις του.</w:t>
      </w:r>
    </w:p>
    <w:p w14:paraId="69BB53E9" w14:textId="7457B2C2"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Ο δημόσιος οργανισμός έχει το δικαίωμα να δημοσιεύσει τα συμπεράσματα της έκθεσης που αναφέρεται στο άρθρο 20.3. </w:t>
      </w:r>
    </w:p>
    <w:p w14:paraId="528F0AB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Ο δημόσιος οργανισμός έχει το δικαίωμα να διενεργεί ή να αναθέτει τη διενέργεια ελέγχου άπαξ ανά ημερολογιακό έτος ή σε περίπτωση οποιασδήποτε ουσιαστικής τροποποίησης.</w:t>
      </w:r>
    </w:p>
    <w:p w14:paraId="549B6FC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Ο δημόσιος οργανισμός μπορεί να αποφασίσει η διενέργεια του συνόλου ή μέρους του ελέγχου να πραγματοποιηθεί από ανεξάρτητο ελεγκτή.</w:t>
      </w:r>
    </w:p>
    <w:p w14:paraId="6A1C79A3" w14:textId="1DF2CA70" w:rsidR="00CE2EF9" w:rsidRPr="00F973AB" w:rsidRDefault="00CE2EF9" w:rsidP="00CE2EF9">
      <w:pPr>
        <w:pStyle w:val="doLijstnummering7"/>
        <w:numPr>
          <w:ilvl w:val="1"/>
          <w:numId w:val="6"/>
        </w:numPr>
        <w:rPr>
          <w:rFonts w:ascii="Arial" w:hAnsi="Arial" w:cs="Arial"/>
          <w:b/>
          <w:i/>
          <w:sz w:val="22"/>
          <w:szCs w:val="22"/>
        </w:rPr>
      </w:pPr>
      <w:r>
        <w:rPr>
          <w:rFonts w:ascii="Arial" w:hAnsi="Arial"/>
          <w:sz w:val="22"/>
        </w:rPr>
        <w:t xml:space="preserve">Το κόστος του ελεγκτή που θα προσλάβει ο δημόσιος οργανισμός, εάν υπάρχει, θα καλυφθεί από τον δημόσιο οργανισμό. Ο δημόσιος οργανισμός θα καταβάλει στον προμηθευτή εύλογη αμοιβή για τυχόν δαπάνες τις οποίες θα πραγματοποιήσει ο προμηθευτής στο πλαίσιο του ελέγχου. Σε καμία περίπτωση τυχόν διαφορά σχετικά με το ποσό της εν λόγω αμοιβής δεν παρέχει στον προμηθευτή το δικαίωμα να αναστείλει τις υποχρεώσεις του που απορρέουν από τις παρούσες ΤΣΡ-ΤΝ υψηλού κινδύνου. Ο δημόσιος οργανισμός δεν οφείλει να καταβάλει την εν λόγω αμοιβή εάν </w:t>
      </w:r>
      <w:r>
        <w:rPr>
          <w:rFonts w:ascii="Arial" w:hAnsi="Arial"/>
          <w:sz w:val="22"/>
        </w:rPr>
        <w:lastRenderedPageBreak/>
        <w:t>από τον έλεγχο προκύψει ότι ο προμηθευτής δεν έχει εκπληρώσει τις υποχρεώσεις του που απορρέουν από τις παρούσες ΤΣΡ-ΤΝ υψηλού κινδύνου.</w:t>
      </w:r>
    </w:p>
    <w:p w14:paraId="61735993" w14:textId="77777777" w:rsidR="00CE2EF9" w:rsidRPr="00F973AB" w:rsidRDefault="00CE2EF9" w:rsidP="00CE2EF9">
      <w:pPr>
        <w:rPr>
          <w:rFonts w:ascii="Arial" w:hAnsi="Arial" w:cs="Arial"/>
          <w:b/>
          <w:i/>
          <w:sz w:val="22"/>
          <w:szCs w:val="22"/>
        </w:rPr>
      </w:pPr>
    </w:p>
    <w:p w14:paraId="214043CE" w14:textId="77777777" w:rsidR="00C56C58" w:rsidRPr="00F973AB" w:rsidRDefault="00C56C58" w:rsidP="00CE2EF9">
      <w:pPr>
        <w:rPr>
          <w:rFonts w:ascii="Arial" w:hAnsi="Arial" w:cs="Arial"/>
          <w:b/>
          <w:i/>
          <w:sz w:val="22"/>
          <w:szCs w:val="22"/>
        </w:rPr>
      </w:pPr>
    </w:p>
    <w:p w14:paraId="397602CA" w14:textId="77777777" w:rsidR="00CE2EF9" w:rsidRPr="00F973AB" w:rsidRDefault="00CE2EF9" w:rsidP="00D33B49">
      <w:pPr>
        <w:spacing w:before="120" w:after="240"/>
        <w:rPr>
          <w:rFonts w:ascii="Arial" w:hAnsi="Arial" w:cs="Arial"/>
          <w:b/>
          <w:sz w:val="26"/>
          <w:szCs w:val="26"/>
        </w:rPr>
      </w:pPr>
      <w:r>
        <w:rPr>
          <w:rFonts w:ascii="Arial" w:hAnsi="Arial"/>
          <w:b/>
          <w:sz w:val="26"/>
        </w:rPr>
        <w:t>Τμήμα ΣΤ — Έξοδα</w:t>
      </w:r>
    </w:p>
    <w:p w14:paraId="7F55C7C3" w14:textId="77777777" w:rsidR="00CE2EF9" w:rsidRPr="00F973AB" w:rsidRDefault="00CE2EF9" w:rsidP="00CE2EF9">
      <w:pPr>
        <w:pStyle w:val="doLijstnummering7"/>
        <w:rPr>
          <w:rFonts w:ascii="Arial" w:hAnsi="Arial" w:cs="Arial"/>
          <w:sz w:val="22"/>
          <w:szCs w:val="22"/>
        </w:rPr>
      </w:pPr>
      <w:r>
        <w:rPr>
          <w:rFonts w:ascii="Arial" w:hAnsi="Arial"/>
          <w:sz w:val="22"/>
        </w:rPr>
        <w:t>Έξοδα</w:t>
      </w:r>
    </w:p>
    <w:p w14:paraId="18DD6F84" w14:textId="77777777" w:rsidR="00CE2EF9" w:rsidRPr="00F973AB" w:rsidRDefault="00CE2EF9" w:rsidP="00CE2EF9">
      <w:pPr>
        <w:pStyle w:val="doLijstnummering7"/>
        <w:numPr>
          <w:ilvl w:val="0"/>
          <w:numId w:val="0"/>
        </w:numPr>
        <w:ind w:left="709"/>
        <w:rPr>
          <w:rFonts w:ascii="Arial" w:hAnsi="Arial" w:cs="Arial"/>
          <w:sz w:val="22"/>
          <w:szCs w:val="22"/>
        </w:rPr>
      </w:pPr>
    </w:p>
    <w:p w14:paraId="020BCF2F" w14:textId="52F8A91F" w:rsidR="00CE2EF9" w:rsidRPr="00F973AB" w:rsidRDefault="00CE2EF9" w:rsidP="00CE2EF9">
      <w:pPr>
        <w:pStyle w:val="doLijstnummering7"/>
        <w:numPr>
          <w:ilvl w:val="0"/>
          <w:numId w:val="0"/>
        </w:numPr>
        <w:ind w:left="709"/>
        <w:rPr>
          <w:rFonts w:ascii="Arial" w:hAnsi="Arial" w:cs="Arial"/>
          <w:sz w:val="22"/>
          <w:szCs w:val="22"/>
        </w:rPr>
      </w:pPr>
      <w:r>
        <w:rPr>
          <w:rFonts w:ascii="Arial" w:hAnsi="Arial"/>
          <w:sz w:val="22"/>
        </w:rPr>
        <w:t>Εκτός εάν συμφωνηθεί διαφορετικά μεταξύ των μερών ή εάν προβλέπεται ρητώς διαφορετικά στις παρούσες ΤΣΡ-ΤΝ υψηλού κινδύνου, ο δημόσιος οργανισμός δεν οφείλει στον προμηθευτή πρόσθετη αμοιβή για τις εργασίες που απορρέουν από τις παρούσες ΤΣΡ-ΤΝ υψηλού κινδύνου.</w:t>
      </w:r>
    </w:p>
    <w:p w14:paraId="1A17E258" w14:textId="77777777" w:rsidR="00CE2EF9" w:rsidRPr="00F973AB" w:rsidRDefault="00CE2EF9" w:rsidP="00CE2EF9">
      <w:pPr>
        <w:rPr>
          <w:rFonts w:ascii="Arial" w:hAnsi="Arial" w:cs="Arial"/>
          <w:b/>
          <w:i/>
          <w:sz w:val="22"/>
          <w:szCs w:val="22"/>
        </w:rPr>
      </w:pPr>
    </w:p>
    <w:p w14:paraId="2152FA27" w14:textId="77777777" w:rsidR="00CE2EF9" w:rsidRPr="00F973AB" w:rsidRDefault="00CE2EF9" w:rsidP="00CE2EF9">
      <w:pPr>
        <w:rPr>
          <w:rFonts w:ascii="Arial" w:hAnsi="Arial" w:cs="Arial"/>
          <w:sz w:val="22"/>
          <w:szCs w:val="22"/>
        </w:rPr>
      </w:pPr>
    </w:p>
    <w:p w14:paraId="07536CC8" w14:textId="77777777" w:rsidR="00CE2EF9" w:rsidRPr="00F973AB" w:rsidRDefault="00CE2EF9" w:rsidP="00CE2EF9">
      <w:pPr>
        <w:rPr>
          <w:rFonts w:ascii="Arial" w:hAnsi="Arial" w:cs="Arial"/>
          <w:sz w:val="22"/>
          <w:szCs w:val="22"/>
        </w:rPr>
      </w:pPr>
    </w:p>
    <w:p w14:paraId="2680FA7E" w14:textId="77777777" w:rsidR="00D33B49" w:rsidRPr="00F973AB" w:rsidRDefault="00CE2EF9" w:rsidP="00D33B49">
      <w:pPr>
        <w:spacing w:before="120" w:after="240"/>
        <w:jc w:val="both"/>
        <w:rPr>
          <w:rFonts w:ascii="Arial" w:hAnsi="Arial" w:cs="Arial"/>
          <w:sz w:val="26"/>
          <w:szCs w:val="26"/>
        </w:rPr>
      </w:pPr>
      <w:r>
        <w:br w:type="page"/>
      </w:r>
    </w:p>
    <w:p w14:paraId="3D167257" w14:textId="77777777" w:rsidR="001C5152" w:rsidRPr="00F973AB" w:rsidRDefault="00CE2EF9" w:rsidP="00A74620">
      <w:pPr>
        <w:spacing w:after="360"/>
        <w:rPr>
          <w:rFonts w:ascii="Arial" w:hAnsi="Arial" w:cs="Arial"/>
          <w:b/>
          <w:bCs/>
          <w:sz w:val="26"/>
          <w:szCs w:val="26"/>
        </w:rPr>
      </w:pPr>
      <w:r>
        <w:rPr>
          <w:rFonts w:ascii="Arial" w:hAnsi="Arial"/>
          <w:b/>
          <w:sz w:val="26"/>
        </w:rPr>
        <w:lastRenderedPageBreak/>
        <w:t>Παράρτημα Α — Το σύστημα ΤΝ και ο επιδιωκόμενος σκοπός</w:t>
      </w:r>
    </w:p>
    <w:p w14:paraId="212D40C9" w14:textId="77777777" w:rsidR="00CE2EF9" w:rsidRPr="00F973AB" w:rsidRDefault="00CE2EF9" w:rsidP="001C5152">
      <w:pPr>
        <w:spacing w:before="120" w:after="210"/>
        <w:jc w:val="both"/>
        <w:rPr>
          <w:rFonts w:ascii="Arial" w:hAnsi="Arial" w:cs="Arial"/>
          <w:bCs/>
          <w:sz w:val="22"/>
          <w:szCs w:val="22"/>
        </w:rPr>
      </w:pPr>
      <w:r>
        <w:rPr>
          <w:rFonts w:ascii="Arial" w:hAnsi="Arial"/>
          <w:sz w:val="22"/>
          <w:u w:val="single"/>
        </w:rPr>
        <w:t>Περιγραφή του συστήματος ΤΝ</w:t>
      </w:r>
    </w:p>
    <w:p w14:paraId="601B15F1" w14:textId="287CE2FB" w:rsidR="00CE2EF9" w:rsidRPr="00F973AB" w:rsidRDefault="00CE2EF9" w:rsidP="00CE2EF9">
      <w:pPr>
        <w:spacing w:after="210"/>
        <w:jc w:val="both"/>
        <w:rPr>
          <w:rFonts w:ascii="Arial" w:hAnsi="Arial" w:cs="Arial"/>
          <w:bCs/>
          <w:sz w:val="22"/>
          <w:szCs w:val="22"/>
        </w:rPr>
      </w:pPr>
      <w:r>
        <w:rPr>
          <w:rFonts w:ascii="Arial" w:hAnsi="Arial"/>
          <w:sz w:val="22"/>
        </w:rPr>
        <w:t xml:space="preserve">Στο πεδίο εφαρμογής των παρουσών ΤΣΡ-ΤΝ υψηλού κινδύνου εμπίπτουν τα ακόλουθα συστήματα ή κατασκευαστικά στοιχεία συστημάτων: </w:t>
      </w:r>
    </w:p>
    <w:p w14:paraId="0A259DDD" w14:textId="77777777" w:rsidR="00CE2EF9" w:rsidRPr="00F973AB" w:rsidRDefault="00CE2EF9" w:rsidP="00CE2EF9">
      <w:pPr>
        <w:spacing w:after="210"/>
        <w:jc w:val="both"/>
        <w:rPr>
          <w:rFonts w:ascii="Arial" w:hAnsi="Arial" w:cs="Arial"/>
          <w:i/>
          <w:sz w:val="22"/>
          <w:szCs w:val="22"/>
        </w:rPr>
      </w:pPr>
      <w:r>
        <w:rPr>
          <w:rFonts w:ascii="Arial" w:hAnsi="Arial"/>
          <w:i/>
          <w:sz w:val="22"/>
        </w:rPr>
        <w:t>Παραθέστε περιγραφή του/των συστήματος/συστημάτων ΤΝ. Μπορεί επίσης να πρόκειται για αλγοριθμικό σύστημα που δεν χαρακτηρίζεται ως σύστημα ΤΝ βάσει του κανονισμού για την ΤΝ.</w:t>
      </w:r>
    </w:p>
    <w:p w14:paraId="6025DC8F" w14:textId="77777777" w:rsidR="00CE2EF9" w:rsidRPr="00F973AB" w:rsidRDefault="00CE2EF9" w:rsidP="00CE2EF9">
      <w:pPr>
        <w:spacing w:after="210"/>
        <w:jc w:val="both"/>
        <w:rPr>
          <w:rFonts w:ascii="Arial" w:hAnsi="Arial" w:cs="Arial"/>
          <w:sz w:val="22"/>
          <w:szCs w:val="22"/>
          <w:u w:val="single"/>
        </w:rPr>
      </w:pPr>
      <w:r>
        <w:rPr>
          <w:rFonts w:ascii="Arial" w:hAnsi="Arial"/>
          <w:sz w:val="22"/>
          <w:u w:val="single"/>
        </w:rPr>
        <w:t>Επιδιωκόμενος σκοπός</w:t>
      </w:r>
    </w:p>
    <w:p w14:paraId="278B3969" w14:textId="77777777" w:rsidR="00CE2EF9" w:rsidRPr="00F973AB" w:rsidRDefault="00CE2EF9" w:rsidP="00CE2EF9">
      <w:pPr>
        <w:spacing w:after="210"/>
        <w:jc w:val="both"/>
        <w:rPr>
          <w:rFonts w:ascii="Arial" w:hAnsi="Arial" w:cs="Arial"/>
          <w:bCs/>
          <w:sz w:val="22"/>
          <w:szCs w:val="22"/>
        </w:rPr>
      </w:pPr>
      <w:r>
        <w:rPr>
          <w:rFonts w:ascii="Arial" w:hAnsi="Arial"/>
          <w:i/>
          <w:sz w:val="22"/>
        </w:rPr>
        <w:t>Παραθέστε περιγραφή της χρήσης για την οποία προορίζεται το σύστημα ΤΝ.</w:t>
      </w:r>
      <w:r>
        <w:rPr>
          <w:rFonts w:ascii="Arial" w:hAnsi="Arial"/>
          <w:sz w:val="22"/>
        </w:rPr>
        <w:br w:type="page"/>
      </w:r>
    </w:p>
    <w:p w14:paraId="2326345B" w14:textId="77777777" w:rsidR="00CE2EF9" w:rsidRPr="00F973AB" w:rsidRDefault="00CE2EF9" w:rsidP="00A74620">
      <w:pPr>
        <w:spacing w:after="360" w:line="360" w:lineRule="auto"/>
        <w:rPr>
          <w:rFonts w:ascii="Arial" w:hAnsi="Arial" w:cs="Arial"/>
          <w:b/>
          <w:bCs/>
          <w:sz w:val="26"/>
          <w:szCs w:val="26"/>
        </w:rPr>
      </w:pPr>
      <w:r>
        <w:rPr>
          <w:rFonts w:ascii="Arial" w:hAnsi="Arial"/>
          <w:b/>
          <w:sz w:val="26"/>
        </w:rPr>
        <w:lastRenderedPageBreak/>
        <w:t>Παράρτημα Β — Τα σύνολα δεδομένων</w:t>
      </w:r>
    </w:p>
    <w:p w14:paraId="0BB35E47" w14:textId="2F6D6C8C" w:rsidR="00CE2EF9" w:rsidRPr="00F973AB" w:rsidRDefault="00CE2EF9" w:rsidP="00CE2EF9">
      <w:pPr>
        <w:spacing w:after="210"/>
        <w:jc w:val="both"/>
        <w:rPr>
          <w:rFonts w:ascii="Arial" w:hAnsi="Arial" w:cs="Arial"/>
          <w:i/>
          <w:iCs/>
          <w:color w:val="000000"/>
          <w:sz w:val="22"/>
          <w:szCs w:val="22"/>
          <w:shd w:val="clear" w:color="auto" w:fill="FFFFFF"/>
        </w:rPr>
      </w:pPr>
      <w:r>
        <w:rPr>
          <w:rFonts w:ascii="Arial" w:hAnsi="Arial"/>
          <w:i/>
          <w:sz w:val="22"/>
        </w:rPr>
        <w:t xml:space="preserve">Παραθέστε περιγραφή των συνόλων δεδομένων που χρησιμοποιήθηκαν για την </w:t>
      </w:r>
      <w:r>
        <w:rPr>
          <w:rFonts w:ascii="Arial" w:hAnsi="Arial"/>
          <w:i/>
          <w:color w:val="000000"/>
          <w:sz w:val="22"/>
          <w:shd w:val="clear" w:color="auto" w:fill="FFFFFF"/>
        </w:rPr>
        <w:t>εκπαίδευση (κατά περίπτωση), την επικύρωση και τη δοκιμή του συστήματος ΤΝ. Προβείτε σε διάκριση μεταξύ των συνόλων δεδομένων του δημόσιου οργανισμού, αφενός, και των συνόλων δεδομένων του προμηθευτή και συνόλων δεδομένων τρίτων, αφετέρου. Στην περίπτωση συνόλων δεδομένων του δημόσιου οργανισμού, περιγράψτε τους σκοπούς για τους οποίους ο προμηθευτής μπορεί να χρησιμοποιήσει τα σύνολα δεδομένων (εκτός από την εκτέλεση της σύμβασης) και αναφέρετε αν ο προμηθευτής υποχρεούται να καταστρέψει το σύνολο δεδομένων στο τέλος της περιόδου ισχύος της σύμβασης. Στην περίπτωση συνόλων δεδομένων του προμηθευτή και συνόλων δεδομένων τρίτων, περιγράψτε τους σκοπούς για τους οποίους ο δημόσιος οργανισμός μπορεί να χρησιμοποιήσει τα σύνολα δεδομένων και αν ο προμηθευτής υποχρεούται να παραδώσει τα σύνολα δεδομένων.</w:t>
      </w:r>
    </w:p>
    <w:p w14:paraId="7B348DC0" w14:textId="2612EA27" w:rsidR="00CE2EF9" w:rsidRPr="00F973AB" w:rsidRDefault="006B6837"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Τα σύνολα δεδομένων του δημόσιου οργανισμού</w:t>
      </w:r>
    </w:p>
    <w:p w14:paraId="2A2EF54A" w14:textId="77777777" w:rsidR="00CE2EF9" w:rsidRPr="00F973AB" w:rsidRDefault="00CE2EF9" w:rsidP="00CE2EF9">
      <w:pPr>
        <w:spacing w:after="210"/>
        <w:jc w:val="both"/>
        <w:rPr>
          <w:rFonts w:ascii="Arial" w:hAnsi="Arial" w:cs="Arial"/>
          <w:sz w:val="22"/>
          <w:szCs w:val="22"/>
        </w:rPr>
      </w:pPr>
      <w:r>
        <w:rPr>
          <w:rFonts w:ascii="Arial" w:hAnsi="Arial"/>
          <w:sz w:val="22"/>
        </w:rPr>
        <w:t xml:space="preserve">Τα ακόλουθα σύνολα δεδομένων παρέχονται από τον δημόσιο οργανισμό στον προμηθευτή βάσει της σύμβασης ή πρόκειται να δημιουργηθούν ή να συλλεχθούν στο πλαίσιο της σύμβασης: </w:t>
      </w:r>
    </w:p>
    <w:tbl>
      <w:tblPr>
        <w:tblStyle w:val="TableGrid"/>
        <w:tblW w:w="0" w:type="auto"/>
        <w:tblLook w:val="04A0" w:firstRow="1" w:lastRow="0" w:firstColumn="1" w:lastColumn="0" w:noHBand="0" w:noVBand="1"/>
      </w:tblPr>
      <w:tblGrid>
        <w:gridCol w:w="3423"/>
        <w:gridCol w:w="2717"/>
        <w:gridCol w:w="2786"/>
      </w:tblGrid>
      <w:tr w:rsidR="00CE2EF9" w:rsidRPr="00F973AB" w14:paraId="6152B9B4" w14:textId="77777777" w:rsidTr="001C5152">
        <w:tc>
          <w:tcPr>
            <w:tcW w:w="3423" w:type="dxa"/>
          </w:tcPr>
          <w:p w14:paraId="6684D925" w14:textId="77777777" w:rsidR="00CE2EF9" w:rsidRPr="00F973AB" w:rsidRDefault="00CE2EF9" w:rsidP="003216B4">
            <w:pPr>
              <w:spacing w:after="210"/>
              <w:jc w:val="center"/>
              <w:rPr>
                <w:rFonts w:ascii="Arial" w:hAnsi="Arial" w:cs="Arial"/>
                <w:b/>
                <w:sz w:val="22"/>
                <w:szCs w:val="22"/>
              </w:rPr>
            </w:pPr>
            <w:r>
              <w:rPr>
                <w:rFonts w:ascii="Arial" w:hAnsi="Arial"/>
                <w:b/>
                <w:sz w:val="22"/>
              </w:rPr>
              <w:t>Περιγραφή του συνόλου δεδομένων</w:t>
            </w:r>
          </w:p>
        </w:tc>
        <w:tc>
          <w:tcPr>
            <w:tcW w:w="2717" w:type="dxa"/>
          </w:tcPr>
          <w:p w14:paraId="118B424D" w14:textId="77777777" w:rsidR="00CE2EF9" w:rsidRPr="00F973AB" w:rsidRDefault="00CE2EF9" w:rsidP="003216B4">
            <w:pPr>
              <w:spacing w:after="210"/>
              <w:jc w:val="center"/>
              <w:rPr>
                <w:rFonts w:ascii="Arial" w:hAnsi="Arial" w:cs="Arial"/>
                <w:b/>
                <w:sz w:val="22"/>
                <w:szCs w:val="22"/>
              </w:rPr>
            </w:pPr>
            <w:r>
              <w:rPr>
                <w:rFonts w:ascii="Arial" w:hAnsi="Arial"/>
                <w:b/>
                <w:sz w:val="22"/>
              </w:rPr>
              <w:t>Δικαιώματα χρήσης του προμηθευτή</w:t>
            </w:r>
          </w:p>
        </w:tc>
        <w:tc>
          <w:tcPr>
            <w:tcW w:w="2786" w:type="dxa"/>
          </w:tcPr>
          <w:p w14:paraId="267B3FFE" w14:textId="77777777" w:rsidR="00CE2EF9" w:rsidRPr="00F973AB" w:rsidRDefault="00CE2EF9" w:rsidP="003216B4">
            <w:pPr>
              <w:spacing w:after="210"/>
              <w:jc w:val="center"/>
              <w:rPr>
                <w:rFonts w:ascii="Arial" w:hAnsi="Arial" w:cs="Arial"/>
                <w:b/>
                <w:sz w:val="22"/>
                <w:szCs w:val="22"/>
              </w:rPr>
            </w:pPr>
            <w:r>
              <w:rPr>
                <w:rFonts w:ascii="Arial" w:hAnsi="Arial"/>
                <w:b/>
                <w:sz w:val="22"/>
              </w:rPr>
              <w:t>Υποχρέωση καταστροφής του συνόλου δεδομένων στο τέλος της περιόδου ισχύος της σύμβασης</w:t>
            </w:r>
          </w:p>
        </w:tc>
      </w:tr>
      <w:tr w:rsidR="00CE2EF9" w:rsidRPr="00F973AB" w14:paraId="1ADA89CE" w14:textId="77777777" w:rsidTr="001C5152">
        <w:tc>
          <w:tcPr>
            <w:tcW w:w="3423" w:type="dxa"/>
          </w:tcPr>
          <w:p w14:paraId="3DAB24B4" w14:textId="77777777" w:rsidR="00CE2EF9" w:rsidRPr="00F973AB" w:rsidRDefault="00CE2EF9" w:rsidP="003216B4">
            <w:pPr>
              <w:spacing w:after="210"/>
              <w:jc w:val="both"/>
              <w:rPr>
                <w:rFonts w:ascii="Arial" w:hAnsi="Arial" w:cs="Arial"/>
                <w:i/>
                <w:sz w:val="22"/>
                <w:szCs w:val="22"/>
              </w:rPr>
            </w:pPr>
          </w:p>
        </w:tc>
        <w:tc>
          <w:tcPr>
            <w:tcW w:w="2717" w:type="dxa"/>
          </w:tcPr>
          <w:p w14:paraId="69ABDFF6" w14:textId="77777777" w:rsidR="00CE2EF9" w:rsidRPr="00F973AB" w:rsidRDefault="00CE2EF9" w:rsidP="003216B4">
            <w:pPr>
              <w:spacing w:after="210"/>
              <w:jc w:val="both"/>
              <w:rPr>
                <w:rFonts w:ascii="Arial" w:hAnsi="Arial" w:cs="Arial"/>
                <w:i/>
                <w:sz w:val="22"/>
                <w:szCs w:val="22"/>
              </w:rPr>
            </w:pPr>
          </w:p>
        </w:tc>
        <w:tc>
          <w:tcPr>
            <w:tcW w:w="2786" w:type="dxa"/>
          </w:tcPr>
          <w:p w14:paraId="01BBC0A7" w14:textId="77777777" w:rsidR="00CE2EF9" w:rsidRPr="00F973AB" w:rsidRDefault="00CE2EF9" w:rsidP="003216B4">
            <w:pPr>
              <w:spacing w:after="210"/>
              <w:jc w:val="both"/>
              <w:rPr>
                <w:rFonts w:ascii="Arial" w:hAnsi="Arial" w:cs="Arial"/>
                <w:sz w:val="22"/>
                <w:szCs w:val="22"/>
              </w:rPr>
            </w:pPr>
            <w:r>
              <w:rPr>
                <w:rFonts w:ascii="Arial" w:hAnsi="Arial"/>
                <w:sz w:val="22"/>
              </w:rPr>
              <w:t>Ναι/Όχι</w:t>
            </w:r>
          </w:p>
        </w:tc>
      </w:tr>
      <w:tr w:rsidR="00CE2EF9" w:rsidRPr="00F973AB" w14:paraId="6AB7BA75" w14:textId="77777777" w:rsidTr="001C5152">
        <w:tc>
          <w:tcPr>
            <w:tcW w:w="3423" w:type="dxa"/>
          </w:tcPr>
          <w:p w14:paraId="4CE57416" w14:textId="77777777" w:rsidR="00CE2EF9" w:rsidRPr="00F973AB" w:rsidRDefault="00CE2EF9" w:rsidP="003216B4">
            <w:pPr>
              <w:spacing w:after="210"/>
              <w:jc w:val="both"/>
              <w:rPr>
                <w:rFonts w:ascii="Arial" w:hAnsi="Arial" w:cs="Arial"/>
                <w:i/>
                <w:sz w:val="22"/>
                <w:szCs w:val="22"/>
              </w:rPr>
            </w:pPr>
          </w:p>
        </w:tc>
        <w:tc>
          <w:tcPr>
            <w:tcW w:w="2717" w:type="dxa"/>
          </w:tcPr>
          <w:p w14:paraId="19A34F14" w14:textId="77777777" w:rsidR="00CE2EF9" w:rsidRPr="00F973AB" w:rsidRDefault="00CE2EF9" w:rsidP="003216B4">
            <w:pPr>
              <w:spacing w:after="210"/>
              <w:jc w:val="both"/>
              <w:rPr>
                <w:rFonts w:ascii="Arial" w:hAnsi="Arial" w:cs="Arial"/>
                <w:i/>
                <w:sz w:val="22"/>
                <w:szCs w:val="22"/>
              </w:rPr>
            </w:pPr>
          </w:p>
        </w:tc>
        <w:tc>
          <w:tcPr>
            <w:tcW w:w="2786" w:type="dxa"/>
          </w:tcPr>
          <w:p w14:paraId="291D7900" w14:textId="77777777" w:rsidR="00CE2EF9" w:rsidRPr="00F973AB" w:rsidRDefault="00CE2EF9" w:rsidP="003216B4">
            <w:pPr>
              <w:spacing w:after="210"/>
              <w:jc w:val="both"/>
              <w:rPr>
                <w:rFonts w:ascii="Arial" w:hAnsi="Arial" w:cs="Arial"/>
                <w:i/>
                <w:sz w:val="22"/>
                <w:szCs w:val="22"/>
              </w:rPr>
            </w:pPr>
            <w:r>
              <w:rPr>
                <w:rFonts w:ascii="Arial" w:hAnsi="Arial"/>
                <w:sz w:val="22"/>
              </w:rPr>
              <w:t>Ναι/Όχι</w:t>
            </w:r>
          </w:p>
        </w:tc>
      </w:tr>
      <w:tr w:rsidR="00CE2EF9" w:rsidRPr="00F973AB" w14:paraId="1817D8DC" w14:textId="77777777" w:rsidTr="001C5152">
        <w:tc>
          <w:tcPr>
            <w:tcW w:w="3423" w:type="dxa"/>
          </w:tcPr>
          <w:p w14:paraId="257902F5" w14:textId="77777777" w:rsidR="00CE2EF9" w:rsidRPr="00F973AB" w:rsidRDefault="00CE2EF9" w:rsidP="003216B4">
            <w:pPr>
              <w:spacing w:after="210"/>
              <w:jc w:val="both"/>
              <w:rPr>
                <w:rFonts w:ascii="Arial" w:hAnsi="Arial" w:cs="Arial"/>
                <w:i/>
                <w:sz w:val="22"/>
                <w:szCs w:val="22"/>
              </w:rPr>
            </w:pPr>
          </w:p>
        </w:tc>
        <w:tc>
          <w:tcPr>
            <w:tcW w:w="2717" w:type="dxa"/>
          </w:tcPr>
          <w:p w14:paraId="2E732C6C" w14:textId="77777777" w:rsidR="00CE2EF9" w:rsidRPr="00F973AB" w:rsidRDefault="00CE2EF9" w:rsidP="003216B4">
            <w:pPr>
              <w:spacing w:after="210"/>
              <w:jc w:val="both"/>
              <w:rPr>
                <w:rFonts w:ascii="Arial" w:hAnsi="Arial" w:cs="Arial"/>
                <w:i/>
                <w:sz w:val="22"/>
                <w:szCs w:val="22"/>
              </w:rPr>
            </w:pPr>
          </w:p>
        </w:tc>
        <w:tc>
          <w:tcPr>
            <w:tcW w:w="2786" w:type="dxa"/>
          </w:tcPr>
          <w:p w14:paraId="137C06A6" w14:textId="77777777" w:rsidR="00CE2EF9" w:rsidRPr="00F973AB" w:rsidRDefault="00CE2EF9" w:rsidP="003216B4">
            <w:pPr>
              <w:spacing w:after="210"/>
              <w:jc w:val="both"/>
              <w:rPr>
                <w:rFonts w:ascii="Arial" w:hAnsi="Arial" w:cs="Arial"/>
                <w:i/>
                <w:sz w:val="22"/>
                <w:szCs w:val="22"/>
              </w:rPr>
            </w:pPr>
            <w:r>
              <w:rPr>
                <w:rFonts w:ascii="Arial" w:hAnsi="Arial"/>
                <w:sz w:val="22"/>
              </w:rPr>
              <w:t>Ναι/Όχι</w:t>
            </w:r>
          </w:p>
        </w:tc>
      </w:tr>
      <w:tr w:rsidR="00CE2EF9" w:rsidRPr="00F973AB" w14:paraId="313418A2" w14:textId="77777777" w:rsidTr="001C5152">
        <w:tc>
          <w:tcPr>
            <w:tcW w:w="3423" w:type="dxa"/>
          </w:tcPr>
          <w:p w14:paraId="65E73F7E" w14:textId="77777777" w:rsidR="00CE2EF9" w:rsidRPr="00F973AB" w:rsidRDefault="00CE2EF9" w:rsidP="003216B4">
            <w:pPr>
              <w:spacing w:after="210"/>
              <w:jc w:val="both"/>
              <w:rPr>
                <w:rFonts w:ascii="Arial" w:hAnsi="Arial" w:cs="Arial"/>
                <w:i/>
                <w:sz w:val="22"/>
                <w:szCs w:val="22"/>
              </w:rPr>
            </w:pPr>
          </w:p>
        </w:tc>
        <w:tc>
          <w:tcPr>
            <w:tcW w:w="2717" w:type="dxa"/>
          </w:tcPr>
          <w:p w14:paraId="737BC13A" w14:textId="77777777" w:rsidR="00CE2EF9" w:rsidRPr="00F973AB" w:rsidRDefault="00CE2EF9" w:rsidP="003216B4">
            <w:pPr>
              <w:spacing w:after="210"/>
              <w:jc w:val="both"/>
              <w:rPr>
                <w:rFonts w:ascii="Arial" w:hAnsi="Arial" w:cs="Arial"/>
                <w:i/>
                <w:sz w:val="22"/>
                <w:szCs w:val="22"/>
              </w:rPr>
            </w:pPr>
          </w:p>
        </w:tc>
        <w:tc>
          <w:tcPr>
            <w:tcW w:w="2786" w:type="dxa"/>
          </w:tcPr>
          <w:p w14:paraId="6DB0C2F5" w14:textId="77777777" w:rsidR="00CE2EF9" w:rsidRPr="00F973AB" w:rsidRDefault="00CE2EF9" w:rsidP="003216B4">
            <w:pPr>
              <w:spacing w:after="210"/>
              <w:jc w:val="both"/>
              <w:rPr>
                <w:rFonts w:ascii="Arial" w:hAnsi="Arial" w:cs="Arial"/>
                <w:i/>
                <w:sz w:val="22"/>
                <w:szCs w:val="22"/>
              </w:rPr>
            </w:pPr>
            <w:r>
              <w:rPr>
                <w:rFonts w:ascii="Arial" w:hAnsi="Arial"/>
                <w:sz w:val="22"/>
              </w:rPr>
              <w:t>Ναι/Όχι</w:t>
            </w:r>
          </w:p>
        </w:tc>
      </w:tr>
    </w:tbl>
    <w:p w14:paraId="36A1BA6C" w14:textId="77777777" w:rsidR="00CE2EF9" w:rsidRPr="00F973AB" w:rsidRDefault="00CE2EF9" w:rsidP="00CE2EF9">
      <w:pPr>
        <w:spacing w:after="210"/>
        <w:jc w:val="both"/>
        <w:rPr>
          <w:rFonts w:ascii="Arial" w:hAnsi="Arial" w:cs="Arial"/>
          <w:i/>
          <w:sz w:val="22"/>
          <w:szCs w:val="22"/>
        </w:rPr>
      </w:pPr>
    </w:p>
    <w:p w14:paraId="75798438" w14:textId="3F224FA1" w:rsidR="00CE2EF9" w:rsidRPr="00F973AB" w:rsidRDefault="00CE2EF9"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Σύνολα δεδομένων προμηθευτή και σύνολα δεδομένων τρίτων</w:t>
      </w:r>
    </w:p>
    <w:p w14:paraId="51D24105" w14:textId="6181BDE1" w:rsidR="00CE2EF9" w:rsidRPr="00F973AB" w:rsidRDefault="00CE2EF9" w:rsidP="00CE2EF9">
      <w:pPr>
        <w:spacing w:after="210"/>
        <w:jc w:val="both"/>
        <w:rPr>
          <w:rFonts w:ascii="Arial" w:hAnsi="Arial" w:cs="Arial"/>
          <w:sz w:val="22"/>
          <w:szCs w:val="22"/>
        </w:rPr>
      </w:pPr>
      <w:r>
        <w:rPr>
          <w:rFonts w:ascii="Arial" w:hAnsi="Arial"/>
          <w:sz w:val="22"/>
        </w:rPr>
        <w:t>Τα ακόλουθα σύνολα δεδομένων προμηθευτή και σύνολα δεδομένων τρίτων θα χρησιμοποιηθούν ή χρησιμοποιήθηκαν για την εκπαίδευση (κατά περίπτωση), την επικύρωση και τη δοκιμή του συστήματος ΤΝ:</w:t>
      </w:r>
    </w:p>
    <w:tbl>
      <w:tblPr>
        <w:tblStyle w:val="TableGrid"/>
        <w:tblW w:w="0" w:type="auto"/>
        <w:tblLook w:val="04A0" w:firstRow="1" w:lastRow="0" w:firstColumn="1" w:lastColumn="0" w:noHBand="0" w:noVBand="1"/>
      </w:tblPr>
      <w:tblGrid>
        <w:gridCol w:w="2793"/>
        <w:gridCol w:w="2859"/>
        <w:gridCol w:w="3274"/>
      </w:tblGrid>
      <w:tr w:rsidR="00CE2EF9" w:rsidRPr="00F973AB" w14:paraId="68331355" w14:textId="77777777" w:rsidTr="001C5152">
        <w:tc>
          <w:tcPr>
            <w:tcW w:w="2793" w:type="dxa"/>
          </w:tcPr>
          <w:p w14:paraId="0A152D38" w14:textId="77777777" w:rsidR="00CE2EF9" w:rsidRPr="00F973AB" w:rsidRDefault="00CE2EF9" w:rsidP="003216B4">
            <w:pPr>
              <w:spacing w:after="210"/>
              <w:jc w:val="center"/>
              <w:rPr>
                <w:rFonts w:ascii="Arial" w:hAnsi="Arial" w:cs="Arial"/>
                <w:b/>
                <w:sz w:val="22"/>
                <w:szCs w:val="22"/>
              </w:rPr>
            </w:pPr>
            <w:r>
              <w:rPr>
                <w:rFonts w:ascii="Arial" w:hAnsi="Arial"/>
                <w:b/>
                <w:sz w:val="22"/>
              </w:rPr>
              <w:t>Περιγραφή του συνόλου δεδομένων</w:t>
            </w:r>
          </w:p>
        </w:tc>
        <w:tc>
          <w:tcPr>
            <w:tcW w:w="2859" w:type="dxa"/>
          </w:tcPr>
          <w:p w14:paraId="69746CFF" w14:textId="77777777" w:rsidR="00CE2EF9" w:rsidRPr="00F973AB" w:rsidRDefault="00CE2EF9" w:rsidP="003216B4">
            <w:pPr>
              <w:spacing w:after="210"/>
              <w:jc w:val="center"/>
              <w:rPr>
                <w:rFonts w:ascii="Arial" w:hAnsi="Arial" w:cs="Arial"/>
                <w:b/>
                <w:sz w:val="22"/>
                <w:szCs w:val="22"/>
              </w:rPr>
            </w:pPr>
            <w:r>
              <w:rPr>
                <w:rFonts w:ascii="Arial" w:hAnsi="Arial"/>
                <w:b/>
                <w:sz w:val="22"/>
              </w:rPr>
              <w:t>Δικαιώματα χρήσης του δημόσιου οργανισμού</w:t>
            </w:r>
          </w:p>
        </w:tc>
        <w:tc>
          <w:tcPr>
            <w:tcW w:w="3274" w:type="dxa"/>
          </w:tcPr>
          <w:p w14:paraId="3286608F" w14:textId="77777777" w:rsidR="00CE2EF9" w:rsidRPr="00F973AB" w:rsidRDefault="00CE2EF9" w:rsidP="003216B4">
            <w:pPr>
              <w:spacing w:after="210"/>
              <w:jc w:val="center"/>
              <w:rPr>
                <w:rFonts w:ascii="Arial" w:hAnsi="Arial" w:cs="Arial"/>
                <w:b/>
                <w:sz w:val="22"/>
                <w:szCs w:val="22"/>
              </w:rPr>
            </w:pPr>
            <w:r>
              <w:rPr>
                <w:rFonts w:ascii="Arial" w:hAnsi="Arial"/>
                <w:b/>
                <w:sz w:val="22"/>
              </w:rPr>
              <w:t>Υποχρέωση παράδοσης</w:t>
            </w:r>
            <w:r>
              <w:rPr>
                <w:rStyle w:val="FootnoteReference"/>
                <w:rFonts w:ascii="Arial" w:hAnsi="Arial" w:cs="Arial"/>
                <w:b/>
                <w:sz w:val="22"/>
                <w:szCs w:val="22"/>
              </w:rPr>
              <w:footnoteReference w:id="2"/>
            </w:r>
          </w:p>
        </w:tc>
      </w:tr>
      <w:tr w:rsidR="00CE2EF9" w:rsidRPr="00F973AB" w14:paraId="03D464F4" w14:textId="77777777" w:rsidTr="001C5152">
        <w:tc>
          <w:tcPr>
            <w:tcW w:w="2793" w:type="dxa"/>
          </w:tcPr>
          <w:p w14:paraId="0A79855D" w14:textId="77777777" w:rsidR="00CE2EF9" w:rsidRPr="00F973AB" w:rsidRDefault="00CE2EF9" w:rsidP="003216B4">
            <w:pPr>
              <w:spacing w:after="210"/>
              <w:jc w:val="both"/>
              <w:rPr>
                <w:rFonts w:ascii="Arial" w:hAnsi="Arial" w:cs="Arial"/>
                <w:i/>
                <w:sz w:val="22"/>
                <w:szCs w:val="22"/>
              </w:rPr>
            </w:pPr>
          </w:p>
        </w:tc>
        <w:tc>
          <w:tcPr>
            <w:tcW w:w="2859" w:type="dxa"/>
          </w:tcPr>
          <w:p w14:paraId="72FE0052" w14:textId="77777777" w:rsidR="00CE2EF9" w:rsidRPr="00F973AB" w:rsidRDefault="00CE2EF9" w:rsidP="003216B4">
            <w:pPr>
              <w:spacing w:after="210"/>
              <w:jc w:val="both"/>
              <w:rPr>
                <w:rFonts w:ascii="Arial" w:hAnsi="Arial" w:cs="Arial"/>
                <w:i/>
                <w:sz w:val="22"/>
                <w:szCs w:val="22"/>
              </w:rPr>
            </w:pPr>
          </w:p>
        </w:tc>
        <w:tc>
          <w:tcPr>
            <w:tcW w:w="3274" w:type="dxa"/>
          </w:tcPr>
          <w:p w14:paraId="155F4B31" w14:textId="77777777" w:rsidR="00CE2EF9" w:rsidRPr="00F973AB" w:rsidRDefault="00CE2EF9" w:rsidP="003216B4">
            <w:pPr>
              <w:spacing w:after="210"/>
              <w:jc w:val="both"/>
              <w:rPr>
                <w:rFonts w:ascii="Arial" w:hAnsi="Arial" w:cs="Arial"/>
                <w:i/>
                <w:sz w:val="22"/>
                <w:szCs w:val="22"/>
              </w:rPr>
            </w:pPr>
            <w:r>
              <w:rPr>
                <w:rFonts w:ascii="Arial" w:hAnsi="Arial"/>
                <w:sz w:val="22"/>
              </w:rPr>
              <w:t>Ναι/Όχι</w:t>
            </w:r>
          </w:p>
        </w:tc>
      </w:tr>
      <w:tr w:rsidR="00CE2EF9" w:rsidRPr="00F973AB" w14:paraId="76930306" w14:textId="77777777" w:rsidTr="001C5152">
        <w:tc>
          <w:tcPr>
            <w:tcW w:w="2793" w:type="dxa"/>
          </w:tcPr>
          <w:p w14:paraId="0631A96E" w14:textId="77777777" w:rsidR="00CE2EF9" w:rsidRPr="00F973AB" w:rsidRDefault="00CE2EF9" w:rsidP="003216B4">
            <w:pPr>
              <w:spacing w:after="210"/>
              <w:jc w:val="both"/>
              <w:rPr>
                <w:rFonts w:ascii="Arial" w:hAnsi="Arial" w:cs="Arial"/>
                <w:i/>
                <w:sz w:val="22"/>
                <w:szCs w:val="22"/>
              </w:rPr>
            </w:pPr>
          </w:p>
        </w:tc>
        <w:tc>
          <w:tcPr>
            <w:tcW w:w="2859" w:type="dxa"/>
          </w:tcPr>
          <w:p w14:paraId="3A3D8AB2" w14:textId="77777777" w:rsidR="00CE2EF9" w:rsidRPr="00F973AB" w:rsidRDefault="00CE2EF9" w:rsidP="003216B4">
            <w:pPr>
              <w:spacing w:after="210"/>
              <w:jc w:val="both"/>
              <w:rPr>
                <w:rFonts w:ascii="Arial" w:hAnsi="Arial" w:cs="Arial"/>
                <w:i/>
                <w:sz w:val="22"/>
                <w:szCs w:val="22"/>
              </w:rPr>
            </w:pPr>
          </w:p>
        </w:tc>
        <w:tc>
          <w:tcPr>
            <w:tcW w:w="3274" w:type="dxa"/>
          </w:tcPr>
          <w:p w14:paraId="65FEAF2B" w14:textId="77777777" w:rsidR="00CE2EF9" w:rsidRPr="00F973AB" w:rsidRDefault="00CE2EF9" w:rsidP="003216B4">
            <w:pPr>
              <w:spacing w:after="210"/>
              <w:jc w:val="both"/>
              <w:rPr>
                <w:rFonts w:ascii="Arial" w:hAnsi="Arial" w:cs="Arial"/>
                <w:i/>
                <w:sz w:val="22"/>
                <w:szCs w:val="22"/>
              </w:rPr>
            </w:pPr>
            <w:r>
              <w:rPr>
                <w:rFonts w:ascii="Arial" w:hAnsi="Arial"/>
                <w:sz w:val="22"/>
              </w:rPr>
              <w:t>Ναι/Όχι</w:t>
            </w:r>
          </w:p>
        </w:tc>
      </w:tr>
      <w:tr w:rsidR="00CE2EF9" w:rsidRPr="00F973AB" w14:paraId="1EA4D25A" w14:textId="77777777" w:rsidTr="001C5152">
        <w:tc>
          <w:tcPr>
            <w:tcW w:w="2793" w:type="dxa"/>
          </w:tcPr>
          <w:p w14:paraId="00E7E76F" w14:textId="77777777" w:rsidR="00CE2EF9" w:rsidRPr="00F973AB" w:rsidRDefault="00CE2EF9" w:rsidP="003216B4">
            <w:pPr>
              <w:spacing w:after="210"/>
              <w:jc w:val="both"/>
              <w:rPr>
                <w:rFonts w:ascii="Arial" w:hAnsi="Arial" w:cs="Arial"/>
                <w:i/>
                <w:sz w:val="22"/>
                <w:szCs w:val="22"/>
              </w:rPr>
            </w:pPr>
          </w:p>
        </w:tc>
        <w:tc>
          <w:tcPr>
            <w:tcW w:w="2859" w:type="dxa"/>
          </w:tcPr>
          <w:p w14:paraId="5BA63050" w14:textId="77777777" w:rsidR="00CE2EF9" w:rsidRPr="00F973AB" w:rsidRDefault="00CE2EF9" w:rsidP="003216B4">
            <w:pPr>
              <w:spacing w:after="210"/>
              <w:jc w:val="both"/>
              <w:rPr>
                <w:rFonts w:ascii="Arial" w:hAnsi="Arial" w:cs="Arial"/>
                <w:i/>
                <w:sz w:val="22"/>
                <w:szCs w:val="22"/>
              </w:rPr>
            </w:pPr>
          </w:p>
        </w:tc>
        <w:tc>
          <w:tcPr>
            <w:tcW w:w="3274" w:type="dxa"/>
          </w:tcPr>
          <w:p w14:paraId="1198669A" w14:textId="77777777" w:rsidR="00CE2EF9" w:rsidRPr="00F973AB" w:rsidRDefault="00CE2EF9" w:rsidP="003216B4">
            <w:pPr>
              <w:spacing w:after="210"/>
              <w:jc w:val="both"/>
              <w:rPr>
                <w:rFonts w:ascii="Arial" w:hAnsi="Arial" w:cs="Arial"/>
                <w:i/>
                <w:sz w:val="22"/>
                <w:szCs w:val="22"/>
              </w:rPr>
            </w:pPr>
            <w:r>
              <w:rPr>
                <w:rFonts w:ascii="Arial" w:hAnsi="Arial"/>
                <w:sz w:val="22"/>
              </w:rPr>
              <w:t>Ναι/Όχι</w:t>
            </w:r>
          </w:p>
        </w:tc>
      </w:tr>
      <w:tr w:rsidR="00CE2EF9" w:rsidRPr="00F973AB" w14:paraId="6A8281BD" w14:textId="77777777" w:rsidTr="001C5152">
        <w:tc>
          <w:tcPr>
            <w:tcW w:w="2793" w:type="dxa"/>
          </w:tcPr>
          <w:p w14:paraId="34268736" w14:textId="77777777" w:rsidR="00CE2EF9" w:rsidRPr="00F973AB" w:rsidRDefault="00CE2EF9" w:rsidP="003216B4">
            <w:pPr>
              <w:spacing w:after="210"/>
              <w:jc w:val="both"/>
              <w:rPr>
                <w:rFonts w:ascii="Arial" w:hAnsi="Arial" w:cs="Arial"/>
                <w:i/>
                <w:sz w:val="22"/>
                <w:szCs w:val="22"/>
              </w:rPr>
            </w:pPr>
          </w:p>
        </w:tc>
        <w:tc>
          <w:tcPr>
            <w:tcW w:w="2859" w:type="dxa"/>
          </w:tcPr>
          <w:p w14:paraId="451DE527" w14:textId="77777777" w:rsidR="00CE2EF9" w:rsidRPr="00F973AB" w:rsidRDefault="00CE2EF9" w:rsidP="003216B4">
            <w:pPr>
              <w:spacing w:after="210"/>
              <w:jc w:val="both"/>
              <w:rPr>
                <w:rFonts w:ascii="Arial" w:hAnsi="Arial" w:cs="Arial"/>
                <w:i/>
                <w:sz w:val="22"/>
                <w:szCs w:val="22"/>
              </w:rPr>
            </w:pPr>
          </w:p>
        </w:tc>
        <w:tc>
          <w:tcPr>
            <w:tcW w:w="3274" w:type="dxa"/>
          </w:tcPr>
          <w:p w14:paraId="26ECEE66" w14:textId="77777777" w:rsidR="00CE2EF9" w:rsidRPr="00F973AB" w:rsidRDefault="00CE2EF9" w:rsidP="003216B4">
            <w:pPr>
              <w:spacing w:after="210"/>
              <w:jc w:val="both"/>
              <w:rPr>
                <w:rFonts w:ascii="Arial" w:hAnsi="Arial" w:cs="Arial"/>
                <w:i/>
                <w:sz w:val="22"/>
                <w:szCs w:val="22"/>
              </w:rPr>
            </w:pPr>
            <w:r>
              <w:rPr>
                <w:rFonts w:ascii="Arial" w:hAnsi="Arial"/>
                <w:sz w:val="22"/>
              </w:rPr>
              <w:t>Ναι/Όχι</w:t>
            </w:r>
          </w:p>
        </w:tc>
      </w:tr>
    </w:tbl>
    <w:p w14:paraId="2BB822D4" w14:textId="77777777" w:rsidR="00CE2EF9" w:rsidRPr="00F973AB" w:rsidRDefault="00CE2EF9" w:rsidP="00CE2EF9">
      <w:pPr>
        <w:spacing w:after="210"/>
        <w:jc w:val="both"/>
        <w:rPr>
          <w:rFonts w:ascii="Arial" w:hAnsi="Arial" w:cs="Arial"/>
          <w:sz w:val="22"/>
          <w:szCs w:val="22"/>
          <w:u w:val="single"/>
        </w:rPr>
      </w:pPr>
      <w:r>
        <w:br w:type="page"/>
      </w:r>
    </w:p>
    <w:p w14:paraId="521CD975" w14:textId="77777777" w:rsidR="00CE2EF9" w:rsidRPr="00F973AB" w:rsidRDefault="00CE2EF9" w:rsidP="00A74620">
      <w:pPr>
        <w:spacing w:after="360"/>
        <w:rPr>
          <w:rFonts w:ascii="Arial" w:hAnsi="Arial" w:cs="Arial"/>
          <w:b/>
          <w:bCs/>
          <w:sz w:val="26"/>
          <w:szCs w:val="26"/>
        </w:rPr>
      </w:pPr>
      <w:r>
        <w:rPr>
          <w:rFonts w:ascii="Arial" w:hAnsi="Arial"/>
          <w:b/>
          <w:sz w:val="26"/>
        </w:rPr>
        <w:lastRenderedPageBreak/>
        <w:t>Παράρτημα Γ — Τεχνικός φάκελος</w:t>
      </w:r>
    </w:p>
    <w:p w14:paraId="37CF516B" w14:textId="5A1C6D0E" w:rsidR="00CE2EF9" w:rsidRPr="00F973AB" w:rsidRDefault="00CE2EF9" w:rsidP="00D33B49">
      <w:pPr>
        <w:spacing w:before="120" w:after="210"/>
        <w:jc w:val="both"/>
        <w:rPr>
          <w:rFonts w:ascii="Arial" w:hAnsi="Arial" w:cs="Arial"/>
          <w:sz w:val="22"/>
          <w:szCs w:val="22"/>
        </w:rPr>
      </w:pPr>
      <w:r>
        <w:rPr>
          <w:rFonts w:ascii="Arial" w:hAnsi="Arial"/>
          <w:sz w:val="22"/>
        </w:rPr>
        <w:t>Ο τεχνικός φάκελος περιλαμβάνει τουλάχιστον τις ακόλουθες πληροφορίες, ανάλογα με το σύστημα ΤΝ:</w:t>
      </w:r>
    </w:p>
    <w:p w14:paraId="27734FA3" w14:textId="77777777" w:rsidR="00CE2EF9" w:rsidRPr="00F973AB" w:rsidRDefault="00CE2EF9" w:rsidP="00CE2EF9">
      <w:pPr>
        <w:pStyle w:val="doLijstnummering5"/>
        <w:rPr>
          <w:rFonts w:ascii="Arial" w:hAnsi="Arial" w:cs="Arial"/>
          <w:sz w:val="22"/>
          <w:szCs w:val="22"/>
        </w:rPr>
      </w:pPr>
      <w:r>
        <w:rPr>
          <w:rFonts w:ascii="Arial" w:hAnsi="Arial"/>
          <w:sz w:val="22"/>
        </w:rPr>
        <w:t>γενική περιγραφή του συστήματος ΤΝ, η οποία περιλαμβάνει:</w:t>
      </w:r>
    </w:p>
    <w:p w14:paraId="0DC2EAEC" w14:textId="3AC74D11"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τον επιδιωκόμενο σκοπό του, το όνομα του προμηθευτή και την έκδοση του συστήματος που αντικατοπτρίζει τη σχέση του με προηγούμενες εκδόσεις·</w:t>
      </w:r>
    </w:p>
    <w:p w14:paraId="6969A9F3" w14:textId="70ADE282"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τον τρόπο με τον οποίο το σύστημα ΤΝ μπορεί να </w:t>
      </w:r>
      <w:proofErr w:type="spellStart"/>
      <w:r>
        <w:rPr>
          <w:rFonts w:ascii="Arial" w:hAnsi="Arial"/>
          <w:sz w:val="22"/>
        </w:rPr>
        <w:t>αλληλεπιδρά</w:t>
      </w:r>
      <w:proofErr w:type="spellEnd"/>
      <w:r>
        <w:rPr>
          <w:rFonts w:ascii="Arial" w:hAnsi="Arial"/>
          <w:sz w:val="22"/>
        </w:rPr>
        <w:t xml:space="preserve"> με υλισμικό ή λογισμικό, μεταξύ άλλων και με άλλα συστήματα ΤΝ, που δεν αποτελεί μέρος του ίδιου του συστήματος ΤΝ, κατά περίπτωση· </w:t>
      </w:r>
    </w:p>
    <w:p w14:paraId="15A9C4E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τις εκδόσεις του σχετικού λογισμικού ή </w:t>
      </w:r>
      <w:proofErr w:type="spellStart"/>
      <w:r>
        <w:rPr>
          <w:rFonts w:ascii="Arial" w:hAnsi="Arial"/>
          <w:sz w:val="22"/>
        </w:rPr>
        <w:t>υλικολογισμικού</w:t>
      </w:r>
      <w:proofErr w:type="spellEnd"/>
      <w:r>
        <w:rPr>
          <w:rFonts w:ascii="Arial" w:hAnsi="Arial"/>
          <w:sz w:val="22"/>
        </w:rPr>
        <w:t xml:space="preserve"> και κάθε απαίτηση σχετικά με την επικαιροποίηση εκδόσεων·</w:t>
      </w:r>
    </w:p>
    <w:p w14:paraId="2D52F0DE"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την περιγραφή του υλισμικού στο οποίο προορίζεται να λειτουργήσει το σύστημα ΤΝ·</w:t>
      </w:r>
    </w:p>
    <w:p w14:paraId="61EF3469"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όταν το σύστημα ΤΝ αποτελεί κατασκευαστικό στοιχείο προϊόντων, φωτογραφίες ή εικόνες που να δείχνουν τα εξωτερικά χαρακτηριστικά, τη σήμανση και την εσωτερική διαρρύθμιση των εν λόγω προϊόντων·</w:t>
      </w:r>
    </w:p>
    <w:p w14:paraId="30BA9017" w14:textId="77777777"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βασική περιγραφή της διεπαφής χρήστη που παρέχεται στον δημόσιο οργανισμό·</w:t>
      </w:r>
    </w:p>
    <w:p w14:paraId="707E85AB" w14:textId="18ADAD72" w:rsidR="00CE2EF9" w:rsidRPr="00F973AB" w:rsidRDefault="009B4B27" w:rsidP="00CE2EF9">
      <w:pPr>
        <w:pStyle w:val="doLijstnummering5"/>
        <w:numPr>
          <w:ilvl w:val="1"/>
          <w:numId w:val="9"/>
        </w:numPr>
        <w:rPr>
          <w:rFonts w:ascii="Arial" w:hAnsi="Arial" w:cs="Arial"/>
          <w:sz w:val="22"/>
          <w:szCs w:val="22"/>
        </w:rPr>
      </w:pPr>
      <w:r>
        <w:rPr>
          <w:rFonts w:ascii="Arial" w:hAnsi="Arial"/>
          <w:sz w:val="22"/>
        </w:rPr>
        <w:t>οδηγίες χρήσης για τον φορέα εφαρμογής και βασική περιγραφή της διεπαφής χρήστη, κατά περίπτωση·</w:t>
      </w:r>
    </w:p>
    <w:p w14:paraId="40DAF3DF" w14:textId="77777777" w:rsidR="00CE2EF9" w:rsidRPr="00F973AB" w:rsidRDefault="00CE2EF9" w:rsidP="00CE2EF9">
      <w:pPr>
        <w:pStyle w:val="doLijstnummering5"/>
        <w:numPr>
          <w:ilvl w:val="0"/>
          <w:numId w:val="0"/>
        </w:numPr>
        <w:ind w:left="1702"/>
        <w:rPr>
          <w:rFonts w:ascii="Arial" w:hAnsi="Arial" w:cs="Arial"/>
          <w:sz w:val="22"/>
          <w:szCs w:val="22"/>
        </w:rPr>
      </w:pPr>
    </w:p>
    <w:p w14:paraId="2ACA8A81" w14:textId="77777777" w:rsidR="00CE2EF9" w:rsidRPr="00F973AB" w:rsidRDefault="00CE2EF9" w:rsidP="00CE2EF9">
      <w:pPr>
        <w:pStyle w:val="doLijstnummering5"/>
        <w:rPr>
          <w:rFonts w:ascii="Arial" w:hAnsi="Arial" w:cs="Arial"/>
          <w:sz w:val="22"/>
          <w:szCs w:val="22"/>
        </w:rPr>
      </w:pPr>
      <w:r>
        <w:rPr>
          <w:rFonts w:ascii="Arial" w:hAnsi="Arial"/>
          <w:sz w:val="22"/>
        </w:rPr>
        <w:t>λεπτομερή περιγραφή των στοιχείων του συστήματος ΤΝ και της διαδικασίας για την ανάπτυξή του, η οποία περιλαμβάνει:</w:t>
      </w:r>
    </w:p>
    <w:p w14:paraId="37303E32"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τις μεθόδους και τα βήματα που εκτελέστηκαν για την ανάπτυξη του συστήματος ΤΝ, συμπεριλαμβανομένων, κατά περίπτωση, της προσφυγής σε </w:t>
      </w:r>
      <w:proofErr w:type="spellStart"/>
      <w:r>
        <w:rPr>
          <w:rFonts w:ascii="Arial" w:hAnsi="Arial"/>
          <w:sz w:val="22"/>
        </w:rPr>
        <w:t>προεκπαιδευμένα</w:t>
      </w:r>
      <w:proofErr w:type="spellEnd"/>
      <w:r>
        <w:rPr>
          <w:rFonts w:ascii="Arial" w:hAnsi="Arial"/>
          <w:sz w:val="22"/>
        </w:rPr>
        <w:t xml:space="preserve"> συστήματα ή εργαλεία που παρασχέθηκαν από τρίτους και του τρόπου με τον οποίο αυτά χρησιμοποιήθηκαν, ενσωματώθηκαν ή τροποποιήθηκαν από τον προμηθευτή, συμπεριλαμβανομένης της περιγραφής τυχόν άδειας ή άλλων συμβατικών ρυθμίσεων που σχετίζονται με τα εν λόγω στοιχεία εισόδου τρίτων·</w:t>
      </w:r>
    </w:p>
    <w:p w14:paraId="50CEDB01" w14:textId="696F3D1C"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τις προδιαγραφές σχεδιασμού του συστήματος, δηλαδή τη γενική λογική του συστήματος ΤΝ και των αλγορίθμων· τις βασικές επιλογές σχεδιασμού, συμπεριλαμβανομένων του σκεπτικού και των παραδοχών που έχουν γίνει, και σε σχέση με τα πρόσωπα ή τις ομάδες προσώπων για τα οποία προορίζεται να χρησιμοποιηθεί το σύστημα· τις βασικές επιλογές ταξινόμησης· το τι προορίζεται να βελτιστοποιήσει το σύστημα και τη συνάφεια των διαφόρων παραμέτρων· την περιγραφή των αναμενόμενων στοιχείων εξόδου και της ποιότητας των στοιχείων εξόδου του συστήματος· τις αποφάσεις σχετικά με ενδεχόμενες αντισταθμίσεις όσον αφορά τις τεχνικές λύσεις που υιοθετούνται για τη συμμόρφωση με τις απαιτήσεις που καθορίζονται στις παρούσες ΤΣΡ-ΤΝ υψηλού κινδύνου·</w:t>
      </w:r>
    </w:p>
    <w:p w14:paraId="2AB4A336"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την περιγραφή της αρχιτεκτονικής του συστήματος που εξηγεί τον τρόπο με τον οποίο τα κατασκευαστικά στοιχεία λογισμικού βασίζονται το ένα στο </w:t>
      </w:r>
      <w:r>
        <w:rPr>
          <w:rFonts w:ascii="Arial" w:hAnsi="Arial"/>
          <w:sz w:val="22"/>
        </w:rPr>
        <w:lastRenderedPageBreak/>
        <w:t xml:space="preserve">άλλο ή </w:t>
      </w:r>
      <w:proofErr w:type="spellStart"/>
      <w:r>
        <w:rPr>
          <w:rFonts w:ascii="Arial" w:hAnsi="Arial"/>
          <w:sz w:val="22"/>
        </w:rPr>
        <w:t>αλληλοτροφοδοτούνται</w:t>
      </w:r>
      <w:proofErr w:type="spellEnd"/>
      <w:r>
        <w:rPr>
          <w:rFonts w:ascii="Arial" w:hAnsi="Arial"/>
          <w:sz w:val="22"/>
        </w:rPr>
        <w:t xml:space="preserve"> και ενσωματώνονται στη συνολική επεξεργασία· τους υπολογιστικούς πόρους που χρησιμοποιήθηκαν για την ανάπτυξη, την εκπαίδευση, τη δοκιμή και την επικύρωση του συστήματος ΤΝ·</w:t>
      </w:r>
    </w:p>
    <w:p w14:paraId="6EE60D08" w14:textId="7C674916"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κατά περίπτωση, τις απαιτήσεις δεδομένων όσον αφορά τα δελτία δεδομένων που περιγράφουν τις μεθοδολογίες και τις τεχνικές εκπαίδευσης και τα σύνολα δεδομένων εκπαίδευσης που χρησιμοποιήθηκαν, συμπεριλαμβανομένων γενικής περιγραφής αυτών των συνόλων δεδομένων και πληροφοριών σχετικά με την προέλευσή τους, το εύρος και τα κύρια χαρακτηριστικά τους· τον τρόπο λήψης και επιλογής των δεδομένων· τις διαδικασίες επισήμανσης (π.χ. για επιβλεπόμενη μάθηση), τις μεθοδολογίες καθαρισμού δεδομένων (π.χ. ανίχνευση </w:t>
      </w:r>
      <w:proofErr w:type="spellStart"/>
      <w:r>
        <w:rPr>
          <w:rFonts w:ascii="Arial" w:hAnsi="Arial"/>
          <w:sz w:val="22"/>
        </w:rPr>
        <w:t>εκτρόπων</w:t>
      </w:r>
      <w:proofErr w:type="spellEnd"/>
      <w:r>
        <w:rPr>
          <w:rFonts w:ascii="Arial" w:hAnsi="Arial"/>
          <w:sz w:val="22"/>
        </w:rPr>
        <w:t xml:space="preserve"> τιμών)·</w:t>
      </w:r>
    </w:p>
    <w:p w14:paraId="0A8ED183" w14:textId="177B1273"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αξιολόγηση των μέτρων ανθρώπινης εποπτείας που απαιτούνται σύμφωνα με τις παρούσες ΤΣΡ-ΤΝ υψηλού κινδύνου, συμπεριλαμβανομένης της εκτίμησης των τεχνικών μέτρων που απαιτούνται για να διευκολυνθεί η ερμηνεία των στοιχείων εξόδου των συστημάτων ΤΝ από τον δημόσιο οργανισμό, σύμφωνα με τις παρούσες ΤΣΡ-ΤΝ υψηλού κινδύνου·</w:t>
      </w:r>
    </w:p>
    <w:p w14:paraId="24084DC2" w14:textId="677F870A"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κατά περίπτωση, λεπτομερή περιγραφή των προκαθορισμένων αλλαγών στο σύστημα ΤΝ και στις επιδόσεις του, μαζί με όλες τις συναφείς πληροφορίες οι οποίες σχετίζονται με τις τεχνικές λύσεις που έχουν επιλεγεί για τη διασφάλιση της συνεχούς συμμόρφωσης του συστήματος ΤΝ με τις σχετικές απαιτήσεις που καθορίζονται στις παρούσες ΤΣΡ-ΤΝ υψηλού κινδύνου·</w:t>
      </w:r>
    </w:p>
    <w:p w14:paraId="6D9BC3AC" w14:textId="348AD9CB"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τις διαδικασίες επικύρωσης και δοκιμής που χρησιμοποιήθηκαν, συμπεριλαμβανομένων των πληροφοριών σχετικά με τα δεδομένα επικύρωσης και δοκιμής και τα κύρια χαρακτηριστικά τους· τους δείκτες μέτρησης που χρησιμοποιήθηκαν για τη μέτρηση της ακρίβειας, της στιβαρότητας και της συμμόρφωσης με άλλες σχετικές απαιτήσεις που καθορίζονται στις παρούσες ΤΣΡ-ΤΝ υψηλού κινδύνου, καθώς και των επιπτώσεων δυνητικής διακριτικής μεταχείρισης· αρχεία καταγραφής δοκιμών και όλες τις εκθέσεις δοκιμών, χρονολογημένες και υπογεγραμμένες από τους υπευθύνους, μεταξύ άλλων όσον αφορά προκαθορισμένες αλλαγές όπως αναφέρονται στο σημείο 2.5·</w:t>
      </w:r>
    </w:p>
    <w:p w14:paraId="0BAE802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ειλημμένα μέτρα κυβερνοασφάλειας·</w:t>
      </w:r>
    </w:p>
    <w:p w14:paraId="4077ADA4" w14:textId="77777777" w:rsidR="00CE2EF9" w:rsidRPr="00F973AB" w:rsidRDefault="00CE2EF9" w:rsidP="00CE2EF9">
      <w:pPr>
        <w:pStyle w:val="doLijstnummering5"/>
        <w:numPr>
          <w:ilvl w:val="0"/>
          <w:numId w:val="0"/>
        </w:numPr>
        <w:ind w:left="1702"/>
        <w:rPr>
          <w:rFonts w:ascii="Arial" w:hAnsi="Arial" w:cs="Arial"/>
          <w:sz w:val="22"/>
          <w:szCs w:val="22"/>
        </w:rPr>
      </w:pPr>
    </w:p>
    <w:p w14:paraId="4A4D3303" w14:textId="7AE1D309" w:rsidR="00CE2EF9" w:rsidRPr="00F973AB" w:rsidRDefault="00052363" w:rsidP="00564A63">
      <w:pPr>
        <w:pStyle w:val="doLijstnummering5"/>
        <w:rPr>
          <w:rFonts w:ascii="Arial" w:hAnsi="Arial" w:cs="Arial"/>
          <w:sz w:val="22"/>
          <w:szCs w:val="22"/>
        </w:rPr>
      </w:pPr>
      <w:r>
        <w:rPr>
          <w:rFonts w:ascii="Arial" w:hAnsi="Arial"/>
          <w:sz w:val="22"/>
        </w:rPr>
        <w:t>λεπτομερείς πληροφορίες σχετικά με την παρακολούθηση, τη λειτουργία και τον έλεγχο του συστήματος ΤΝ, ιδίως όσον αφορά: τις ικανότητές του και τους περιορισμούς όσον αφορά τις επιδόσεις του, συμπεριλαμβανομένων των βαθμών ακρίβειας για συγκεκριμένα πρόσωπα ή ομάδες προσώπων στα οποία προορίζεται να χρησιμοποιηθεί το σύστημα και του συνολικού αναμενόμενου επιπέδου ακρίβειας σε σχέση με τον επιδιωκόμενο σκοπό του· τα προβλέψιμα ανεπιθύμητα αποτελέσματα και τις πηγές κινδύνων για την υγεία και την ασφάλεια, τα θεμελιώδη δικαιώματα και τον κίνδυνο διακρίσεων με βάση τον επιδιωκόμενο σκοπό του συστήματος ΤΝ·</w:t>
      </w:r>
    </w:p>
    <w:p w14:paraId="0EAACA0B" w14:textId="77777777" w:rsidR="00CE2EF9" w:rsidRPr="00F973AB" w:rsidRDefault="00CE2EF9" w:rsidP="00CE2EF9">
      <w:pPr>
        <w:pStyle w:val="doLijstnummering5"/>
        <w:numPr>
          <w:ilvl w:val="0"/>
          <w:numId w:val="0"/>
        </w:numPr>
        <w:ind w:left="851"/>
        <w:rPr>
          <w:rFonts w:ascii="Arial" w:hAnsi="Arial" w:cs="Arial"/>
          <w:sz w:val="22"/>
          <w:szCs w:val="22"/>
        </w:rPr>
      </w:pPr>
    </w:p>
    <w:p w14:paraId="4915B434" w14:textId="1C009D58" w:rsidR="009B4B27" w:rsidRPr="00F973AB" w:rsidRDefault="00052363" w:rsidP="00CE2EF9">
      <w:pPr>
        <w:pStyle w:val="doLijstnummering5"/>
        <w:rPr>
          <w:rFonts w:ascii="Arial" w:hAnsi="Arial" w:cs="Arial"/>
          <w:sz w:val="22"/>
          <w:szCs w:val="22"/>
        </w:rPr>
      </w:pPr>
      <w:r>
        <w:rPr>
          <w:rFonts w:ascii="Arial" w:hAnsi="Arial"/>
          <w:sz w:val="22"/>
        </w:rPr>
        <w:t>περιγραφή της καταλληλότητας των μετρήσεων επιδόσεων για το σύστημα ΤΝ·</w:t>
      </w:r>
    </w:p>
    <w:p w14:paraId="60AF0F2C" w14:textId="77777777" w:rsidR="009B4B27" w:rsidRPr="00F973AB" w:rsidRDefault="009B4B27" w:rsidP="00564A63">
      <w:pPr>
        <w:pStyle w:val="doLijstnummering5"/>
        <w:numPr>
          <w:ilvl w:val="0"/>
          <w:numId w:val="0"/>
        </w:numPr>
        <w:ind w:left="851"/>
        <w:rPr>
          <w:rFonts w:ascii="Arial" w:hAnsi="Arial" w:cs="Arial"/>
          <w:sz w:val="22"/>
          <w:szCs w:val="22"/>
        </w:rPr>
      </w:pPr>
    </w:p>
    <w:p w14:paraId="36E5F47C" w14:textId="01DBF04B" w:rsidR="00CE2EF9" w:rsidRPr="00F973AB" w:rsidRDefault="00052363" w:rsidP="00CE2EF9">
      <w:pPr>
        <w:pStyle w:val="doLijstnummering5"/>
        <w:rPr>
          <w:rFonts w:ascii="Arial" w:hAnsi="Arial" w:cs="Arial"/>
          <w:sz w:val="22"/>
          <w:szCs w:val="22"/>
        </w:rPr>
      </w:pPr>
      <w:r>
        <w:rPr>
          <w:rFonts w:ascii="Arial" w:hAnsi="Arial"/>
          <w:sz w:val="22"/>
        </w:rPr>
        <w:t>λεπτομερή περιγραφή του συστήματος διαχείρισης κινδύνου σύμφωνα με το άρθρο 2·</w:t>
      </w:r>
    </w:p>
    <w:p w14:paraId="2EE1094C" w14:textId="77777777" w:rsidR="00CE2EF9" w:rsidRPr="00F973AB" w:rsidRDefault="00CE2EF9" w:rsidP="00CE2EF9">
      <w:pPr>
        <w:pStyle w:val="doLijstnummering5"/>
        <w:numPr>
          <w:ilvl w:val="0"/>
          <w:numId w:val="0"/>
        </w:numPr>
        <w:ind w:left="851"/>
        <w:rPr>
          <w:rFonts w:ascii="Arial" w:hAnsi="Arial" w:cs="Arial"/>
          <w:sz w:val="22"/>
          <w:szCs w:val="22"/>
        </w:rPr>
      </w:pPr>
    </w:p>
    <w:p w14:paraId="0A2E70B2" w14:textId="35CCEBD9" w:rsidR="001C5152" w:rsidRPr="00F973AB" w:rsidRDefault="00052363" w:rsidP="001C5152">
      <w:pPr>
        <w:pStyle w:val="doLijstnummering5"/>
        <w:rPr>
          <w:rFonts w:ascii="Arial" w:hAnsi="Arial" w:cs="Arial"/>
          <w:sz w:val="22"/>
          <w:szCs w:val="22"/>
        </w:rPr>
      </w:pPr>
      <w:r>
        <w:rPr>
          <w:rFonts w:ascii="Arial" w:hAnsi="Arial"/>
          <w:sz w:val="22"/>
        </w:rPr>
        <w:t>περιγραφή κάθε σημαντικής αλλαγής που επιφέρει ο προμηθευτής στο σύστημα κατά τη διάρκεια του κύκλου ζωής του.</w:t>
      </w:r>
      <w:r>
        <w:rPr>
          <w:rFonts w:ascii="Arial" w:hAnsi="Arial"/>
          <w:sz w:val="22"/>
        </w:rPr>
        <w:br w:type="page"/>
      </w:r>
    </w:p>
    <w:p w14:paraId="32A6061A" w14:textId="77777777" w:rsidR="00CE2EF9" w:rsidRPr="00F973AB" w:rsidRDefault="00CE2EF9" w:rsidP="00A74620">
      <w:pPr>
        <w:spacing w:after="360"/>
        <w:rPr>
          <w:rFonts w:ascii="Arial" w:hAnsi="Arial" w:cs="Arial"/>
          <w:b/>
          <w:sz w:val="26"/>
          <w:szCs w:val="26"/>
        </w:rPr>
      </w:pPr>
      <w:r>
        <w:rPr>
          <w:rFonts w:ascii="Arial" w:hAnsi="Arial"/>
          <w:b/>
          <w:sz w:val="26"/>
        </w:rPr>
        <w:lastRenderedPageBreak/>
        <w:t>Παράρτημα Δ — Οδηγίες χρήσης</w:t>
      </w:r>
    </w:p>
    <w:p w14:paraId="2644D815" w14:textId="77777777" w:rsidR="00CE2EF9" w:rsidRPr="00F973AB" w:rsidRDefault="00CE2EF9" w:rsidP="00CE2EF9">
      <w:pPr>
        <w:spacing w:after="210"/>
        <w:jc w:val="both"/>
        <w:rPr>
          <w:rFonts w:ascii="Arial" w:hAnsi="Arial" w:cs="Arial"/>
          <w:sz w:val="22"/>
          <w:szCs w:val="22"/>
        </w:rPr>
      </w:pPr>
      <w:r>
        <w:rPr>
          <w:rFonts w:ascii="Arial" w:hAnsi="Arial"/>
          <w:sz w:val="22"/>
        </w:rPr>
        <w:t>Οι οδηγίες χρήσης περιλαμβάνουν τουλάχιστον τις ακόλουθες πληροφορίες, ανάλογα με το σύστημα ΤΝ:</w:t>
      </w:r>
    </w:p>
    <w:p w14:paraId="3A225FCB"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την ταυτότητα και τα στοιχεία επικοινωνίας του προμηθευτή και, κατά περίπτωση, του εξουσιοδοτημένου αντιπροσώπου του·</w:t>
      </w:r>
    </w:p>
    <w:p w14:paraId="53C1B122" w14:textId="77777777" w:rsidR="00CE2EF9" w:rsidRPr="00F973AB" w:rsidRDefault="00CE2EF9" w:rsidP="00CE2EF9">
      <w:pPr>
        <w:pStyle w:val="doLijstnummering5"/>
        <w:numPr>
          <w:ilvl w:val="0"/>
          <w:numId w:val="0"/>
        </w:numPr>
        <w:ind w:left="851"/>
        <w:rPr>
          <w:rFonts w:ascii="Arial" w:hAnsi="Arial" w:cs="Arial"/>
          <w:sz w:val="22"/>
          <w:szCs w:val="22"/>
        </w:rPr>
      </w:pPr>
    </w:p>
    <w:p w14:paraId="48B53CA5"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τα χαρακτηριστικά, τις ικανότητες και τους περιορισμούς των επιδόσεων του συστήματος ΤΝ, μεταξύ άλλων:</w:t>
      </w:r>
    </w:p>
    <w:p w14:paraId="6BE450DE" w14:textId="7777777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τον επιδιωκόμενο σκοπό·</w:t>
      </w:r>
    </w:p>
    <w:p w14:paraId="30FF4711" w14:textId="452EB214"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το επίπεδο ακρίβειας, περιλαμβανομένων των δεικτών μέτρησης, στιβαρότητας και κυβερνοασφάλειας που αναφέρεται στο άρθρο 8 με βάση το οποίο έχει δοκιμαστεί και επικυρωθεί το σύστημα ΤΝ και το οποίο μπορεί να αναμένεται, καθώς και κάθε σαφώς γνωστή και προβλέψιμη περίσταση που μπορεί να έχει αντίκτυπο στο εν λόγω αναμενόμενο επίπεδο ακρίβειας, στιβαρότητας και κυβερνοασφάλειας·</w:t>
      </w:r>
    </w:p>
    <w:p w14:paraId="4C5618BD" w14:textId="401908F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οποιαδήποτε γνωστή ή προβλέψιμη περίσταση που σχετίζεται με τη χρήση του συστήματος ΤΝ σύμφωνα με τον επιδιωκόμενο σκοπό του ή υπό συνθήκες ευλόγως προβλέψιμης κακής χρήσης, η οποία μπορεί να οδηγήσει σε κινδύνους για την υγεία και την ασφάλεια ή για τα θεμελιώδη δικαιώματα·</w:t>
      </w:r>
    </w:p>
    <w:p w14:paraId="1DFFE207" w14:textId="1B79CC04"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κατά περίπτωση, τις τεχνικές ικανότητες και τα χαρακτηριστικά του συστήματος ΤΝ για την παροχή πληροφοριών που είναι σημαντικές για την επεξήγηση των στοιχείων εξόδου του·</w:t>
      </w:r>
      <w:r>
        <w:rPr>
          <w:rFonts w:ascii="Arial" w:hAnsi="Arial"/>
          <w:sz w:val="22"/>
        </w:rPr>
        <w:cr/>
      </w:r>
    </w:p>
    <w:p w14:paraId="7C8EF870" w14:textId="2A947897"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κατά περίπτωση, τις επιδόσεις του όσον αφορά συγκεκριμένα πρόσωπα ή ομάδες προσώπων στα οποία προορίζεται να χρησιμοποιηθεί το σύστημα ΤΝ·</w:t>
      </w:r>
    </w:p>
    <w:p w14:paraId="154A99A7" w14:textId="77777777" w:rsidR="002F066E" w:rsidRDefault="00D3678A" w:rsidP="002F066E">
      <w:pPr>
        <w:pStyle w:val="doLijstnummering5"/>
        <w:numPr>
          <w:ilvl w:val="1"/>
          <w:numId w:val="10"/>
        </w:numPr>
        <w:rPr>
          <w:rFonts w:ascii="Arial" w:hAnsi="Arial" w:cs="Arial"/>
          <w:sz w:val="22"/>
          <w:szCs w:val="22"/>
        </w:rPr>
      </w:pPr>
      <w:r>
        <w:rPr>
          <w:rFonts w:ascii="Arial" w:hAnsi="Arial"/>
          <w:sz w:val="22"/>
        </w:rPr>
        <w:t>κατά περίπτωση, προδιαγραφές για τα δεδομένα εισόδου ή οποιαδήποτε άλλη σχετική πληροφορία όσον αφορά τα σύνολα δεδομένων εκπαίδευσης, επικύρωσης και δοκιμής που χρησιμοποιούνται, δεδομένου του επιδιωκόμενου σκοπού του συστήματος ΤΝ·</w:t>
      </w:r>
    </w:p>
    <w:p w14:paraId="5C4B93A6" w14:textId="6AE60494" w:rsidR="00CE2EF9" w:rsidRPr="002F066E" w:rsidRDefault="00D3678A" w:rsidP="002F066E">
      <w:pPr>
        <w:pStyle w:val="doLijstnummering5"/>
        <w:numPr>
          <w:ilvl w:val="1"/>
          <w:numId w:val="10"/>
        </w:numPr>
        <w:rPr>
          <w:rFonts w:ascii="Arial" w:hAnsi="Arial" w:cs="Arial"/>
          <w:sz w:val="22"/>
          <w:szCs w:val="22"/>
        </w:rPr>
      </w:pPr>
      <w:r>
        <w:rPr>
          <w:rFonts w:ascii="Arial" w:hAnsi="Arial"/>
          <w:sz w:val="22"/>
        </w:rPr>
        <w:t>κατά περίπτωση, πληροφορίες που επιτρέπουν στον δημόσιο οργανισμό να ερμηνεύει τα στοιχεία εξόδου του συστήματος ΤΝ και να τα χρησιμοποιεί κατάλληλα·</w:t>
      </w:r>
      <w:r>
        <w:rPr>
          <w:rFonts w:ascii="Arial" w:hAnsi="Arial"/>
          <w:sz w:val="22"/>
        </w:rPr>
        <w:cr/>
      </w:r>
    </w:p>
    <w:p w14:paraId="5A6C2171"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 xml:space="preserve">τις αλλαγές στο σύστημα ΤΝ και τις επιδόσεις του, όπως έχουν προκαθοριστεί από τον προμηθευτή, εάν υπάρχουν· </w:t>
      </w:r>
    </w:p>
    <w:p w14:paraId="014BD99A" w14:textId="77777777" w:rsidR="00CE2EF9" w:rsidRPr="00F973AB" w:rsidRDefault="00CE2EF9" w:rsidP="00CE2EF9">
      <w:pPr>
        <w:pStyle w:val="doLijstnummering5"/>
        <w:numPr>
          <w:ilvl w:val="0"/>
          <w:numId w:val="0"/>
        </w:numPr>
        <w:ind w:left="851"/>
        <w:rPr>
          <w:rFonts w:ascii="Arial" w:hAnsi="Arial" w:cs="Arial"/>
          <w:sz w:val="22"/>
          <w:szCs w:val="22"/>
        </w:rPr>
      </w:pPr>
    </w:p>
    <w:p w14:paraId="55E78B7C"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τα μέτρα ανθρώπινης εποπτείας που αναφέρονται στο</w:t>
      </w:r>
      <w:r>
        <w:t xml:space="preserve"> </w:t>
      </w:r>
      <w:bookmarkStart w:id="4" w:name="OpenAt"/>
      <w:r>
        <w:rPr>
          <w:rFonts w:ascii="Arial" w:hAnsi="Arial"/>
          <w:sz w:val="22"/>
        </w:rPr>
        <w:t>άρθρο</w:t>
      </w:r>
      <w:bookmarkEnd w:id="4"/>
      <w:r>
        <w:rPr>
          <w:rFonts w:ascii="Arial" w:hAnsi="Arial"/>
          <w:sz w:val="22"/>
        </w:rPr>
        <w:t xml:space="preserve"> 7, περιλαμβανομένων των τεχνικών μέτρων που εφαρμόζονται για τη διευκόλυνση της ερμηνείας των στοιχείων εξόδου του συστήματος ΤΝ από τον δημόσιο οργανισμό·</w:t>
      </w:r>
    </w:p>
    <w:p w14:paraId="2EDF0A23" w14:textId="77777777" w:rsidR="00CE2EF9" w:rsidRPr="00F973AB" w:rsidRDefault="00CE2EF9" w:rsidP="00CE2EF9">
      <w:pPr>
        <w:pStyle w:val="doLijstnummering5"/>
        <w:numPr>
          <w:ilvl w:val="0"/>
          <w:numId w:val="0"/>
        </w:numPr>
        <w:ind w:left="851"/>
        <w:rPr>
          <w:rFonts w:ascii="Arial" w:hAnsi="Arial" w:cs="Arial"/>
          <w:sz w:val="22"/>
          <w:szCs w:val="22"/>
        </w:rPr>
      </w:pPr>
    </w:p>
    <w:p w14:paraId="3D94A9D8" w14:textId="77777777" w:rsidR="00CE2EF9" w:rsidRPr="00F973AB" w:rsidRDefault="00D3678A" w:rsidP="00D3678A">
      <w:pPr>
        <w:pStyle w:val="doLijstnummering5"/>
        <w:numPr>
          <w:ilvl w:val="0"/>
          <w:numId w:val="10"/>
        </w:numPr>
        <w:rPr>
          <w:rFonts w:ascii="Arial" w:hAnsi="Arial" w:cs="Arial"/>
          <w:sz w:val="22"/>
          <w:szCs w:val="22"/>
        </w:rPr>
      </w:pPr>
      <w:r>
        <w:rPr>
          <w:rFonts w:ascii="Arial" w:hAnsi="Arial"/>
          <w:sz w:val="22"/>
        </w:rPr>
        <w:t xml:space="preserve">τους αναγκαίους υπολογιστικούς πόρους και πόρους υλισμικού, την αναμενόμενη διάρκεια ζωής του συστήματος ΤΝ και τυχόν απαραίτητα μέτρα συντήρησης και </w:t>
      </w:r>
      <w:r>
        <w:rPr>
          <w:rFonts w:ascii="Arial" w:hAnsi="Arial"/>
          <w:sz w:val="22"/>
        </w:rPr>
        <w:lastRenderedPageBreak/>
        <w:t xml:space="preserve">φροντίδας, περιλαμβανομένης της συχνότητάς τους, για να διασφαλιστεί η ορθή λειτουργία του εν λόγω συστήματος ΤΝ, μεταξύ άλλων όσον αφορά τις </w:t>
      </w:r>
      <w:proofErr w:type="spellStart"/>
      <w:r>
        <w:rPr>
          <w:rFonts w:ascii="Arial" w:hAnsi="Arial"/>
          <w:sz w:val="22"/>
        </w:rPr>
        <w:t>επικαιροποιήσεις</w:t>
      </w:r>
      <w:proofErr w:type="spellEnd"/>
      <w:r>
        <w:rPr>
          <w:rFonts w:ascii="Arial" w:hAnsi="Arial"/>
          <w:sz w:val="22"/>
        </w:rPr>
        <w:t xml:space="preserve"> του λογισμικού·</w:t>
      </w:r>
    </w:p>
    <w:p w14:paraId="0B44A81A" w14:textId="77777777" w:rsidR="00CE2EF9" w:rsidRPr="00F973AB" w:rsidRDefault="00CE2EF9" w:rsidP="00CE2EF9">
      <w:pPr>
        <w:pStyle w:val="doLijstnummering5"/>
        <w:numPr>
          <w:ilvl w:val="0"/>
          <w:numId w:val="0"/>
        </w:numPr>
        <w:ind w:left="851"/>
        <w:rPr>
          <w:rFonts w:ascii="Arial" w:hAnsi="Arial" w:cs="Arial"/>
          <w:sz w:val="22"/>
          <w:szCs w:val="22"/>
        </w:rPr>
      </w:pPr>
    </w:p>
    <w:p w14:paraId="4763F328" w14:textId="112987C6" w:rsidR="00CE2EF9" w:rsidRPr="00F973AB" w:rsidRDefault="00D3678A" w:rsidP="00564A63">
      <w:pPr>
        <w:pStyle w:val="doLijstnummering5"/>
        <w:rPr>
          <w:b/>
        </w:rPr>
      </w:pPr>
      <w:r>
        <w:rPr>
          <w:rFonts w:ascii="Arial" w:hAnsi="Arial"/>
          <w:sz w:val="22"/>
        </w:rPr>
        <w:t xml:space="preserve">κατά περίπτωση, περιγραφή των μηχανισμών που περιλαμβάνονται στο σύστημα ΤΝ η οποία επιτρέπει στον δημόσιο οργανισμό να συλλέγει, να αποθηκεύει και να ερμηνεύει ορθά τα αρχεία καταγραφής σύμφωνα με το άρθρο 5 του παρόντος εγγράφου ΤΣΡ-ΤΝ υψηλού κινδύνου. </w:t>
      </w:r>
      <w:r>
        <w:br w:type="page"/>
      </w:r>
    </w:p>
    <w:p w14:paraId="60742357"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Παράρτημα Ε — Μέτρα για τη διασφάλιση της διαφάνειας</w:t>
      </w:r>
    </w:p>
    <w:p w14:paraId="627CAA54" w14:textId="014A67DD" w:rsidR="00CE2EF9" w:rsidRPr="00F973AB" w:rsidRDefault="00CE2EF9" w:rsidP="00CE2EF9">
      <w:pPr>
        <w:spacing w:after="210"/>
        <w:jc w:val="both"/>
        <w:rPr>
          <w:rFonts w:ascii="Arial" w:hAnsi="Arial" w:cs="Arial"/>
          <w:i/>
          <w:sz w:val="22"/>
          <w:szCs w:val="22"/>
        </w:rPr>
      </w:pPr>
      <w:r>
        <w:rPr>
          <w:rFonts w:ascii="Arial" w:hAnsi="Arial"/>
          <w:i/>
          <w:sz w:val="22"/>
        </w:rPr>
        <w:t>Παραθέστε εδώ περιγραφή των τεχνικών και οργανωτικών μέτρων που πρέπει να λάβει ο προμηθευτής για τη διασφάλιση της διαφάνειας σύμφωνα με το άρθρο 6 των ΤΣΡ-ΤΝ υψηλού κινδύνου.</w:t>
      </w:r>
    </w:p>
    <w:p w14:paraId="639F3DAB" w14:textId="77777777" w:rsidR="00CE2EF9" w:rsidRPr="00F973AB" w:rsidRDefault="00CE2EF9" w:rsidP="00CE2EF9">
      <w:pPr>
        <w:spacing w:after="210"/>
        <w:jc w:val="both"/>
        <w:rPr>
          <w:rFonts w:ascii="Arial" w:hAnsi="Arial" w:cs="Arial"/>
          <w:b/>
          <w:sz w:val="22"/>
          <w:szCs w:val="22"/>
        </w:rPr>
      </w:pPr>
      <w:r>
        <w:br w:type="page"/>
      </w:r>
    </w:p>
    <w:p w14:paraId="6F0DAB33"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Παράρτημα ΣΤ — Μέτρα για τη διασφάλιση της ανθρώπινης εποπτείας</w:t>
      </w:r>
    </w:p>
    <w:p w14:paraId="7A6DBACF" w14:textId="1E7F2DDA" w:rsidR="00CE2EF9" w:rsidRPr="00F973AB" w:rsidRDefault="00CE2EF9" w:rsidP="00CE2EF9">
      <w:pPr>
        <w:spacing w:after="210"/>
        <w:jc w:val="both"/>
        <w:rPr>
          <w:rFonts w:ascii="Arial" w:hAnsi="Arial" w:cs="Arial"/>
          <w:i/>
          <w:sz w:val="22"/>
          <w:szCs w:val="22"/>
        </w:rPr>
      </w:pPr>
      <w:r>
        <w:rPr>
          <w:rFonts w:ascii="Arial" w:hAnsi="Arial"/>
          <w:i/>
          <w:sz w:val="22"/>
        </w:rPr>
        <w:t>Παραθέστε εδώ περιγραφή των τεχνικών και οργανωτικών μέτρων που πρέπει να λάβει ο προμηθευτής για τη διασφάλιση της ανθρώπινης εποπτείας σύμφωνα με το άρθρο 7 των ΤΣΡ-ΤΝ υψηλού κινδύνου.</w:t>
      </w:r>
    </w:p>
    <w:p w14:paraId="5EA49DFE" w14:textId="77777777" w:rsidR="00CE2EF9" w:rsidRPr="00F973AB" w:rsidRDefault="00CE2EF9" w:rsidP="00CE2EF9">
      <w:pPr>
        <w:spacing w:after="210"/>
        <w:jc w:val="both"/>
        <w:rPr>
          <w:rFonts w:ascii="Arial" w:hAnsi="Arial" w:cs="Arial"/>
          <w:b/>
          <w:sz w:val="22"/>
          <w:szCs w:val="22"/>
        </w:rPr>
      </w:pPr>
      <w:r>
        <w:br w:type="page"/>
      </w:r>
    </w:p>
    <w:p w14:paraId="6C4E10C8"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Παράρτημα Ζ — Επίπεδα ακρίβειας</w:t>
      </w:r>
    </w:p>
    <w:p w14:paraId="09E6BDFF" w14:textId="77777777" w:rsidR="00CE2EF9" w:rsidRPr="00F973AB" w:rsidRDefault="00CE2EF9" w:rsidP="00CE2EF9">
      <w:pPr>
        <w:spacing w:after="210"/>
        <w:jc w:val="both"/>
        <w:rPr>
          <w:rFonts w:ascii="Arial" w:hAnsi="Arial" w:cs="Arial"/>
          <w:i/>
          <w:sz w:val="22"/>
          <w:szCs w:val="22"/>
        </w:rPr>
      </w:pPr>
      <w:r>
        <w:rPr>
          <w:rFonts w:ascii="Arial" w:hAnsi="Arial"/>
          <w:i/>
          <w:sz w:val="22"/>
        </w:rPr>
        <w:t>Περιγράψτε εδώ τα απαιτούμενα επίπεδα ακρίβειας.</w:t>
      </w:r>
    </w:p>
    <w:p w14:paraId="7413A47E" w14:textId="77777777" w:rsidR="00CE2EF9" w:rsidRPr="00F973AB" w:rsidRDefault="00CE2EF9" w:rsidP="00CE2EF9">
      <w:pPr>
        <w:spacing w:after="210"/>
        <w:jc w:val="both"/>
        <w:rPr>
          <w:rFonts w:ascii="Arial" w:hAnsi="Arial" w:cs="Arial"/>
          <w:i/>
          <w:sz w:val="22"/>
          <w:szCs w:val="22"/>
        </w:rPr>
      </w:pPr>
      <w:r>
        <w:br w:type="page"/>
      </w:r>
    </w:p>
    <w:p w14:paraId="309A7334"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Παράρτημα Η — Μέτρα για τη διασφάλιση κατάλληλου επιπέδου στιβαρότητας, ασφάλειας και κυβερνοασφάλειας</w:t>
      </w:r>
    </w:p>
    <w:p w14:paraId="30426E6E" w14:textId="100ED041" w:rsidR="00CE2EF9" w:rsidRPr="00F973AB" w:rsidRDefault="00CE2EF9" w:rsidP="00CE2EF9">
      <w:pPr>
        <w:spacing w:after="210"/>
        <w:jc w:val="both"/>
        <w:rPr>
          <w:rFonts w:ascii="Arial" w:hAnsi="Arial" w:cs="Arial"/>
          <w:i/>
          <w:sz w:val="22"/>
          <w:szCs w:val="22"/>
        </w:rPr>
      </w:pPr>
      <w:r>
        <w:rPr>
          <w:rFonts w:ascii="Arial" w:hAnsi="Arial"/>
          <w:i/>
          <w:sz w:val="22"/>
        </w:rPr>
        <w:t>Παραθέστε εδώ περιγραφή των τεχνικών και οργανωτικών μέτρων που πρέπει να λάβει ο προμηθευτής για τη διασφάλιση κατάλληλου επιπέδου στιβαρότητας, ασφάλειας και κυβερνοασφάλειας σύμφωνα με το άρθρο 8 των ΤΣΡ-ΤΝ υψηλού κινδύνου.</w:t>
      </w:r>
    </w:p>
    <w:p w14:paraId="7F9331F2" w14:textId="77777777" w:rsidR="00CE2EF9" w:rsidRPr="00F973AB" w:rsidRDefault="00CE2EF9" w:rsidP="00CE2EF9">
      <w:pPr>
        <w:spacing w:after="210"/>
        <w:jc w:val="both"/>
        <w:rPr>
          <w:rFonts w:ascii="Arial" w:hAnsi="Arial" w:cs="Arial"/>
          <w:i/>
          <w:sz w:val="22"/>
          <w:szCs w:val="22"/>
        </w:rPr>
      </w:pPr>
      <w:r>
        <w:rPr>
          <w:rFonts w:ascii="Arial" w:hAnsi="Arial"/>
          <w:i/>
          <w:sz w:val="22"/>
        </w:rPr>
        <w:t>Τα μέτρα αυτά πρέπει να διασφαλίζουν ότι το σύστημα ΤΝ είναι όσο το δυνατόν πιο ανθεκτικό όσον αφορά σφάλματα, αστοχίες ή ασυνέπειες που ενδέχεται να προκύψουν εντός του συστήματος ή του περιβάλλοντος στο οποίο λειτουργεί το σύστημα, ειδικότερα λόγω της αλληλεπίδρασής του με φυσικά πρόσωπα ή άλλα συστήματα.</w:t>
      </w:r>
    </w:p>
    <w:p w14:paraId="4CF015C3" w14:textId="3A128485" w:rsidR="00CE2EF9" w:rsidRPr="00F973AB" w:rsidRDefault="00CE2EF9" w:rsidP="00CE2EF9">
      <w:pPr>
        <w:spacing w:after="210"/>
        <w:jc w:val="both"/>
        <w:rPr>
          <w:rFonts w:ascii="Arial" w:hAnsi="Arial" w:cs="Arial"/>
          <w:i/>
          <w:sz w:val="22"/>
          <w:szCs w:val="22"/>
        </w:rPr>
      </w:pPr>
      <w:r>
        <w:rPr>
          <w:rFonts w:ascii="Arial" w:hAnsi="Arial"/>
          <w:i/>
          <w:sz w:val="22"/>
        </w:rPr>
        <w:t xml:space="preserve">Το σύστημα ΤΝ είναι ανθεκτικό στις απόπειρες μη εξουσιοδοτημένων τρίτων να αλλοιώσουν τη χρήση, τη συμπεριφορά, τα στοιχεία εξόδου ή τις επιδόσεις του εκμεταλλευόμενοι τα τρωτά σημεία του συστήματος. Οι τεχνικές λύσεις για την αντιμετώπιση συγκεκριμένων τρωτών σημείων των συστημάτων ΤΝ μπορούν να περιλαμβάνουν, κατά περίπτωση, μέτρα για την πρόληψη, τον εντοπισμό, την αντιμετώπιση, την επίλυση και τον έλεγχο επιθέσεων που επιχειρούν να χειραγωγήσουν το σύνολο δεδομένων εκπαίδευσης («μόλυνση δεδομένων») ή αφορούν </w:t>
      </w:r>
      <w:proofErr w:type="spellStart"/>
      <w:r>
        <w:rPr>
          <w:rFonts w:ascii="Arial" w:hAnsi="Arial"/>
          <w:i/>
          <w:sz w:val="22"/>
        </w:rPr>
        <w:t>προεκπαιδευμένα</w:t>
      </w:r>
      <w:proofErr w:type="spellEnd"/>
      <w:r>
        <w:rPr>
          <w:rFonts w:ascii="Arial" w:hAnsi="Arial"/>
          <w:i/>
          <w:sz w:val="22"/>
        </w:rPr>
        <w:t xml:space="preserve"> συστατικά στοιχεία που χρησιμοποιούνται στην εκπαίδευση («μόλυνση μοντέλου»), στοιχεία εισόδου που έχουν σχεδιαστεί έτσι ώστε να ωθούν το μοντέλο να διαπράξει σφάλμα («αντιπαραθετικά παραδείγματα» ή «αποφυγή μοντέλου»), επιθέσεις εμπιστευτικότητας ή ελαττώματα του μοντέλου, που θα μπορούσαν να οδηγήσουν σε επιζήμια λήψη αποφάσεων.</w:t>
      </w:r>
    </w:p>
    <w:p w14:paraId="317FB5A1" w14:textId="77777777" w:rsidR="00CE2EF9" w:rsidRPr="00F973AB" w:rsidRDefault="00CE2EF9" w:rsidP="00CE2EF9">
      <w:pPr>
        <w:spacing w:after="210"/>
        <w:jc w:val="both"/>
        <w:rPr>
          <w:rFonts w:ascii="Arial" w:hAnsi="Arial" w:cs="Arial"/>
          <w:i/>
          <w:sz w:val="22"/>
          <w:szCs w:val="22"/>
        </w:rPr>
      </w:pPr>
    </w:p>
    <w:p w14:paraId="0B67A886" w14:textId="77777777" w:rsidR="00CE2EF9" w:rsidRPr="00F973AB" w:rsidRDefault="00CE2EF9" w:rsidP="00CE2EF9">
      <w:pPr>
        <w:spacing w:after="210"/>
        <w:jc w:val="both"/>
        <w:rPr>
          <w:rFonts w:ascii="Arial" w:hAnsi="Arial" w:cs="Arial"/>
          <w:b/>
          <w:sz w:val="22"/>
          <w:szCs w:val="22"/>
        </w:rPr>
      </w:pPr>
    </w:p>
    <w:p w14:paraId="22B8D7A6" w14:textId="77777777" w:rsidR="000F6F09" w:rsidRPr="00F973AB" w:rsidRDefault="000F6F09" w:rsidP="000F6F09">
      <w:pPr>
        <w:rPr>
          <w:rFonts w:ascii="Arial" w:hAnsi="Arial" w:cs="Arial"/>
          <w:sz w:val="22"/>
          <w:szCs w:val="22"/>
          <w:lang w:eastAsia="en-GB"/>
        </w:rPr>
      </w:pPr>
    </w:p>
    <w:p w14:paraId="2835D346" w14:textId="77777777" w:rsidR="000F6F09" w:rsidRPr="00F973AB" w:rsidRDefault="000F6F09" w:rsidP="000F6F09">
      <w:pPr>
        <w:rPr>
          <w:rFonts w:ascii="Arial" w:hAnsi="Arial" w:cs="Arial"/>
          <w:sz w:val="22"/>
          <w:szCs w:val="22"/>
          <w:lang w:eastAsia="en-GB"/>
        </w:rPr>
      </w:pPr>
    </w:p>
    <w:p w14:paraId="33F6E159" w14:textId="77777777" w:rsidR="000F6F09" w:rsidRPr="00F973AB" w:rsidRDefault="000F6F09" w:rsidP="000F6F09">
      <w:pPr>
        <w:rPr>
          <w:rFonts w:ascii="Arial" w:hAnsi="Arial" w:cs="Arial"/>
          <w:sz w:val="22"/>
          <w:szCs w:val="22"/>
          <w:lang w:eastAsia="en-GB"/>
        </w:rPr>
      </w:pPr>
    </w:p>
    <w:sectPr w:rsidR="000F6F09" w:rsidRPr="00F973AB" w:rsidSect="00C56C58">
      <w:headerReference w:type="default" r:id="rId12"/>
      <w:footerReference w:type="even" r:id="rId13"/>
      <w:footerReference w:type="default" r:id="rId14"/>
      <w:headerReference w:type="first" r:id="rId15"/>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B0583" w14:textId="77777777" w:rsidR="00C96A67" w:rsidRDefault="00C96A67" w:rsidP="000B1A35">
      <w:r>
        <w:separator/>
      </w:r>
    </w:p>
  </w:endnote>
  <w:endnote w:type="continuationSeparator" w:id="0">
    <w:p w14:paraId="5B3F3334" w14:textId="77777777" w:rsidR="00C96A67" w:rsidRDefault="00C96A67"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rFonts w:ascii="Arial" w:hAnsi="Arial" w:cs="Arial"/>
            <w:b/>
            <w:bCs/>
            <w:color w:val="104D54"/>
          </w:rPr>
        </w:pPr>
        <w:r>
          <w:rPr>
            <w:rStyle w:val="PageNumber"/>
            <w:rFonts w:ascii="Arial" w:hAnsi="Arial" w:cs="Arial"/>
            <w:b/>
            <w:color w:val="104D54"/>
          </w:rPr>
          <w:fldChar w:fldCharType="begin"/>
        </w:r>
        <w:r>
          <w:rPr>
            <w:rStyle w:val="PageNumber"/>
            <w:rFonts w:ascii="Arial" w:hAnsi="Arial" w:cs="Arial"/>
            <w:b/>
            <w:color w:val="104D54"/>
          </w:rPr>
          <w:instrText xml:space="preserve"> PAGE </w:instrText>
        </w:r>
        <w:r>
          <w:rPr>
            <w:rStyle w:val="PageNumber"/>
            <w:rFonts w:ascii="Arial" w:hAnsi="Arial" w:cs="Arial"/>
            <w:b/>
            <w:color w:val="104D54"/>
          </w:rPr>
          <w:fldChar w:fldCharType="separate"/>
        </w:r>
        <w:r>
          <w:rPr>
            <w:rStyle w:val="PageNumber"/>
            <w:rFonts w:ascii="Arial" w:hAnsi="Arial" w:cs="Arial"/>
            <w:b/>
            <w:color w:val="104D54"/>
          </w:rPr>
          <w:t>1</w:t>
        </w:r>
        <w:r>
          <w:rPr>
            <w:rStyle w:val="PageNumber"/>
            <w:rFonts w:ascii="Arial" w:hAnsi="Arial" w:cs="Arial"/>
            <w:b/>
            <w:color w:val="104D54"/>
          </w:rPr>
          <w:t>9</w:t>
        </w:r>
        <w:r>
          <w:rPr>
            <w:rStyle w:val="PageNumber"/>
            <w:rFonts w:ascii="Arial" w:hAnsi="Arial" w:cs="Arial"/>
            <w:b/>
            <w:color w:val="104D54"/>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905EA" w14:textId="77777777" w:rsidR="00C96A67" w:rsidRDefault="00C96A67" w:rsidP="000B1A35">
      <w:r>
        <w:separator/>
      </w:r>
    </w:p>
  </w:footnote>
  <w:footnote w:type="continuationSeparator" w:id="0">
    <w:p w14:paraId="20930B75" w14:textId="77777777" w:rsidR="00C96A67" w:rsidRDefault="00C96A67" w:rsidP="000B1A35">
      <w:r>
        <w:continuationSeparator/>
      </w:r>
    </w:p>
  </w:footnote>
  <w:footnote w:id="1">
    <w:p w14:paraId="4F352ED7" w14:textId="320E49BB" w:rsidR="00A81582" w:rsidRPr="00A81582" w:rsidRDefault="00A81582">
      <w:pPr>
        <w:pStyle w:val="FootnoteText"/>
      </w:pPr>
      <w:r>
        <w:rPr>
          <w:rStyle w:val="FootnoteReference"/>
        </w:rPr>
        <w:footnoteRef/>
      </w:r>
      <w:r>
        <w:t xml:space="preserve"> </w:t>
      </w:r>
      <w:hyperlink r:id="rId1" w:history="1">
        <w:r>
          <w:rPr>
            <w:rStyle w:val="Hyperlink"/>
          </w:rPr>
          <w:t>Η Επιτροπή δημοσιεύει κατευθυντήριες γραμμές σχετικά με τον ορισμό του συστήματος ΤΝ για τη διευκόλυνση της εφαρμογής των κανόνων της πρώτης πράξης για την ΤΝ |</w:t>
        </w:r>
      </w:hyperlink>
      <w:hyperlink r:id="rId2" w:history="1">
        <w:r>
          <w:rPr>
            <w:rStyle w:val="Hyperlink"/>
          </w:rPr>
          <w:t xml:space="preserve"> </w:t>
        </w:r>
        <w:proofErr w:type="spellStart"/>
        <w:r>
          <w:rPr>
            <w:rStyle w:val="Hyperlink"/>
          </w:rPr>
          <w:t>Shaping</w:t>
        </w:r>
        <w:proofErr w:type="spellEnd"/>
        <w:r>
          <w:rPr>
            <w:rStyle w:val="Hyperlink"/>
          </w:rPr>
          <w:t xml:space="preserve"> </w:t>
        </w:r>
        <w:proofErr w:type="spellStart"/>
        <w:r>
          <w:rPr>
            <w:rStyle w:val="Hyperlink"/>
          </w:rPr>
          <w:t>Europe’s</w:t>
        </w:r>
        <w:proofErr w:type="spellEnd"/>
        <w:r>
          <w:rPr>
            <w:rStyle w:val="Hyperlink"/>
          </w:rPr>
          <w:t xml:space="preserve"> </w:t>
        </w:r>
        <w:proofErr w:type="spellStart"/>
        <w:r>
          <w:rPr>
            <w:rStyle w:val="Hyperlink"/>
          </w:rPr>
          <w:t>digital</w:t>
        </w:r>
        <w:proofErr w:type="spellEnd"/>
        <w:r>
          <w:rPr>
            <w:rStyle w:val="Hyperlink"/>
          </w:rPr>
          <w:t xml:space="preserve"> </w:t>
        </w:r>
        <w:proofErr w:type="spellStart"/>
        <w:r>
          <w:rPr>
            <w:rStyle w:val="Hyperlink"/>
          </w:rPr>
          <w:t>future</w:t>
        </w:r>
        <w:proofErr w:type="spellEnd"/>
        <w:r>
          <w:rPr>
            <w:rStyle w:val="Hyperlink"/>
          </w:rPr>
          <w:t xml:space="preserve"> (Διαμόρφωση του ψηφιακού μέλλοντος της Ευρώπης)</w:t>
        </w:r>
      </w:hyperlink>
      <w:r>
        <w:t>.</w:t>
      </w:r>
    </w:p>
  </w:footnote>
  <w:footnote w:id="2">
    <w:p w14:paraId="4500DEBA" w14:textId="4CEE3FD1" w:rsidR="003216B4" w:rsidRPr="00D33B49" w:rsidRDefault="003216B4" w:rsidP="00CE2EF9">
      <w:pPr>
        <w:pStyle w:val="FootnoteText"/>
        <w:rPr>
          <w:rFonts w:ascii="Arial" w:hAnsi="Arial" w:cs="Arial"/>
          <w:sz w:val="18"/>
          <w:szCs w:val="24"/>
        </w:rPr>
      </w:pPr>
      <w:r>
        <w:rPr>
          <w:rStyle w:val="FootnoteReference"/>
          <w:rFonts w:ascii="Arial" w:hAnsi="Arial" w:cs="Arial"/>
          <w:sz w:val="18"/>
          <w:szCs w:val="24"/>
        </w:rPr>
        <w:footnoteRef/>
      </w:r>
      <w:r>
        <w:rPr>
          <w:rFonts w:ascii="Arial" w:hAnsi="Arial"/>
          <w:sz w:val="18"/>
        </w:rPr>
        <w:t xml:space="preserve"> </w:t>
      </w:r>
      <w:r>
        <w:tab/>
      </w:r>
      <w:r>
        <w:rPr>
          <w:rFonts w:ascii="Arial" w:hAnsi="Arial"/>
          <w:sz w:val="18"/>
        </w:rPr>
        <w:t>Ο περιορισμός της υποχρέωσης παράδοσης συνόλων δεδομένων προμηθευτή και συνόλων δεδομένων τρίτων δεν περιορίζει τις υποχρεώσεις του προμηθευτή που περιγράφονται στο άρθρο 6 και στο άρθρο 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493D3A31" w:rsidR="003216B4" w:rsidRPr="005A1B9E" w:rsidRDefault="003216B4">
    <w:pPr>
      <w:pStyle w:val="Header"/>
      <w:rPr>
        <w:rFonts w:ascii="Arial" w:hAnsi="Arial" w:cs="Arial"/>
        <w:b/>
        <w:bCs/>
        <w:color w:val="FFFFFF" w:themeColor="background1"/>
      </w:rPr>
    </w:pPr>
    <w:r>
      <w:rPr>
        <w:noProof/>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5" w:name="_Hlk189934907"/>
    <w:r>
      <w:t xml:space="preserve"> </w:t>
    </w:r>
    <w:hyperlink r:id="rId2" w:history="1">
      <w:r>
        <w:rPr>
          <w:rStyle w:val="Hyperlink"/>
          <w:rFonts w:ascii="Arial" w:hAnsi="Arial"/>
          <w:color w:val="FFFFFF" w:themeColor="background1"/>
          <w:sz w:val="20"/>
        </w:rPr>
        <w:t>Προμήθεια ΤΝ |</w:t>
      </w:r>
    </w:hyperlink>
    <w:hyperlink r:id="rId3" w:history="1">
      <w:r>
        <w:rPr>
          <w:rStyle w:val="Hyperlink"/>
          <w:rFonts w:ascii="Arial" w:hAnsi="Arial"/>
          <w:color w:val="FFFFFF" w:themeColor="background1"/>
          <w:sz w:val="20"/>
        </w:rPr>
        <w:t xml:space="preserve"> </w:t>
      </w:r>
      <w:proofErr w:type="spellStart"/>
      <w:r>
        <w:rPr>
          <w:rStyle w:val="Hyperlink"/>
          <w:rFonts w:ascii="Arial" w:hAnsi="Arial"/>
          <w:color w:val="FFFFFF" w:themeColor="background1"/>
          <w:sz w:val="20"/>
        </w:rPr>
        <w:t>Public</w:t>
      </w:r>
      <w:proofErr w:type="spellEnd"/>
      <w:r>
        <w:rPr>
          <w:rStyle w:val="Hyperlink"/>
          <w:rFonts w:ascii="Arial" w:hAnsi="Arial"/>
          <w:color w:val="FFFFFF" w:themeColor="background1"/>
          <w:sz w:val="20"/>
        </w:rPr>
        <w:t xml:space="preserve"> </w:t>
      </w:r>
      <w:proofErr w:type="spellStart"/>
      <w:r>
        <w:rPr>
          <w:rStyle w:val="Hyperlink"/>
          <w:rFonts w:ascii="Arial" w:hAnsi="Arial"/>
          <w:color w:val="FFFFFF" w:themeColor="background1"/>
          <w:sz w:val="20"/>
        </w:rPr>
        <w:t>Buyers</w:t>
      </w:r>
      <w:proofErr w:type="spellEnd"/>
      <w:r>
        <w:rPr>
          <w:rStyle w:val="Hyperlink"/>
          <w:rFonts w:ascii="Arial" w:hAnsi="Arial"/>
          <w:color w:val="FFFFFF" w:themeColor="background1"/>
          <w:sz w:val="20"/>
        </w:rPr>
        <w:t xml:space="preserve"> Community (Κοινότητα των Αγοραστών του Δημοσίου)</w:t>
      </w:r>
    </w:hyperlink>
    <w:bookmarkEnd w:id="5"/>
    <w:r>
      <w:tab/>
    </w:r>
    <w:r>
      <w:rPr>
        <w:rFonts w:ascii="Arial" w:hAnsi="Arial"/>
        <w:color w:val="FFFFFF" w:themeColor="background1"/>
      </w:rPr>
      <w:t xml:space="preserve"> </w:t>
    </w:r>
    <w:r>
      <w:tab/>
    </w:r>
    <w:r>
      <w:rPr>
        <w:rFonts w:ascii="Arial" w:hAnsi="Arial"/>
        <w:color w:val="FFFFFF" w:themeColor="background1"/>
      </w:rPr>
      <w:t xml:space="preserve"> </w:t>
    </w:r>
    <w:r>
      <w:rPr>
        <w:rFonts w:ascii="Arial" w:hAnsi="Arial"/>
        <w:b/>
        <w:color w:val="FFFFFF" w:themeColor="background1"/>
      </w:rPr>
      <w:t xml:space="preserve">ΤΣΡ-ΤΝ υψηλού κινδύνου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rPr>
        <w:noProof/>
      </w:rP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95348202"/>
    <w:lvl w:ilvl="0">
      <w:start w:val="1"/>
      <w:numFmt w:val="decimal"/>
      <w:pStyle w:val="doLijstnummering7"/>
      <w:lvlText w:val="Άρθρο %1."/>
      <w:lvlJc w:val="left"/>
      <w:pPr>
        <w:ind w:left="360" w:hanging="360"/>
      </w:pPr>
      <w:rPr>
        <w:rFonts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mc:AlternateContent>
        <mc:Choice Requires="w14">
          <w:numFmt w:val="custom" w:format="α, β, γ, ..."/>
        </mc:Choice>
        <mc:Fallback>
          <w:numFmt w:val="decimal"/>
        </mc:Fallback>
      </mc:AlternateContent>
      <w:lvlText w:val="%3."/>
      <w:lvlJc w:val="left"/>
      <w:pPr>
        <w:ind w:left="1069" w:hanging="360"/>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7FF9"/>
    <w:rsid w:val="00016837"/>
    <w:rsid w:val="000325AC"/>
    <w:rsid w:val="00037A5B"/>
    <w:rsid w:val="00050F12"/>
    <w:rsid w:val="00052363"/>
    <w:rsid w:val="00055689"/>
    <w:rsid w:val="00057539"/>
    <w:rsid w:val="000575AB"/>
    <w:rsid w:val="000603C2"/>
    <w:rsid w:val="00061A77"/>
    <w:rsid w:val="0006305F"/>
    <w:rsid w:val="00074956"/>
    <w:rsid w:val="0007646C"/>
    <w:rsid w:val="0008024C"/>
    <w:rsid w:val="000822F8"/>
    <w:rsid w:val="00094BB7"/>
    <w:rsid w:val="000B1A35"/>
    <w:rsid w:val="000D2464"/>
    <w:rsid w:val="000D2CCC"/>
    <w:rsid w:val="000D7C70"/>
    <w:rsid w:val="000E3EA0"/>
    <w:rsid w:val="000E6BB9"/>
    <w:rsid w:val="000F39AD"/>
    <w:rsid w:val="000F5C89"/>
    <w:rsid w:val="000F6F09"/>
    <w:rsid w:val="00100543"/>
    <w:rsid w:val="00107A1F"/>
    <w:rsid w:val="00115AFB"/>
    <w:rsid w:val="00124648"/>
    <w:rsid w:val="0012712E"/>
    <w:rsid w:val="00137BC0"/>
    <w:rsid w:val="00145DBC"/>
    <w:rsid w:val="00166C6F"/>
    <w:rsid w:val="00172B4F"/>
    <w:rsid w:val="00173B57"/>
    <w:rsid w:val="00176170"/>
    <w:rsid w:val="00176E68"/>
    <w:rsid w:val="001908A2"/>
    <w:rsid w:val="001C026D"/>
    <w:rsid w:val="001C1C2C"/>
    <w:rsid w:val="001C5152"/>
    <w:rsid w:val="001D0478"/>
    <w:rsid w:val="001D0885"/>
    <w:rsid w:val="001D0F97"/>
    <w:rsid w:val="001D5BD8"/>
    <w:rsid w:val="001E207C"/>
    <w:rsid w:val="002240A8"/>
    <w:rsid w:val="002356D6"/>
    <w:rsid w:val="00241911"/>
    <w:rsid w:val="00250DE3"/>
    <w:rsid w:val="002521BB"/>
    <w:rsid w:val="002532EE"/>
    <w:rsid w:val="00257095"/>
    <w:rsid w:val="00260A93"/>
    <w:rsid w:val="0026274B"/>
    <w:rsid w:val="0027316C"/>
    <w:rsid w:val="0028697D"/>
    <w:rsid w:val="002920C6"/>
    <w:rsid w:val="002974E8"/>
    <w:rsid w:val="002B3169"/>
    <w:rsid w:val="002B6F1F"/>
    <w:rsid w:val="002C7FA3"/>
    <w:rsid w:val="002D5D9E"/>
    <w:rsid w:val="002F066E"/>
    <w:rsid w:val="002F6EA4"/>
    <w:rsid w:val="00310B73"/>
    <w:rsid w:val="003135AD"/>
    <w:rsid w:val="00314680"/>
    <w:rsid w:val="003216B4"/>
    <w:rsid w:val="00324614"/>
    <w:rsid w:val="00327AA8"/>
    <w:rsid w:val="00333DE7"/>
    <w:rsid w:val="0034183C"/>
    <w:rsid w:val="0034344C"/>
    <w:rsid w:val="003438F3"/>
    <w:rsid w:val="00370488"/>
    <w:rsid w:val="0038084E"/>
    <w:rsid w:val="00383C49"/>
    <w:rsid w:val="003868C1"/>
    <w:rsid w:val="003B3A40"/>
    <w:rsid w:val="003C2AF0"/>
    <w:rsid w:val="003C5514"/>
    <w:rsid w:val="003D2CB0"/>
    <w:rsid w:val="003D3930"/>
    <w:rsid w:val="003E1753"/>
    <w:rsid w:val="003F7670"/>
    <w:rsid w:val="004019AA"/>
    <w:rsid w:val="00406A76"/>
    <w:rsid w:val="004110BF"/>
    <w:rsid w:val="00412D17"/>
    <w:rsid w:val="00420EEF"/>
    <w:rsid w:val="00432E34"/>
    <w:rsid w:val="0043428A"/>
    <w:rsid w:val="004359CC"/>
    <w:rsid w:val="0044298A"/>
    <w:rsid w:val="00463418"/>
    <w:rsid w:val="00465AE1"/>
    <w:rsid w:val="00467E4D"/>
    <w:rsid w:val="00471F60"/>
    <w:rsid w:val="00485C37"/>
    <w:rsid w:val="00486941"/>
    <w:rsid w:val="0049021A"/>
    <w:rsid w:val="004A255F"/>
    <w:rsid w:val="004B6414"/>
    <w:rsid w:val="004C37ED"/>
    <w:rsid w:val="004C4F77"/>
    <w:rsid w:val="004C6E67"/>
    <w:rsid w:val="004D3081"/>
    <w:rsid w:val="004D3DB3"/>
    <w:rsid w:val="004D4A5B"/>
    <w:rsid w:val="004E436F"/>
    <w:rsid w:val="004E48B6"/>
    <w:rsid w:val="004E4B13"/>
    <w:rsid w:val="004F107F"/>
    <w:rsid w:val="00500EF9"/>
    <w:rsid w:val="00514B73"/>
    <w:rsid w:val="005328F9"/>
    <w:rsid w:val="00544ECB"/>
    <w:rsid w:val="0054518D"/>
    <w:rsid w:val="0056368F"/>
    <w:rsid w:val="00564A63"/>
    <w:rsid w:val="00574E15"/>
    <w:rsid w:val="00592734"/>
    <w:rsid w:val="005944BF"/>
    <w:rsid w:val="00595C68"/>
    <w:rsid w:val="005A1B9E"/>
    <w:rsid w:val="005A3D5D"/>
    <w:rsid w:val="005A49B9"/>
    <w:rsid w:val="005E4F80"/>
    <w:rsid w:val="005E7DC7"/>
    <w:rsid w:val="006027CB"/>
    <w:rsid w:val="006043F8"/>
    <w:rsid w:val="00604EB1"/>
    <w:rsid w:val="00615CE6"/>
    <w:rsid w:val="006240D0"/>
    <w:rsid w:val="00627B16"/>
    <w:rsid w:val="00634526"/>
    <w:rsid w:val="00636C8D"/>
    <w:rsid w:val="006420F3"/>
    <w:rsid w:val="0064285F"/>
    <w:rsid w:val="006574EA"/>
    <w:rsid w:val="00663E0A"/>
    <w:rsid w:val="006818EB"/>
    <w:rsid w:val="0069290B"/>
    <w:rsid w:val="0069530D"/>
    <w:rsid w:val="0069571E"/>
    <w:rsid w:val="006B3717"/>
    <w:rsid w:val="006B6837"/>
    <w:rsid w:val="006D06B6"/>
    <w:rsid w:val="006D2B23"/>
    <w:rsid w:val="006F3E34"/>
    <w:rsid w:val="00703D6D"/>
    <w:rsid w:val="00715BC6"/>
    <w:rsid w:val="00727DD8"/>
    <w:rsid w:val="00737015"/>
    <w:rsid w:val="00757F3C"/>
    <w:rsid w:val="00762B0D"/>
    <w:rsid w:val="00765059"/>
    <w:rsid w:val="0077280F"/>
    <w:rsid w:val="00777C2E"/>
    <w:rsid w:val="00785D3E"/>
    <w:rsid w:val="007872D1"/>
    <w:rsid w:val="00795109"/>
    <w:rsid w:val="007B4344"/>
    <w:rsid w:val="007B79BA"/>
    <w:rsid w:val="007B7C42"/>
    <w:rsid w:val="007C13FB"/>
    <w:rsid w:val="007C7792"/>
    <w:rsid w:val="007E4829"/>
    <w:rsid w:val="007F08ED"/>
    <w:rsid w:val="007F5306"/>
    <w:rsid w:val="008059EE"/>
    <w:rsid w:val="00805C45"/>
    <w:rsid w:val="00806100"/>
    <w:rsid w:val="008071B6"/>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82CDF"/>
    <w:rsid w:val="0099306E"/>
    <w:rsid w:val="009B2357"/>
    <w:rsid w:val="009B4B27"/>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1BAC"/>
    <w:rsid w:val="00A923CC"/>
    <w:rsid w:val="00AA2BBE"/>
    <w:rsid w:val="00AA50AD"/>
    <w:rsid w:val="00AC0847"/>
    <w:rsid w:val="00AC304D"/>
    <w:rsid w:val="00AD1C65"/>
    <w:rsid w:val="00AE662B"/>
    <w:rsid w:val="00B170E8"/>
    <w:rsid w:val="00B3405F"/>
    <w:rsid w:val="00B35164"/>
    <w:rsid w:val="00B43750"/>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36498"/>
    <w:rsid w:val="00C42541"/>
    <w:rsid w:val="00C56C58"/>
    <w:rsid w:val="00C63829"/>
    <w:rsid w:val="00C64D3F"/>
    <w:rsid w:val="00C77C3E"/>
    <w:rsid w:val="00C94B15"/>
    <w:rsid w:val="00C96A67"/>
    <w:rsid w:val="00CA3D74"/>
    <w:rsid w:val="00CD6D58"/>
    <w:rsid w:val="00CE2EF9"/>
    <w:rsid w:val="00CE54A9"/>
    <w:rsid w:val="00CE7205"/>
    <w:rsid w:val="00CF1790"/>
    <w:rsid w:val="00CF3257"/>
    <w:rsid w:val="00CF5A67"/>
    <w:rsid w:val="00CF6657"/>
    <w:rsid w:val="00D170E9"/>
    <w:rsid w:val="00D228EB"/>
    <w:rsid w:val="00D33B49"/>
    <w:rsid w:val="00D35373"/>
    <w:rsid w:val="00D3678A"/>
    <w:rsid w:val="00D52D57"/>
    <w:rsid w:val="00D573E8"/>
    <w:rsid w:val="00D663FA"/>
    <w:rsid w:val="00D7180C"/>
    <w:rsid w:val="00D74FE9"/>
    <w:rsid w:val="00D81335"/>
    <w:rsid w:val="00D837BF"/>
    <w:rsid w:val="00DB00F0"/>
    <w:rsid w:val="00DC0722"/>
    <w:rsid w:val="00DC2430"/>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F0D2A"/>
    <w:rsid w:val="00F22146"/>
    <w:rsid w:val="00F237EA"/>
    <w:rsid w:val="00F23C53"/>
    <w:rsid w:val="00F41D3D"/>
    <w:rsid w:val="00F435ED"/>
    <w:rsid w:val="00F576F3"/>
    <w:rsid w:val="00F5778B"/>
    <w:rsid w:val="00F671D7"/>
    <w:rsid w:val="00F77A72"/>
    <w:rsid w:val="00F80072"/>
    <w:rsid w:val="00F87ADD"/>
    <w:rsid w:val="00F9107C"/>
    <w:rsid w:val="00F973AB"/>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l-GR"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el-GR"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el-GR"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el-GR"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el-GR"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107A1F"/>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el-GR"/>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https://digital-strategy.ec.europa.eu/el/library/commission-publishes-guidelines-ai-system-definition-facilitate-first-ai-acts-rules-application" TargetMode="External"/><Relationship Id="rId1" Type="http://schemas.openxmlformats.org/officeDocument/2006/relationships/hyperlink" Target="https://digital-strategy.ec.europa.eu/el/library/commission-publishes-guidelines-ai-system-definition-facilitate-first-ai-acts-rules-application"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11DF03-4E2F-4055-B76C-DF3D6E4F6050}">
  <ds:schemaRefs>
    <ds:schemaRef ds:uri="http://schemas.microsoft.com/sharepoint/v3/contenttype/forms"/>
  </ds:schemaRefs>
</ds:datastoreItem>
</file>

<file path=customXml/itemProps2.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4.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28</Pages>
  <Words>6282</Words>
  <Characters>37757</Characters>
  <Application>Microsoft Office Word</Application>
  <DocSecurity>0</DocSecurity>
  <Lines>858</Lines>
  <Paragraphs>259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SALOGIANNI Stamatina (DGT)</cp:lastModifiedBy>
  <cp:revision>2</cp:revision>
  <dcterms:created xsi:type="dcterms:W3CDTF">2025-05-22T15:27:00Z</dcterms:created>
  <dcterms:modified xsi:type="dcterms:W3CDTF">2025-05-22T15:27:00Z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