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9C1E6F" w:rsidRDefault="00592734"/>
    <w:p w14:paraId="6E71A489" w14:textId="77777777" w:rsidR="000B1A35" w:rsidRPr="009C1E6F" w:rsidRDefault="000B1A35" w:rsidP="000B1A35"/>
    <w:p w14:paraId="18C1FFA7" w14:textId="77777777" w:rsidR="000B1A35" w:rsidRPr="009C1E6F" w:rsidRDefault="000B1A35" w:rsidP="000B1A35"/>
    <w:p w14:paraId="65796216" w14:textId="77777777" w:rsidR="000B1A35" w:rsidRPr="009C1E6F" w:rsidRDefault="000B1A35" w:rsidP="000B1A35"/>
    <w:p w14:paraId="7CB4DD93" w14:textId="77777777" w:rsidR="000B1A35" w:rsidRPr="009C1E6F" w:rsidRDefault="000B1A35" w:rsidP="000B1A35"/>
    <w:p w14:paraId="41A54CB5" w14:textId="77777777" w:rsidR="000B1A35" w:rsidRPr="009C1E6F" w:rsidRDefault="000B1A35" w:rsidP="000B1A35"/>
    <w:p w14:paraId="7D7CA2C7" w14:textId="77777777" w:rsidR="000B1A35" w:rsidRPr="009C1E6F" w:rsidRDefault="000B1A35" w:rsidP="000B1A35"/>
    <w:p w14:paraId="317DA321" w14:textId="77777777" w:rsidR="000B1A35" w:rsidRPr="009C1E6F" w:rsidRDefault="000B1A35" w:rsidP="000B1A35"/>
    <w:p w14:paraId="3BE80620" w14:textId="77777777" w:rsidR="000B1A35" w:rsidRPr="009C1E6F" w:rsidRDefault="000B1A35" w:rsidP="000B1A35"/>
    <w:p w14:paraId="4F3FCAFF" w14:textId="77777777" w:rsidR="000B1A35" w:rsidRPr="009C1E6F" w:rsidRDefault="000B1A35" w:rsidP="000B1A35"/>
    <w:p w14:paraId="5D5B7C84" w14:textId="77777777" w:rsidR="000B1A35" w:rsidRPr="009C1E6F" w:rsidRDefault="000B1A35" w:rsidP="000B1A35"/>
    <w:p w14:paraId="19C4B2AA" w14:textId="77777777" w:rsidR="000B1A35" w:rsidRPr="009C1E6F" w:rsidRDefault="000B1A35" w:rsidP="000B1A35"/>
    <w:p w14:paraId="2A06EE03" w14:textId="77777777" w:rsidR="000B1A35" w:rsidRPr="009C1E6F" w:rsidRDefault="000B1A35" w:rsidP="000B1A35"/>
    <w:p w14:paraId="66E5C327" w14:textId="77777777" w:rsidR="000B1A35" w:rsidRPr="009C1E6F" w:rsidRDefault="000B1A35" w:rsidP="000B1A35"/>
    <w:p w14:paraId="177C95BF" w14:textId="77777777" w:rsidR="000B1A35" w:rsidRPr="009C1E6F" w:rsidRDefault="000B1A35" w:rsidP="000B1A35"/>
    <w:p w14:paraId="21898D6A" w14:textId="77777777" w:rsidR="000B1A35" w:rsidRPr="009C1E6F" w:rsidRDefault="000B1A35" w:rsidP="000B1A35"/>
    <w:p w14:paraId="3502EADC" w14:textId="77777777" w:rsidR="000B1A35" w:rsidRPr="009C1E6F" w:rsidRDefault="000B1A35" w:rsidP="000B1A35"/>
    <w:p w14:paraId="4BF8BB1C" w14:textId="77777777" w:rsidR="000B1A35" w:rsidRPr="009C1E6F" w:rsidRDefault="000B1A35" w:rsidP="000B1A35"/>
    <w:p w14:paraId="202EFC10" w14:textId="77777777" w:rsidR="000B1A35" w:rsidRPr="009C1E6F" w:rsidRDefault="000B1A35" w:rsidP="000B1A35"/>
    <w:p w14:paraId="4588B1F3" w14:textId="77777777" w:rsidR="000B1A35" w:rsidRPr="009C1E6F" w:rsidRDefault="000B1A35" w:rsidP="000B1A35"/>
    <w:p w14:paraId="281FA3B3" w14:textId="77777777" w:rsidR="000B1A35" w:rsidRPr="009C1E6F" w:rsidRDefault="000B1A35" w:rsidP="000B1A35"/>
    <w:p w14:paraId="60D7DD7F" w14:textId="77777777" w:rsidR="000B1A35" w:rsidRPr="009C1E6F" w:rsidRDefault="000B1A35" w:rsidP="000B1A35"/>
    <w:p w14:paraId="54593850" w14:textId="77777777" w:rsidR="000B1A35" w:rsidRPr="009C1E6F" w:rsidRDefault="000B1A35" w:rsidP="000B1A35"/>
    <w:p w14:paraId="7DD23378" w14:textId="77777777" w:rsidR="000B1A35" w:rsidRPr="009C1E6F" w:rsidRDefault="000B1A35" w:rsidP="000B1A35"/>
    <w:p w14:paraId="040D7DB4" w14:textId="77777777" w:rsidR="000B1A35" w:rsidRPr="009C1E6F" w:rsidRDefault="000B1A35" w:rsidP="000B1A35"/>
    <w:p w14:paraId="149C26A7" w14:textId="77777777" w:rsidR="00E16661" w:rsidRPr="009C1E6F" w:rsidRDefault="00E16661"/>
    <w:p w14:paraId="45839A5A" w14:textId="77777777" w:rsidR="00E16661" w:rsidRPr="009C1E6F" w:rsidRDefault="00E16661"/>
    <w:p w14:paraId="64C545AF" w14:textId="77777777" w:rsidR="00E16661" w:rsidRPr="009C1E6F" w:rsidRDefault="00E16661"/>
    <w:p w14:paraId="7F0F465A" w14:textId="77777777" w:rsidR="00E16661" w:rsidRPr="009C1E6F" w:rsidRDefault="00E16661"/>
    <w:p w14:paraId="080AED99" w14:textId="77777777" w:rsidR="00E16661" w:rsidRPr="009C1E6F" w:rsidRDefault="00100E89" w:rsidP="005A1B9E">
      <w:pPr>
        <w:pStyle w:val="COMMUNITY"/>
        <w:rPr>
          <w:rStyle w:val="Hyperlink"/>
          <w:color w:val="104D54"/>
          <w:u w:val="none"/>
        </w:rPr>
      </w:pPr>
      <w:hyperlink r:id="rId11" w:history="1">
        <w:r w:rsidRPr="009C1E6F">
          <w:rPr>
            <w:rStyle w:val="Hyperlink"/>
            <w:color w:val="104D54"/>
            <w:u w:val="none"/>
          </w:rPr>
          <w:t>Tehisintellekti kogukonna</w:t>
        </w:r>
        <w:r w:rsidRPr="009C1E6F">
          <w:rPr>
            <w:rStyle w:val="Hyperlink"/>
          </w:rPr>
          <w:t xml:space="preserve"> </w:t>
        </w:r>
        <w:r w:rsidRPr="009C1E6F">
          <w:rPr>
            <w:rStyle w:val="Hyperlink"/>
          </w:rPr>
          <w:br/>
        </w:r>
      </w:hyperlink>
      <w:hyperlink r:id="rId12" w:history="1">
        <w:r w:rsidRPr="009C1E6F">
          <w:rPr>
            <w:rStyle w:val="Hyperlink"/>
            <w:color w:val="104D54"/>
            <w:u w:val="none"/>
          </w:rPr>
          <w:t>hanked</w:t>
        </w:r>
      </w:hyperlink>
    </w:p>
    <w:p w14:paraId="2649C6A6" w14:textId="77777777" w:rsidR="00E16661" w:rsidRPr="009C1E6F" w:rsidRDefault="00E16661">
      <w:pPr>
        <w:rPr>
          <w:rStyle w:val="Hyperlink"/>
          <w:rFonts w:ascii="Arial" w:hAnsi="Arial" w:cs="Arial"/>
          <w:b/>
          <w:bCs/>
          <w:sz w:val="44"/>
          <w:szCs w:val="44"/>
        </w:rPr>
      </w:pPr>
    </w:p>
    <w:p w14:paraId="77568D64" w14:textId="77777777" w:rsidR="00E16661" w:rsidRPr="009C1E6F" w:rsidRDefault="00E16661">
      <w:pPr>
        <w:rPr>
          <w:rStyle w:val="Hyperlink"/>
          <w:rFonts w:ascii="Arial" w:hAnsi="Arial" w:cs="Arial"/>
          <w:b/>
          <w:bCs/>
          <w:sz w:val="44"/>
          <w:szCs w:val="44"/>
        </w:rPr>
      </w:pPr>
    </w:p>
    <w:p w14:paraId="4E7B3348" w14:textId="77777777" w:rsidR="00E16661" w:rsidRPr="009C1E6F" w:rsidRDefault="00E16661">
      <w:pPr>
        <w:rPr>
          <w:rStyle w:val="Hyperlink"/>
          <w:rFonts w:ascii="Arial" w:hAnsi="Arial" w:cs="Arial"/>
          <w:b/>
          <w:bCs/>
          <w:sz w:val="44"/>
          <w:szCs w:val="44"/>
        </w:rPr>
      </w:pPr>
    </w:p>
    <w:p w14:paraId="676B3808" w14:textId="6C8CC332" w:rsidR="00E16661" w:rsidRPr="009C1E6F" w:rsidRDefault="00FF13F0" w:rsidP="00E16661">
      <w:pPr>
        <w:pStyle w:val="TITLEStyle"/>
      </w:pPr>
      <w:bookmarkStart w:id="0" w:name="_Hlk189829106"/>
      <w:bookmarkStart w:id="1" w:name="_Hlk189934741"/>
      <w:r w:rsidRPr="009C1E6F">
        <w:t>Suure riskiga tehisintellekti hankimise lepingu tüüptingimused</w:t>
      </w:r>
      <w:bookmarkEnd w:id="0"/>
    </w:p>
    <w:bookmarkEnd w:id="1"/>
    <w:p w14:paraId="175173CF" w14:textId="77777777" w:rsidR="000B1A35" w:rsidRPr="009C1E6F" w:rsidRDefault="00E16661">
      <w:r w:rsidRPr="009C1E6F">
        <mc:AlternateContent>
          <mc:Choice Requires="wps">
            <w:drawing>
              <wp:anchor distT="0" distB="0" distL="114300" distR="114300" simplePos="0" relativeHeight="251668480" behindDoc="0" locked="1" layoutInCell="1" allowOverlap="1" wp14:anchorId="212FE0A9" wp14:editId="33B0CDC4">
                <wp:simplePos x="0" y="0"/>
                <wp:positionH relativeFrom="margin">
                  <wp:posOffset>-55880</wp:posOffset>
                </wp:positionH>
                <wp:positionV relativeFrom="page">
                  <wp:posOffset>9127490</wp:posOffset>
                </wp:positionV>
                <wp:extent cx="6477000" cy="77089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770890"/>
                        </a:xfrm>
                        <a:prstGeom prst="rect">
                          <a:avLst/>
                        </a:prstGeom>
                        <a:noFill/>
                        <a:ln w="6350">
                          <a:noFill/>
                        </a:ln>
                      </wps:spPr>
                      <wps:txbx>
                        <w:txbxContent>
                          <w:p w14:paraId="77DDF1B8" w14:textId="40D653B6" w:rsidR="003216B4" w:rsidRPr="00C758CB" w:rsidRDefault="003216B4" w:rsidP="00E16661">
                            <w:pPr>
                              <w:spacing w:line="360" w:lineRule="auto"/>
                              <w:rPr>
                                <w:rFonts w:ascii="Arial" w:hAnsi="Arial" w:cs="Arial"/>
                                <w:color w:val="104D55"/>
                                <w:sz w:val="36"/>
                                <w:szCs w:val="36"/>
                              </w:rPr>
                            </w:pPr>
                            <w:r>
                              <w:rPr>
                                <w:rFonts w:ascii="Arial" w:hAnsi="Arial"/>
                                <w:color w:val="104D55"/>
                                <w:sz w:val="36"/>
                              </w:rPr>
                              <w:t xml:space="preserve">2025. aasta veebruari versioon – suure riskiga tehisintellekti hanked </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4pt;margin-top:718.7pt;width:510pt;height:60.7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" filled="f" stroked="f" strokeweight=".5pt">
                <v:textbox>
                  <w:txbxContent>
                    <w:p w14:paraId="77DDF1B8" w14:textId="40D653B6" w:rsidR="003216B4" w:rsidRPr="00C758CB" w:rsidRDefault="003216B4" w:rsidP="00E16661">
                      <w:pPr>
                        <w:spacing w:line="360" w:lineRule="auto"/>
                        <w:rPr>
                          <w:rFonts w:ascii="Arial" w:hAnsi="Arial" w:cs="Arial"/>
                          <w:color w:val="104D55"/>
                          <w:sz w:val="36"/>
                          <w:szCs w:val="36"/>
                        </w:rPr>
                      </w:pPr>
                      <w:r>
                        <w:rPr>
                          <w:rFonts w:ascii="Arial" w:hAnsi="Arial"/>
                          <w:color w:val="104D55"/>
                          <w:sz w:val="36"/>
                        </w:rPr>
                        <w:t xml:space="preserve">2025. aasta veebruari versioon – suure riskiga tehisintellekti hanked </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rsidRPr="009C1E6F">
        <w:br w:type="page"/>
      </w:r>
    </w:p>
    <w:p w14:paraId="2AD48B11" w14:textId="77777777" w:rsidR="00172B4F" w:rsidRPr="009C1E6F" w:rsidRDefault="00172B4F" w:rsidP="000F6F09">
      <w:pPr>
        <w:rPr>
          <w:b/>
        </w:rPr>
      </w:pPr>
      <w:r w:rsidRPr="009C1E6F">
        <w:rPr>
          <w:rFonts w:ascii="Arial" w:hAnsi="Arial"/>
          <w:color w:val="FFFFFF" w:themeColor="background1"/>
          <w:sz w:val="22"/>
        </w:rPr>
        <w:lastRenderedPageBreak/>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LAHTIÜTLUS</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2" w:name="_Hlk189935014"/>
                            <w:r>
                              <w:rPr>
                                <w:rFonts w:ascii="Arial" w:hAnsi="Arial"/>
                                <w:b/>
                                <w:color w:val="3B3838" w:themeColor="background2" w:themeShade="40"/>
                                <w:sz w:val="20"/>
                              </w:rPr>
                              <w:t xml:space="preserve">Tegemist on Euroopa Komisjoni koostatud töödokumendiga, millega toetatakse praktikakogukonda tehisintellekti hangete rakendamisel ja pakutakse avalikele haldusasutustele suuniseid tehisintellekti lahenduste hankimiseks. See on väljatöötamisel olev töödokument, mis ei kajasta Euroopa Komisjoni ametlikku seisukohta.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Osalejad, kes otsustavad käesolevat töödokumenti hangetes rakendada, kannavad täit vastutust selle kasutamise eest.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Asjaomased suure riskiga tehisintellekti hankimise lepingu tüüptingimused ei piira tehisintellekti käsitlevast määrusest tulenevate nõuete kohaldamist.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LAHTIÜTLUS</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3" w:name="_Hlk189935014"/>
                      <w:r>
                        <w:rPr>
                          <w:rFonts w:ascii="Arial" w:hAnsi="Arial"/>
                          <w:b/>
                          <w:color w:val="3B3838" w:themeColor="background2" w:themeShade="40"/>
                          <w:sz w:val="20"/>
                        </w:rPr>
                        <w:t xml:space="preserve">Tegemist on Euroopa Komisjoni koostatud töödokumendiga, millega toetatakse praktikakogukonda tehisintellekti hangete rakendamisel ja pakutakse avalikele haldusasutustele suuniseid tehisintellekti lahenduste hankimiseks. See on väljatöötamisel olev töödokument, mis ei kajasta Euroopa Komisjoni ametlikku seisukohta.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Osalejad, kes otsustavad käesolevat töödokumenti hangetes rakendada, kannavad täit vastutust selle kasutamise eest.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Asjaomased suure riskiga tehisintellekti hankimise lepingu tüüptingimused ei piira tehisintellekti käsitlevast määrusest tulenevate nõuete kohaldamist.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rsidRPr="009C1E6F">
        <w:br w:type="page"/>
      </w:r>
    </w:p>
    <w:p w14:paraId="75D16415" w14:textId="0A75DA7D" w:rsidR="00260A93" w:rsidRPr="009C1E6F" w:rsidRDefault="00260A93" w:rsidP="00260A93">
      <w:pPr>
        <w:rPr>
          <w:rFonts w:ascii="Arial" w:hAnsi="Arial" w:cs="Arial"/>
          <w:sz w:val="22"/>
          <w:szCs w:val="22"/>
        </w:rPr>
      </w:pPr>
      <w:r w:rsidRPr="009C1E6F">
        <w:rPr>
          <w:rFonts w:ascii="Arial" w:hAnsi="Arial"/>
          <w:sz w:val="22"/>
        </w:rPr>
        <w:lastRenderedPageBreak/>
        <w:t xml:space="preserve"> </w:t>
      </w:r>
    </w:p>
    <w:p w14:paraId="7CF980CC" w14:textId="77777777" w:rsidR="00260A93" w:rsidRPr="009C1E6F" w:rsidRDefault="00260A93" w:rsidP="00260A93">
      <w:pPr>
        <w:rPr>
          <w:rFonts w:ascii="Arial" w:hAnsi="Arial" w:cs="Arial"/>
          <w:sz w:val="22"/>
          <w:szCs w:val="22"/>
        </w:rPr>
      </w:pPr>
    </w:p>
    <w:p w14:paraId="11551097" w14:textId="1F2DE0C7" w:rsidR="00260A93" w:rsidRPr="009C1E6F" w:rsidRDefault="00260A93">
      <w:pPr>
        <w:rPr>
          <w:b/>
        </w:rPr>
      </w:pPr>
    </w:p>
    <w:p w14:paraId="076A3DF6" w14:textId="77777777" w:rsidR="000F6F09" w:rsidRPr="009C1E6F" w:rsidRDefault="000F6F09" w:rsidP="000F6F09">
      <w:pPr>
        <w:rPr>
          <w:b/>
        </w:rPr>
      </w:pPr>
    </w:p>
    <w:p w14:paraId="11D7B653" w14:textId="77777777" w:rsidR="000F6F09" w:rsidRPr="009C1E6F" w:rsidRDefault="000F6F09" w:rsidP="00A74620">
      <w:pPr>
        <w:spacing w:after="360"/>
        <w:rPr>
          <w:rFonts w:ascii="Arial" w:hAnsi="Arial" w:cs="Arial"/>
          <w:b/>
          <w:bCs/>
          <w:sz w:val="26"/>
          <w:szCs w:val="26"/>
        </w:rPr>
      </w:pPr>
      <w:r w:rsidRPr="009C1E6F">
        <w:rPr>
          <w:rFonts w:ascii="Arial" w:hAnsi="Arial"/>
          <w:b/>
          <w:sz w:val="26"/>
        </w:rPr>
        <w:t>A jagu. Mõisted</w:t>
      </w:r>
    </w:p>
    <w:p w14:paraId="6A99E349" w14:textId="2D951991" w:rsidR="000F6F09" w:rsidRPr="009C1E6F" w:rsidRDefault="000F6F09" w:rsidP="00157CE2">
      <w:pPr>
        <w:pStyle w:val="doLijstnummering7"/>
        <w:rPr>
          <w:rFonts w:ascii="Arial" w:eastAsia="Calibri" w:hAnsi="Arial" w:cs="Arial"/>
          <w:sz w:val="22"/>
          <w:szCs w:val="22"/>
        </w:rPr>
      </w:pPr>
      <w:r w:rsidRPr="009C1E6F">
        <w:rPr>
          <w:rFonts w:ascii="Arial" w:hAnsi="Arial" w:cs="Arial"/>
          <w:sz w:val="22"/>
          <w:szCs w:val="22"/>
        </w:rPr>
        <w:t>Mõisted: käesolevates suure riskiga tehisintellekti hankimise lepingu tüüptingimustes kasutatakse allpool määratletud mõisteid:</w:t>
      </w:r>
    </w:p>
    <w:p w14:paraId="2CB165B3" w14:textId="77777777" w:rsidR="000F6F09" w:rsidRPr="009C1E6F"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9C1E6F" w:rsidRDefault="000F6F09" w:rsidP="00DE20B9">
      <w:pPr>
        <w:pStyle w:val="doBullets1"/>
        <w:numPr>
          <w:ilvl w:val="0"/>
          <w:numId w:val="0"/>
        </w:numPr>
        <w:ind w:left="851" w:hanging="851"/>
        <w:rPr>
          <w:rFonts w:ascii="Arial" w:hAnsi="Arial" w:cs="Arial"/>
          <w:sz w:val="22"/>
          <w:szCs w:val="22"/>
        </w:rPr>
      </w:pPr>
      <w:r w:rsidRPr="009C1E6F">
        <w:rPr>
          <w:rFonts w:ascii="Arial" w:hAnsi="Arial"/>
          <w:color w:val="3B3838" w:themeColor="background2" w:themeShade="40"/>
          <w:sz w:val="22"/>
          <w:u w:val="single"/>
        </w:rPr>
        <w:t>leping</w:t>
      </w:r>
      <w:r w:rsidRPr="009C1E6F">
        <w:rPr>
          <w:rFonts w:ascii="Arial" w:hAnsi="Arial"/>
          <w:color w:val="3B3838" w:themeColor="background2" w:themeShade="40"/>
          <w:sz w:val="22"/>
        </w:rPr>
        <w:t xml:space="preserve"> – </w:t>
      </w:r>
      <w:r w:rsidRPr="009C1E6F">
        <w:rPr>
          <w:rFonts w:ascii="Arial" w:hAnsi="Arial"/>
          <w:sz w:val="22"/>
        </w:rPr>
        <w:t>kogu leping, mille lahutamatuks osaks on suure riskiga tehisintellekti hankimise lepingu tüüptingimused;</w:t>
      </w:r>
    </w:p>
    <w:p w14:paraId="5CC80148" w14:textId="77777777" w:rsidR="00DE20B9" w:rsidRPr="009C1E6F" w:rsidRDefault="00DE20B9" w:rsidP="00564A63">
      <w:pPr>
        <w:pStyle w:val="doBullets1"/>
        <w:numPr>
          <w:ilvl w:val="0"/>
          <w:numId w:val="0"/>
        </w:numPr>
        <w:ind w:left="851" w:hanging="851"/>
        <w:rPr>
          <w:rFonts w:ascii="Arial" w:hAnsi="Arial" w:cs="Arial"/>
          <w:sz w:val="22"/>
          <w:szCs w:val="22"/>
        </w:rPr>
      </w:pPr>
    </w:p>
    <w:p w14:paraId="454C6714" w14:textId="2FE1BC34" w:rsidR="000F6F09" w:rsidRPr="009C1E6F" w:rsidRDefault="000F6F09" w:rsidP="00DE20B9">
      <w:pPr>
        <w:pStyle w:val="doBullets1"/>
        <w:numPr>
          <w:ilvl w:val="0"/>
          <w:numId w:val="0"/>
        </w:numPr>
        <w:ind w:left="851" w:hanging="851"/>
        <w:rPr>
          <w:rFonts w:ascii="Arial" w:hAnsi="Arial" w:cs="Arial"/>
          <w:sz w:val="22"/>
          <w:szCs w:val="22"/>
        </w:rPr>
      </w:pPr>
      <w:r w:rsidRPr="009C1E6F">
        <w:rPr>
          <w:rFonts w:ascii="Arial" w:hAnsi="Arial"/>
          <w:sz w:val="22"/>
          <w:u w:val="single"/>
        </w:rPr>
        <w:t>tehisintellektisüsteem</w:t>
      </w:r>
      <w:r w:rsidRPr="009C1E6F">
        <w:rPr>
          <w:rFonts w:ascii="Arial" w:hAnsi="Arial"/>
          <w:sz w:val="22"/>
        </w:rPr>
        <w:t xml:space="preserve"> – masinpõhine süsteem (masinpõhised süsteemid), mis on projekteeritud töötama erineval autonoomsuse tasemel ning mis võib (võivad) pärast juurutamist olla kohanemisvõimeline (kohanemisvõimelised) ja mis saadud sisendist otseste või kaudsete eesmärkide saavutamiseks järeldab (järeldavad), kuidas genereerida väljundeid, näiteks prognoose, sisu, soovitusi või otsuseid, mis võivad mõjutada füüsilist või virtuaalset keskkonda, ning mida on täpsustatud ja kirjeldatud </w:t>
      </w:r>
      <w:r w:rsidRPr="009C1E6F">
        <w:rPr>
          <w:rFonts w:ascii="Arial" w:hAnsi="Arial"/>
          <w:b/>
          <w:sz w:val="22"/>
        </w:rPr>
        <w:t>A lisas</w:t>
      </w:r>
      <w:r w:rsidRPr="009C1E6F">
        <w:rPr>
          <w:rFonts w:ascii="Arial" w:hAnsi="Arial"/>
          <w:sz w:val="22"/>
        </w:rPr>
        <w:t>, sealhulgas selle uued versioonid</w:t>
      </w:r>
      <w:r w:rsidRPr="009C1E6F">
        <w:rPr>
          <w:rStyle w:val="FootnoteReference"/>
          <w:rFonts w:ascii="Arial" w:hAnsi="Arial" w:cs="Arial"/>
          <w:sz w:val="22"/>
          <w:szCs w:val="22"/>
        </w:rPr>
        <w:footnoteReference w:id="1"/>
      </w:r>
      <w:r w:rsidRPr="009C1E6F">
        <w:rPr>
          <w:rFonts w:ascii="Arial" w:hAnsi="Arial"/>
          <w:sz w:val="22"/>
        </w:rPr>
        <w:t xml:space="preserve">; </w:t>
      </w:r>
    </w:p>
    <w:p w14:paraId="75C084B9" w14:textId="77777777" w:rsidR="00DE20B9" w:rsidRPr="009C1E6F" w:rsidRDefault="00DE20B9" w:rsidP="00564A63">
      <w:pPr>
        <w:pStyle w:val="doBullets1"/>
        <w:numPr>
          <w:ilvl w:val="0"/>
          <w:numId w:val="0"/>
        </w:numPr>
        <w:ind w:left="851" w:hanging="851"/>
        <w:rPr>
          <w:rFonts w:ascii="Arial" w:hAnsi="Arial" w:cs="Arial"/>
          <w:sz w:val="22"/>
          <w:szCs w:val="22"/>
        </w:rPr>
      </w:pPr>
    </w:p>
    <w:p w14:paraId="1F1B54BE" w14:textId="7BBAE7D3" w:rsidR="000F6F09" w:rsidRPr="009C1E6F" w:rsidRDefault="00A81582" w:rsidP="00DE20B9">
      <w:pPr>
        <w:pStyle w:val="doBullets1"/>
        <w:numPr>
          <w:ilvl w:val="0"/>
          <w:numId w:val="0"/>
        </w:numPr>
        <w:ind w:left="851" w:hanging="851"/>
        <w:rPr>
          <w:rFonts w:ascii="Arial" w:hAnsi="Arial" w:cs="Arial"/>
          <w:sz w:val="22"/>
          <w:szCs w:val="22"/>
        </w:rPr>
      </w:pPr>
      <w:r w:rsidRPr="009C1E6F">
        <w:rPr>
          <w:rFonts w:ascii="Arial" w:hAnsi="Arial"/>
          <w:sz w:val="22"/>
          <w:u w:val="single"/>
        </w:rPr>
        <w:t>suure riskiga tehisintellekti hankimise lepingu tüüptingimused</w:t>
      </w:r>
      <w:r w:rsidRPr="009C1E6F">
        <w:rPr>
          <w:rFonts w:ascii="Arial" w:hAnsi="Arial"/>
          <w:sz w:val="22"/>
        </w:rPr>
        <w:t xml:space="preserve"> – käesolevad avaliku sektori organisatsioonide suure riskiga tehisintellekti hankimise lepingu tüüptingimused;</w:t>
      </w:r>
    </w:p>
    <w:p w14:paraId="75B5B41E" w14:textId="77777777" w:rsidR="00DE20B9" w:rsidRPr="009C1E6F"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9C1E6F" w:rsidRDefault="000F6F09" w:rsidP="00DE20B9">
      <w:pPr>
        <w:pStyle w:val="doBullets1"/>
        <w:numPr>
          <w:ilvl w:val="0"/>
          <w:numId w:val="0"/>
        </w:numPr>
        <w:ind w:left="851" w:hanging="851"/>
        <w:rPr>
          <w:rFonts w:ascii="Arial" w:hAnsi="Arial" w:cs="Arial"/>
          <w:sz w:val="22"/>
          <w:szCs w:val="22"/>
        </w:rPr>
      </w:pPr>
      <w:r w:rsidRPr="009C1E6F">
        <w:rPr>
          <w:rFonts w:ascii="Arial" w:hAnsi="Arial"/>
          <w:sz w:val="22"/>
          <w:u w:val="single"/>
        </w:rPr>
        <w:t>avaliku sektori organisatsiooni andmestikud</w:t>
      </w:r>
      <w:r w:rsidRPr="009C1E6F">
        <w:rPr>
          <w:rFonts w:ascii="Arial" w:hAnsi="Arial"/>
          <w:sz w:val="22"/>
        </w:rPr>
        <w:t xml:space="preserve"> – andmestikud (või nende osad), i) mille avaliku sektori organisatsioon edastab tarnijale lepingu alusel või ii) mis luuakse või kogutakse lepingu raames, sealhulgas punktides i ja ii osutatud andmestike (näiteks kommenteerimise, märgendamise, puhastamise, rikastamise ja koondamise teel) muudetud või laiendatud versioonid;</w:t>
      </w:r>
    </w:p>
    <w:p w14:paraId="6E76D7F6" w14:textId="77777777" w:rsidR="00DE20B9" w:rsidRPr="009C1E6F"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9C1E6F" w:rsidRDefault="000F6F09" w:rsidP="00DE20B9">
      <w:pPr>
        <w:pStyle w:val="doBullets1"/>
        <w:numPr>
          <w:ilvl w:val="0"/>
          <w:numId w:val="0"/>
        </w:numPr>
        <w:ind w:left="851" w:hanging="851"/>
        <w:rPr>
          <w:rFonts w:ascii="Arial" w:hAnsi="Arial" w:cs="Arial"/>
          <w:sz w:val="22"/>
          <w:szCs w:val="22"/>
        </w:rPr>
      </w:pPr>
      <w:r w:rsidRPr="009C1E6F">
        <w:rPr>
          <w:rFonts w:ascii="Arial" w:hAnsi="Arial"/>
          <w:sz w:val="22"/>
          <w:u w:val="single"/>
        </w:rPr>
        <w:t>andmestikud</w:t>
      </w:r>
      <w:r w:rsidRPr="009C1E6F">
        <w:rPr>
          <w:rFonts w:ascii="Arial" w:hAnsi="Arial"/>
          <w:sz w:val="22"/>
        </w:rPr>
        <w:t xml:space="preserve"> – kõik tehisintellektisüsteemi väljatöötamisel kasutatavad andmestikud, sealhulgas </w:t>
      </w:r>
      <w:r w:rsidRPr="009C1E6F">
        <w:rPr>
          <w:rFonts w:ascii="Arial" w:hAnsi="Arial"/>
          <w:b/>
          <w:sz w:val="22"/>
        </w:rPr>
        <w:t>B lisas</w:t>
      </w:r>
      <w:r w:rsidRPr="009C1E6F">
        <w:rPr>
          <w:rFonts w:ascii="Arial" w:hAnsi="Arial"/>
          <w:sz w:val="22"/>
        </w:rPr>
        <w:t xml:space="preserve"> kirjeldatud andmestik(ud);</w:t>
      </w:r>
    </w:p>
    <w:p w14:paraId="7C67D984" w14:textId="77777777" w:rsidR="00DE20B9" w:rsidRPr="009C1E6F"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9C1E6F" w:rsidRDefault="000F6F09" w:rsidP="00DE20B9">
      <w:pPr>
        <w:pStyle w:val="doBullets1"/>
        <w:numPr>
          <w:ilvl w:val="0"/>
          <w:numId w:val="0"/>
        </w:numPr>
        <w:ind w:left="851" w:hanging="851"/>
        <w:rPr>
          <w:rFonts w:ascii="Arial" w:hAnsi="Arial" w:cs="Arial"/>
          <w:sz w:val="22"/>
          <w:szCs w:val="22"/>
        </w:rPr>
      </w:pPr>
      <w:r w:rsidRPr="009C1E6F">
        <w:rPr>
          <w:rFonts w:ascii="Arial" w:hAnsi="Arial"/>
          <w:sz w:val="22"/>
          <w:u w:val="single"/>
        </w:rPr>
        <w:t>tarnimine</w:t>
      </w:r>
      <w:r w:rsidRPr="009C1E6F">
        <w:rPr>
          <w:rFonts w:ascii="Arial" w:hAnsi="Arial"/>
          <w:sz w:val="22"/>
        </w:rPr>
        <w:t xml:space="preserve"> – etapp, mil tarnija teatab avaliku sektori organisatsioonile, et tehisintellektisüsteem vastab kõigile kokkulepitud tingimustele ja on kasutusvalmis;</w:t>
      </w:r>
    </w:p>
    <w:p w14:paraId="573B7690" w14:textId="77777777" w:rsidR="00DE20B9" w:rsidRPr="009C1E6F"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9C1E6F" w:rsidRDefault="000F6F09" w:rsidP="00DE20B9">
      <w:pPr>
        <w:pStyle w:val="doBullets1"/>
        <w:numPr>
          <w:ilvl w:val="0"/>
          <w:numId w:val="0"/>
        </w:numPr>
        <w:ind w:left="851" w:hanging="851"/>
        <w:rPr>
          <w:rFonts w:ascii="Arial" w:hAnsi="Arial" w:cs="Arial"/>
          <w:sz w:val="22"/>
          <w:szCs w:val="22"/>
        </w:rPr>
      </w:pPr>
      <w:r w:rsidRPr="009C1E6F">
        <w:rPr>
          <w:rFonts w:ascii="Arial" w:hAnsi="Arial"/>
          <w:sz w:val="22"/>
          <w:u w:val="single"/>
        </w:rPr>
        <w:t>sihtotstarve</w:t>
      </w:r>
      <w:r w:rsidRPr="009C1E6F">
        <w:rPr>
          <w:rFonts w:ascii="Arial" w:hAnsi="Arial"/>
          <w:sz w:val="22"/>
        </w:rPr>
        <w:t xml:space="preserve"> – kasutus, kaasa arvatud B lisas täpsustatud kasutamise konkreetne kontekst ja tingimused, mille jaoks avaliku sektori organisatsioon on tehisintellektisüsteemi kasutusjuhendis, reklaam- või müügimaterjalides ja avaldustes ning tehnilises dokumentatsioonis tarnija poolt esitatud teabe kohaselt ette näinud;</w:t>
      </w:r>
    </w:p>
    <w:p w14:paraId="10C49FB2" w14:textId="77777777" w:rsidR="00DE20B9" w:rsidRPr="009C1E6F"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9C1E6F" w:rsidRDefault="000F6F09" w:rsidP="00DE20B9">
      <w:pPr>
        <w:pStyle w:val="doBullets1"/>
        <w:numPr>
          <w:ilvl w:val="0"/>
          <w:numId w:val="0"/>
        </w:numPr>
        <w:ind w:left="851" w:hanging="851"/>
        <w:rPr>
          <w:rFonts w:ascii="Arial" w:hAnsi="Arial" w:cs="Arial"/>
          <w:color w:val="000000"/>
          <w:sz w:val="22"/>
          <w:szCs w:val="22"/>
          <w:shd w:val="clear" w:color="auto" w:fill="FFFFFF"/>
        </w:rPr>
      </w:pPr>
      <w:r w:rsidRPr="009C1E6F">
        <w:rPr>
          <w:rFonts w:ascii="Arial" w:hAnsi="Arial"/>
          <w:color w:val="000000"/>
          <w:sz w:val="22"/>
          <w:u w:val="single"/>
          <w:shd w:val="clear" w:color="auto" w:fill="FFFFFF"/>
        </w:rPr>
        <w:t>mõistlikult prognoositav väärkasutamine</w:t>
      </w:r>
      <w:r w:rsidRPr="009C1E6F">
        <w:rPr>
          <w:rFonts w:ascii="Arial" w:hAnsi="Arial"/>
          <w:color w:val="000000"/>
          <w:sz w:val="22"/>
          <w:shd w:val="clear" w:color="auto" w:fill="FFFFFF"/>
        </w:rPr>
        <w:t xml:space="preserve"> – tehisintellektisüsteemi kasutamine viisil, mis ei ole kooskõlas selle sihtotstarbega, kuid mis võib tuleneda põhjendatult prognoositavast </w:t>
      </w:r>
      <w:r w:rsidRPr="009C1E6F">
        <w:rPr>
          <w:rFonts w:ascii="Arial" w:hAnsi="Arial"/>
          <w:color w:val="000000"/>
          <w:sz w:val="22"/>
          <w:shd w:val="clear" w:color="auto" w:fill="FFFFFF"/>
        </w:rPr>
        <w:lastRenderedPageBreak/>
        <w:t>inimkäitumisest või koostoimest muude süsteemidega, sh muude tehisintellektisüsteemidega;</w:t>
      </w:r>
    </w:p>
    <w:p w14:paraId="276D3C65" w14:textId="77777777" w:rsidR="00DE20B9" w:rsidRPr="009C1E6F"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9C1E6F" w:rsidRDefault="000F6F09" w:rsidP="00DE20B9">
      <w:pPr>
        <w:pStyle w:val="doBullets1"/>
        <w:numPr>
          <w:ilvl w:val="0"/>
          <w:numId w:val="0"/>
        </w:numPr>
        <w:ind w:left="851" w:hanging="851"/>
        <w:rPr>
          <w:rFonts w:ascii="Arial" w:hAnsi="Arial" w:cs="Arial"/>
          <w:sz w:val="22"/>
          <w:szCs w:val="22"/>
        </w:rPr>
      </w:pPr>
      <w:r w:rsidRPr="009C1E6F">
        <w:rPr>
          <w:rFonts w:ascii="Arial" w:hAnsi="Arial"/>
          <w:sz w:val="22"/>
          <w:u w:val="single"/>
        </w:rPr>
        <w:t>oluline muudatus</w:t>
      </w:r>
      <w:r w:rsidRPr="009C1E6F">
        <w:rPr>
          <w:rFonts w:ascii="Arial" w:hAnsi="Arial"/>
          <w:sz w:val="22"/>
        </w:rPr>
        <w:t xml:space="preserve"> – tehisintellektisüsteemis pärast selle tarnimist tehtud muudatus, mida tarnija ei ole algses vastavushindamises ette näinud ega kavandanud ning mis mõjutab tehisintellektisüsteemi vastavust käesolevates suure riskiga tehisintellekti hankimise lepingu tüüptingimustes sätestatud nõuetele (ilma et see piiraks tehisintellekti käsitleva määruse III peatüki 2. jao kohaldamist) või mille tulemusena muutub sihtotstarve, mida silmas pidades on tehisintellektisüsteemi hinnatud;</w:t>
      </w:r>
    </w:p>
    <w:p w14:paraId="6DF917D7" w14:textId="77777777" w:rsidR="00DE20B9" w:rsidRPr="009C1E6F"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9C1E6F" w:rsidRDefault="000F6F09" w:rsidP="00DE20B9">
      <w:pPr>
        <w:pStyle w:val="doBullets1"/>
        <w:numPr>
          <w:ilvl w:val="0"/>
          <w:numId w:val="0"/>
        </w:numPr>
        <w:ind w:left="851" w:hanging="851"/>
        <w:rPr>
          <w:rFonts w:ascii="Arial" w:hAnsi="Arial" w:cs="Arial"/>
          <w:color w:val="000000"/>
          <w:sz w:val="22"/>
          <w:szCs w:val="22"/>
          <w:shd w:val="clear" w:color="auto" w:fill="FFFFFF"/>
        </w:rPr>
      </w:pPr>
      <w:r w:rsidRPr="009C1E6F">
        <w:rPr>
          <w:rFonts w:ascii="Arial" w:hAnsi="Arial"/>
          <w:sz w:val="22"/>
          <w:u w:val="single"/>
        </w:rPr>
        <w:t>tarnija</w:t>
      </w:r>
      <w:r w:rsidRPr="009C1E6F">
        <w:rPr>
          <w:rFonts w:ascii="Arial" w:hAnsi="Arial"/>
          <w:sz w:val="22"/>
        </w:rPr>
        <w:t xml:space="preserve"> – </w:t>
      </w:r>
      <w:r w:rsidRPr="009C1E6F">
        <w:rPr>
          <w:rFonts w:ascii="Arial" w:hAnsi="Arial"/>
          <w:color w:val="000000"/>
          <w:sz w:val="22"/>
          <w:shd w:val="clear" w:color="auto" w:fill="FFFFFF"/>
        </w:rPr>
        <w:t>füüsiline või juriidiline isik, avaliku sektori asutus, amet või muu organ, kes tarnib lepingu alusel tehisintellektisüsteemi avaliku sektori organisatsioonile;</w:t>
      </w:r>
    </w:p>
    <w:p w14:paraId="453964DB" w14:textId="77777777" w:rsidR="00DE20B9" w:rsidRPr="009C1E6F" w:rsidRDefault="00DE20B9" w:rsidP="00564A63">
      <w:pPr>
        <w:pStyle w:val="doBullets1"/>
        <w:numPr>
          <w:ilvl w:val="0"/>
          <w:numId w:val="0"/>
        </w:numPr>
        <w:ind w:left="851" w:hanging="851"/>
        <w:rPr>
          <w:rFonts w:ascii="Arial" w:hAnsi="Arial" w:cs="Arial"/>
          <w:sz w:val="22"/>
          <w:szCs w:val="22"/>
        </w:rPr>
      </w:pPr>
    </w:p>
    <w:p w14:paraId="431534B4" w14:textId="3A42F86C" w:rsidR="000F6F09" w:rsidRPr="009C1E6F" w:rsidRDefault="000F6F09" w:rsidP="00564A63">
      <w:pPr>
        <w:pStyle w:val="doBullets1"/>
        <w:numPr>
          <w:ilvl w:val="0"/>
          <w:numId w:val="0"/>
        </w:numPr>
        <w:ind w:left="851" w:hanging="851"/>
        <w:rPr>
          <w:rFonts w:ascii="Arial" w:hAnsi="Arial" w:cs="Arial"/>
          <w:sz w:val="22"/>
          <w:szCs w:val="22"/>
        </w:rPr>
      </w:pPr>
      <w:r w:rsidRPr="009C1E6F">
        <w:rPr>
          <w:rFonts w:ascii="Arial" w:hAnsi="Arial"/>
          <w:sz w:val="22"/>
          <w:u w:val="single"/>
        </w:rPr>
        <w:t>tarnija andmestikud ja kolmandate isikute andmestikud</w:t>
      </w:r>
      <w:r w:rsidRPr="009C1E6F">
        <w:rPr>
          <w:rFonts w:ascii="Arial" w:hAnsi="Arial"/>
          <w:sz w:val="22"/>
        </w:rPr>
        <w:t xml:space="preserve"> – andmestikud (või nende osad), mida ei liigitata avaliku sektori organisatsiooni andmestikeks.</w:t>
      </w:r>
    </w:p>
    <w:p w14:paraId="1F93B595" w14:textId="77777777" w:rsidR="00176170" w:rsidRPr="009C1E6F" w:rsidRDefault="00176170" w:rsidP="000F6F09">
      <w:pPr>
        <w:rPr>
          <w:rFonts w:ascii="Arial" w:hAnsi="Arial" w:cs="Arial"/>
          <w:b/>
          <w:bCs/>
          <w:sz w:val="26"/>
          <w:szCs w:val="26"/>
        </w:rPr>
      </w:pPr>
      <w:r w:rsidRPr="009C1E6F">
        <w:br w:type="page"/>
      </w:r>
    </w:p>
    <w:p w14:paraId="00A9E6F4" w14:textId="77777777" w:rsidR="000F6F09" w:rsidRPr="009C1E6F" w:rsidRDefault="000F6F09" w:rsidP="00A74620">
      <w:pPr>
        <w:spacing w:after="360"/>
        <w:rPr>
          <w:rFonts w:ascii="Arial" w:hAnsi="Arial" w:cs="Arial"/>
          <w:b/>
          <w:bCs/>
          <w:sz w:val="26"/>
          <w:szCs w:val="26"/>
        </w:rPr>
      </w:pPr>
      <w:r w:rsidRPr="009C1E6F">
        <w:rPr>
          <w:rFonts w:ascii="Arial" w:hAnsi="Arial"/>
          <w:b/>
          <w:sz w:val="26"/>
        </w:rPr>
        <w:lastRenderedPageBreak/>
        <w:t xml:space="preserve">B jagu. Tehisintellektisüsteemiga seotud olulised nõuded </w:t>
      </w:r>
    </w:p>
    <w:p w14:paraId="110DDF9B" w14:textId="77777777" w:rsidR="000F6F09" w:rsidRPr="009C1E6F" w:rsidRDefault="000F6F09" w:rsidP="000F6F09">
      <w:pPr>
        <w:pStyle w:val="doLijstnummering7"/>
        <w:rPr>
          <w:rFonts w:ascii="Arial" w:hAnsi="Arial" w:cs="Arial"/>
          <w:sz w:val="22"/>
          <w:szCs w:val="22"/>
        </w:rPr>
      </w:pPr>
      <w:r w:rsidRPr="009C1E6F">
        <w:rPr>
          <w:rFonts w:ascii="Arial" w:hAnsi="Arial"/>
          <w:sz w:val="22"/>
        </w:rPr>
        <w:t>Riskijuhtimissüsteem</w:t>
      </w:r>
    </w:p>
    <w:p w14:paraId="5C48034B" w14:textId="77777777" w:rsidR="000F6F09" w:rsidRPr="009C1E6F" w:rsidRDefault="000F6F09" w:rsidP="000F6F09">
      <w:pPr>
        <w:rPr>
          <w:rFonts w:ascii="Arial" w:hAnsi="Arial" w:cs="Arial"/>
          <w:b/>
          <w:i/>
          <w:sz w:val="22"/>
          <w:szCs w:val="22"/>
        </w:rPr>
      </w:pPr>
    </w:p>
    <w:p w14:paraId="51B32C40" w14:textId="36411ADB" w:rsidR="000F6F09" w:rsidRPr="009C1E6F" w:rsidRDefault="000F6F09" w:rsidP="000F6F09">
      <w:pPr>
        <w:pStyle w:val="doLijstnummering7"/>
        <w:numPr>
          <w:ilvl w:val="1"/>
          <w:numId w:val="6"/>
        </w:numPr>
        <w:rPr>
          <w:rFonts w:ascii="Arial" w:hAnsi="Arial" w:cs="Arial"/>
          <w:sz w:val="22"/>
          <w:szCs w:val="22"/>
        </w:rPr>
      </w:pPr>
      <w:r w:rsidRPr="009C1E6F">
        <w:rPr>
          <w:rFonts w:ascii="Arial" w:hAnsi="Arial"/>
          <w:sz w:val="22"/>
        </w:rPr>
        <w:t xml:space="preserve">Tarnija tagab, et enne tehisintellektisüsteemi tarnimist </w:t>
      </w:r>
      <w:r w:rsidRPr="009C1E6F">
        <w:rPr>
          <w:rFonts w:ascii="Arial" w:hAnsi="Arial"/>
          <w:color w:val="000000"/>
          <w:sz w:val="22"/>
          <w:shd w:val="clear" w:color="auto" w:fill="FFFFFF"/>
        </w:rPr>
        <w:t>luuakse, võetakse kasutusele, dokumenteeritakse ja hoitakse toimivana tehisintellektisüsteemiga seotud riskijuhtimissüsteem.</w:t>
      </w:r>
      <w:r w:rsidRPr="009C1E6F">
        <w:rPr>
          <w:rFonts w:ascii="Arial" w:hAnsi="Arial"/>
          <w:sz w:val="22"/>
        </w:rPr>
        <w:t xml:space="preserve"> </w:t>
      </w:r>
    </w:p>
    <w:p w14:paraId="61B566DE" w14:textId="77777777" w:rsidR="000F6F09" w:rsidRPr="009C1E6F" w:rsidRDefault="000F6F09" w:rsidP="000F6F09">
      <w:pPr>
        <w:pStyle w:val="doLijstnummering7"/>
        <w:numPr>
          <w:ilvl w:val="1"/>
          <w:numId w:val="6"/>
        </w:numPr>
        <w:rPr>
          <w:rFonts w:ascii="Arial" w:hAnsi="Arial" w:cs="Arial"/>
          <w:sz w:val="22"/>
          <w:szCs w:val="22"/>
        </w:rPr>
      </w:pPr>
      <w:r w:rsidRPr="009C1E6F">
        <w:rPr>
          <w:rFonts w:ascii="Arial" w:hAnsi="Arial"/>
          <w:sz w:val="22"/>
          <w:bdr w:val="none" w:sz="0" w:space="0" w:color="auto" w:frame="1"/>
        </w:rPr>
        <w:t>Riskijuhtimissüsteem peab hõlmama vähemalt järgmisi etappe:</w:t>
      </w:r>
    </w:p>
    <w:p w14:paraId="073847C4" w14:textId="4FBB36DE" w:rsidR="000F6F09" w:rsidRPr="009C1E6F" w:rsidRDefault="000F6F09" w:rsidP="000F6F09">
      <w:pPr>
        <w:pStyle w:val="doLijstnummering7"/>
        <w:numPr>
          <w:ilvl w:val="2"/>
          <w:numId w:val="6"/>
        </w:numPr>
        <w:rPr>
          <w:rFonts w:ascii="Arial" w:hAnsi="Arial" w:cs="Arial"/>
          <w:sz w:val="22"/>
          <w:szCs w:val="22"/>
        </w:rPr>
      </w:pPr>
      <w:r w:rsidRPr="009C1E6F">
        <w:rPr>
          <w:rFonts w:ascii="Arial" w:hAnsi="Arial"/>
          <w:sz w:val="22"/>
        </w:rPr>
        <w:t>selliste teadaolevate ja mõistlikult prognoositavate riskide kindlakstegemine, hindamine ja analüüs, mida tehisintellektisüsteem võib kujutada tervisele, ohutusele või põhiõigustele, kui tehisintellektisüsteemi kasutatakse kooskõlas selle sihtotstarbega;</w:t>
      </w:r>
    </w:p>
    <w:p w14:paraId="1525DA03" w14:textId="77777777" w:rsidR="00BC4A48" w:rsidRPr="009C1E6F" w:rsidRDefault="00BC4A48" w:rsidP="000F6F09">
      <w:pPr>
        <w:pStyle w:val="doLijstnummering7"/>
        <w:numPr>
          <w:ilvl w:val="2"/>
          <w:numId w:val="6"/>
        </w:numPr>
        <w:rPr>
          <w:rFonts w:ascii="Arial" w:hAnsi="Arial" w:cs="Arial"/>
          <w:color w:val="000000"/>
          <w:sz w:val="22"/>
          <w:szCs w:val="22"/>
          <w:shd w:val="clear" w:color="auto" w:fill="FFFFFF"/>
        </w:rPr>
      </w:pPr>
      <w:r w:rsidRPr="009C1E6F">
        <w:rPr>
          <w:rFonts w:ascii="Arial" w:hAnsi="Arial"/>
          <w:color w:val="000000"/>
          <w:sz w:val="22"/>
          <w:shd w:val="clear" w:color="auto" w:fill="FFFFFF"/>
        </w:rPr>
        <w:t>selliste riskide prognoosimine ja hindamine, mis võivad tekkida, kui tehisintellektisüsteemi kasutatakse vastavalt selle sihtotstarbele, kuid ka mõistlikult prognoositava väärkasutamise tingimustes;</w:t>
      </w:r>
    </w:p>
    <w:p w14:paraId="68295438" w14:textId="3D0D82CC" w:rsidR="000F6F09" w:rsidRPr="009C1E6F" w:rsidRDefault="000F6F09" w:rsidP="000F6F09">
      <w:pPr>
        <w:pStyle w:val="doLijstnummering7"/>
        <w:numPr>
          <w:ilvl w:val="2"/>
          <w:numId w:val="6"/>
        </w:numPr>
        <w:rPr>
          <w:rFonts w:ascii="Arial" w:hAnsi="Arial" w:cs="Arial"/>
          <w:sz w:val="22"/>
          <w:szCs w:val="22"/>
        </w:rPr>
      </w:pPr>
      <w:r w:rsidRPr="009C1E6F">
        <w:rPr>
          <w:rFonts w:ascii="Arial" w:hAnsi="Arial"/>
          <w:color w:val="000000"/>
          <w:sz w:val="22"/>
          <w:shd w:val="clear" w:color="auto" w:fill="FFFFFF"/>
        </w:rPr>
        <w:t>muude tekkida võivate riskide hindamine turustamisjärgse seire süsteemist saadud andmete analüüsi põhjal;</w:t>
      </w:r>
    </w:p>
    <w:p w14:paraId="1490CBDA" w14:textId="47D4CA33" w:rsidR="000F6F09" w:rsidRPr="009C1E6F" w:rsidRDefault="000F6F09" w:rsidP="000F6F09">
      <w:pPr>
        <w:pStyle w:val="doLijstnummering7"/>
        <w:numPr>
          <w:ilvl w:val="2"/>
          <w:numId w:val="6"/>
        </w:numPr>
        <w:rPr>
          <w:rFonts w:ascii="Arial" w:hAnsi="Arial" w:cs="Arial"/>
          <w:sz w:val="22"/>
          <w:szCs w:val="22"/>
        </w:rPr>
      </w:pPr>
      <w:r w:rsidRPr="009C1E6F">
        <w:rPr>
          <w:rFonts w:ascii="Arial" w:hAnsi="Arial"/>
          <w:color w:val="000000"/>
          <w:sz w:val="22"/>
          <w:shd w:val="clear" w:color="auto" w:fill="FFFFFF"/>
        </w:rPr>
        <w:t>asjakohaste ja sihipäraste riskijuhtimismeetmete vastuvõtmine käesoleva lõike punkti a kohaselt kindlaks tehtud riskide maandamiseks kooskõlas järgmiste lõigetega.</w:t>
      </w:r>
    </w:p>
    <w:p w14:paraId="11E92611" w14:textId="60BA965A" w:rsidR="0026274B" w:rsidRPr="009C1E6F" w:rsidRDefault="0026274B" w:rsidP="0026274B">
      <w:pPr>
        <w:pStyle w:val="doLijstnummering7"/>
        <w:numPr>
          <w:ilvl w:val="1"/>
          <w:numId w:val="6"/>
        </w:numPr>
        <w:rPr>
          <w:rFonts w:ascii="Arial" w:hAnsi="Arial" w:cs="Arial"/>
          <w:sz w:val="22"/>
          <w:szCs w:val="22"/>
        </w:rPr>
      </w:pPr>
      <w:r w:rsidRPr="009C1E6F">
        <w:rPr>
          <w:rFonts w:ascii="Arial" w:hAnsi="Arial"/>
          <w:sz w:val="22"/>
        </w:rPr>
        <w:t xml:space="preserve">Käesolevas artiklis osutatud riskid puudutavad ainult neid riske, mida saab mõistlikult maandada </w:t>
      </w:r>
    </w:p>
    <w:p w14:paraId="386612AC" w14:textId="43462CEB" w:rsidR="0026274B" w:rsidRPr="009C1E6F" w:rsidRDefault="0026274B" w:rsidP="00564A63">
      <w:pPr>
        <w:pStyle w:val="doLijstnummering7"/>
        <w:numPr>
          <w:ilvl w:val="0"/>
          <w:numId w:val="0"/>
        </w:numPr>
        <w:ind w:left="709"/>
        <w:rPr>
          <w:rFonts w:ascii="Arial" w:hAnsi="Arial" w:cs="Arial"/>
          <w:sz w:val="22"/>
          <w:szCs w:val="22"/>
        </w:rPr>
      </w:pPr>
      <w:r w:rsidRPr="009C1E6F">
        <w:rPr>
          <w:rFonts w:ascii="Arial" w:hAnsi="Arial"/>
          <w:sz w:val="22"/>
        </w:rPr>
        <w:t>või kõrvaldada tehisintellektisüsteemi arendamise või projekteerimise või piisava tehnilise teabe esitamise teel.</w:t>
      </w:r>
    </w:p>
    <w:p w14:paraId="2DCC99D1" w14:textId="0B98A71E" w:rsidR="00AE662B" w:rsidRPr="009C1E6F" w:rsidRDefault="003F7670" w:rsidP="000F6F09">
      <w:pPr>
        <w:pStyle w:val="doLijstnummering7"/>
        <w:numPr>
          <w:ilvl w:val="1"/>
          <w:numId w:val="6"/>
        </w:numPr>
        <w:rPr>
          <w:rFonts w:ascii="Arial" w:hAnsi="Arial" w:cs="Arial"/>
          <w:sz w:val="22"/>
          <w:szCs w:val="22"/>
        </w:rPr>
      </w:pPr>
      <w:r w:rsidRPr="009C1E6F">
        <w:rPr>
          <w:rFonts w:ascii="Arial" w:hAnsi="Arial"/>
          <w:sz w:val="22"/>
        </w:rPr>
        <w:t>Käesolevas artiklis osutatud riskide puhul võetakse nõuetekohaselt arvesse B jaos sätestatud nõuete kombineeritud kohaldamisest tulenevat mõju ja võimalikku koostoimet, et riske tõhusamalt minimeerida ning saavutada samal ajal asjakohase tasakaalu nende nõuete täitmiseks vajalike meetmete rakendamisel.</w:t>
      </w:r>
    </w:p>
    <w:p w14:paraId="3EE728AD" w14:textId="322C3EF5" w:rsidR="000F6F09" w:rsidRPr="009C1E6F" w:rsidRDefault="000F6F09" w:rsidP="000F6F09">
      <w:pPr>
        <w:pStyle w:val="doLijstnummering7"/>
        <w:numPr>
          <w:ilvl w:val="1"/>
          <w:numId w:val="6"/>
        </w:numPr>
        <w:rPr>
          <w:rFonts w:ascii="Arial" w:hAnsi="Arial" w:cs="Arial"/>
          <w:sz w:val="22"/>
          <w:szCs w:val="22"/>
        </w:rPr>
      </w:pPr>
      <w:r w:rsidRPr="009C1E6F">
        <w:rPr>
          <w:rFonts w:ascii="Arial" w:hAnsi="Arial"/>
          <w:sz w:val="22"/>
          <w:bdr w:val="none" w:sz="0" w:space="0" w:color="auto" w:frame="1"/>
        </w:rPr>
        <w:t>Lõike 2.2 punktis d osutatud riskijuhtimismeetmed peavad olema sellised, et tarnija käsitab iga ohuga seotud asjakohaseid jääkriske ja tehisintellektisüsteemi üldist jääkriski vastuvõetavana, tingimusel et tehisintellektisüsteemi kasutatakse vastavalt selle sihtotstarbele või mõistlikult prognoositava väärkasutamise tingimustes.</w:t>
      </w:r>
    </w:p>
    <w:p w14:paraId="451046AB" w14:textId="667807DB" w:rsidR="000F6F09" w:rsidRPr="009C1E6F" w:rsidRDefault="000F6F09" w:rsidP="000F6F09">
      <w:pPr>
        <w:pStyle w:val="doLijstnummering7"/>
        <w:numPr>
          <w:ilvl w:val="1"/>
          <w:numId w:val="6"/>
        </w:numPr>
        <w:rPr>
          <w:rFonts w:ascii="Arial" w:hAnsi="Arial" w:cs="Arial"/>
          <w:sz w:val="22"/>
          <w:szCs w:val="22"/>
        </w:rPr>
      </w:pPr>
      <w:r w:rsidRPr="009C1E6F">
        <w:rPr>
          <w:rFonts w:ascii="Arial" w:hAnsi="Arial"/>
          <w:sz w:val="22"/>
          <w:bdr w:val="none" w:sz="0" w:space="0" w:color="auto" w:frame="1"/>
        </w:rPr>
        <w:t>Lõike 2.2 punktis d osutatud kõige asjakohasemate riskijuhtimismeetmete kindlaksmääramisel tagatakse järgmine:</w:t>
      </w:r>
    </w:p>
    <w:p w14:paraId="1C73F573" w14:textId="25D24802" w:rsidR="000F6F09" w:rsidRPr="009C1E6F" w:rsidRDefault="000F6F09" w:rsidP="000F6F09">
      <w:pPr>
        <w:pStyle w:val="doLijstnummering7"/>
        <w:numPr>
          <w:ilvl w:val="2"/>
          <w:numId w:val="6"/>
        </w:numPr>
        <w:rPr>
          <w:rFonts w:ascii="Arial" w:hAnsi="Arial" w:cs="Arial"/>
          <w:sz w:val="22"/>
          <w:szCs w:val="22"/>
        </w:rPr>
      </w:pPr>
      <w:r w:rsidRPr="009C1E6F">
        <w:rPr>
          <w:rFonts w:ascii="Arial" w:hAnsi="Arial"/>
          <w:sz w:val="22"/>
          <w:bdr w:val="none" w:sz="0" w:space="0" w:color="auto" w:frame="1"/>
        </w:rPr>
        <w:t>lõike 2.2 kohaselt kindlaks tehtud ja hinnatud riskide kõrvaldamine või vähendamine niivõrd, kuivõrd see on tehniliselt võimalik tehisintellektisüsteemi sobiva projekteerimise ja arendamise abil;</w:t>
      </w:r>
    </w:p>
    <w:p w14:paraId="279C02C3" w14:textId="0F213A57" w:rsidR="000F6F09" w:rsidRPr="009C1E6F" w:rsidRDefault="000F6F09" w:rsidP="000F6F09">
      <w:pPr>
        <w:pStyle w:val="doLijstnummering7"/>
        <w:numPr>
          <w:ilvl w:val="2"/>
          <w:numId w:val="6"/>
        </w:numPr>
        <w:rPr>
          <w:rFonts w:ascii="Arial" w:hAnsi="Arial" w:cs="Arial"/>
          <w:sz w:val="22"/>
          <w:szCs w:val="22"/>
        </w:rPr>
      </w:pPr>
      <w:r w:rsidRPr="009C1E6F">
        <w:rPr>
          <w:rFonts w:ascii="Arial" w:hAnsi="Arial"/>
          <w:sz w:val="22"/>
          <w:bdr w:val="none" w:sz="0" w:space="0" w:color="auto" w:frame="1"/>
        </w:rPr>
        <w:t>asjakohasel juhul sobivate riskimaandamis- ja kontrollimeetmete rakendamine, et käsitleda selliseid riske, mida ei saa kõrvaldada;</w:t>
      </w:r>
    </w:p>
    <w:p w14:paraId="2722BF58" w14:textId="15946474" w:rsidR="000F6F09" w:rsidRPr="009C1E6F" w:rsidRDefault="000F6F09" w:rsidP="000F6F09">
      <w:pPr>
        <w:pStyle w:val="doLijstnummering7"/>
        <w:numPr>
          <w:ilvl w:val="2"/>
          <w:numId w:val="6"/>
        </w:numPr>
        <w:rPr>
          <w:rFonts w:ascii="Arial" w:hAnsi="Arial" w:cs="Arial"/>
          <w:sz w:val="22"/>
          <w:szCs w:val="22"/>
        </w:rPr>
      </w:pPr>
      <w:r w:rsidRPr="009C1E6F">
        <w:rPr>
          <w:rFonts w:ascii="Arial" w:hAnsi="Arial"/>
          <w:sz w:val="22"/>
          <w:bdr w:val="none" w:sz="0" w:space="0" w:color="auto" w:frame="1"/>
        </w:rPr>
        <w:t>avaliku sektori organisatsioonile piisava teabe andmine ja vajaduse korral juurutajate koolitamine.</w:t>
      </w:r>
    </w:p>
    <w:p w14:paraId="7B1357E6" w14:textId="74A52F18" w:rsidR="000F6F09" w:rsidRPr="009C1E6F" w:rsidRDefault="000F6F09" w:rsidP="000F6F09">
      <w:pPr>
        <w:pStyle w:val="doLijstnummering7"/>
        <w:numPr>
          <w:ilvl w:val="1"/>
          <w:numId w:val="6"/>
        </w:numPr>
        <w:rPr>
          <w:rFonts w:ascii="Arial" w:hAnsi="Arial" w:cs="Arial"/>
          <w:sz w:val="22"/>
          <w:szCs w:val="22"/>
          <w:bdr w:val="none" w:sz="0" w:space="0" w:color="auto" w:frame="1"/>
        </w:rPr>
      </w:pPr>
      <w:r w:rsidRPr="009C1E6F">
        <w:rPr>
          <w:rFonts w:ascii="Arial" w:hAnsi="Arial"/>
          <w:sz w:val="22"/>
        </w:rPr>
        <w:t>Tarnija tagab, et enne tehisintellektisüsteemi tarnimist testitakse seda süsteemi, et kontrollida, kas see vastab suure riskiga tehisintellekti hankimise lepingu tüüptingimustele ja kas lõike 2.2 punktis d osutatud riskijuhtimismeetmed on sihtotstarvet ja mõistlikult prognoositavat väärkasutamist silmas pidades tõhusad.</w:t>
      </w:r>
      <w:r w:rsidRPr="009C1E6F">
        <w:rPr>
          <w:rFonts w:ascii="Arial" w:hAnsi="Arial"/>
          <w:sz w:val="22"/>
          <w:bdr w:val="none" w:sz="0" w:space="0" w:color="auto" w:frame="1"/>
        </w:rPr>
        <w:t xml:space="preserve"> Kui </w:t>
      </w:r>
      <w:r w:rsidRPr="009C1E6F">
        <w:rPr>
          <w:rFonts w:ascii="Arial" w:hAnsi="Arial"/>
          <w:sz w:val="22"/>
          <w:bdr w:val="none" w:sz="0" w:space="0" w:color="auto" w:frame="1"/>
        </w:rPr>
        <w:lastRenderedPageBreak/>
        <w:t xml:space="preserve">avaliku sektori organisatsioon seda nõuab, on tarnija kohustatud testima tehisintellektisüsteemi avaliku sektori organisatsiooni keskkonnas. </w:t>
      </w:r>
    </w:p>
    <w:p w14:paraId="302016F4" w14:textId="77777777" w:rsidR="00EF0D2A" w:rsidRPr="009C1E6F" w:rsidRDefault="00EF0D2A" w:rsidP="000F6F09">
      <w:pPr>
        <w:pStyle w:val="doLijstnummering7"/>
        <w:numPr>
          <w:ilvl w:val="1"/>
          <w:numId w:val="6"/>
        </w:numPr>
        <w:rPr>
          <w:rFonts w:ascii="Arial" w:hAnsi="Arial" w:cs="Arial"/>
          <w:sz w:val="22"/>
          <w:szCs w:val="22"/>
          <w:bdr w:val="none" w:sz="0" w:space="0" w:color="auto" w:frame="1"/>
        </w:rPr>
      </w:pPr>
      <w:r w:rsidRPr="009C1E6F">
        <w:rPr>
          <w:rFonts w:ascii="Arial" w:hAnsi="Arial"/>
          <w:sz w:val="22"/>
          <w:bdr w:val="none" w:sz="0" w:space="0" w:color="auto" w:frame="1"/>
        </w:rPr>
        <w:t>Tehisintellektisüsteemi testitakse vajaduse korral mis tahes ajal kogu arendusprotsessi jooksul ja igal juhul enne tarnimist. Testimiseks kasutatakse eelnevalt kindlaks määratud parameetreid ja tõenäosuskünniseid, mis on tehisintellektisüsteemi sihtotstarbe seisukohast sobivad.</w:t>
      </w:r>
    </w:p>
    <w:p w14:paraId="5A1D66FB" w14:textId="77777777" w:rsidR="000F6F09" w:rsidRPr="009C1E6F" w:rsidRDefault="000F6F09" w:rsidP="000F6F09">
      <w:pPr>
        <w:pStyle w:val="doLijstnummering7"/>
        <w:numPr>
          <w:ilvl w:val="1"/>
          <w:numId w:val="6"/>
        </w:numPr>
        <w:rPr>
          <w:rFonts w:ascii="Arial" w:hAnsi="Arial" w:cs="Arial"/>
          <w:sz w:val="22"/>
          <w:szCs w:val="22"/>
          <w:bdr w:val="none" w:sz="0" w:space="0" w:color="auto" w:frame="1"/>
        </w:rPr>
      </w:pPr>
      <w:r w:rsidRPr="009C1E6F">
        <w:rPr>
          <w:rFonts w:ascii="Arial" w:hAnsi="Arial"/>
          <w:sz w:val="22"/>
          <w:bdr w:val="none" w:sz="0" w:space="0" w:color="auto" w:frame="1"/>
        </w:rPr>
        <w:t>Tarnija peab dokumenteerima kõik käesoleva artikli järgimisega seoses tuvastatud riskid, võetud meetmed ja tehtud testid. Tarnija peab tegema vastavad dokumendid avaliku sektori organisatsioonile kättesaadavaks vähemalt tehisintellektisüsteemi tarnimise ajal. Need dokumendid võivad olla osa tehnilisest dokumentatsioonist ja/või kasutusjuhendist.</w:t>
      </w:r>
    </w:p>
    <w:p w14:paraId="35048AF1" w14:textId="11810C17" w:rsidR="000F6F09" w:rsidRPr="009C1E6F" w:rsidRDefault="000F6F09" w:rsidP="000F6F09">
      <w:pPr>
        <w:pStyle w:val="doLijstnummering7"/>
        <w:numPr>
          <w:ilvl w:val="1"/>
          <w:numId w:val="6"/>
        </w:numPr>
        <w:rPr>
          <w:rFonts w:ascii="Arial" w:hAnsi="Arial" w:cs="Arial"/>
          <w:sz w:val="22"/>
          <w:szCs w:val="22"/>
          <w:bdr w:val="none" w:sz="0" w:space="0" w:color="auto" w:frame="1"/>
        </w:rPr>
      </w:pPr>
      <w:r w:rsidRPr="009C1E6F">
        <w:rPr>
          <w:rFonts w:ascii="Arial" w:hAnsi="Arial"/>
          <w:sz w:val="22"/>
          <w:bdr w:val="none" w:sz="0" w:space="0" w:color="auto" w:frame="1"/>
        </w:rPr>
        <w:t>Riskijuhtimissüsteemi käsitatakse pideva ja korduva protsessina, mida kavandatakse ja rakendatakse lepingu kogu kehtivusaja jooksul. Seetõttu peab tarnija pärast tehisintellektisüsteemi tarnimist tegema järgmist:</w:t>
      </w:r>
    </w:p>
    <w:p w14:paraId="0A531EA3" w14:textId="720061C7" w:rsidR="000F6F09" w:rsidRPr="009C1E6F" w:rsidRDefault="000F6F09" w:rsidP="000F6F09">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 xml:space="preserve">riskijuhtimisprotsessi regulaarselt läbi vaatama ja ajakohastama, et tagada selle jätkuv tõhusus; </w:t>
      </w:r>
    </w:p>
    <w:p w14:paraId="31CB19F3" w14:textId="1E78F77E" w:rsidR="000F6F09" w:rsidRPr="009C1E6F" w:rsidRDefault="000F6F09" w:rsidP="000F6F09">
      <w:pPr>
        <w:pStyle w:val="doLijstnummering7"/>
        <w:numPr>
          <w:ilvl w:val="2"/>
          <w:numId w:val="6"/>
        </w:numPr>
        <w:rPr>
          <w:rFonts w:ascii="Arial" w:hAnsi="Arial" w:cs="Arial"/>
          <w:sz w:val="22"/>
          <w:szCs w:val="22"/>
          <w:bdr w:val="none" w:sz="0" w:space="0" w:color="auto" w:frame="1"/>
        </w:rPr>
      </w:pPr>
      <w:r w:rsidRPr="009C1E6F">
        <w:rPr>
          <w:rFonts w:ascii="Arial" w:hAnsi="Arial"/>
          <w:sz w:val="22"/>
        </w:rPr>
        <w:t>ajakohastama lõikes 2.7 osutatud dokumentatsiooni</w:t>
      </w:r>
      <w:r w:rsidRPr="009C1E6F">
        <w:rPr>
          <w:rFonts w:ascii="Arial" w:hAnsi="Arial"/>
          <w:sz w:val="22"/>
          <w:bdr w:val="none" w:sz="0" w:space="0" w:color="auto" w:frame="1"/>
        </w:rPr>
        <w:t xml:space="preserve"> ja</w:t>
      </w:r>
    </w:p>
    <w:p w14:paraId="57AF44BC" w14:textId="21BB6F6C" w:rsidR="000F6F09" w:rsidRPr="009C1E6F" w:rsidRDefault="000F6F09" w:rsidP="000F6F09">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tegema kõik lõikes 2.7 osutatud dokumentide uued versioonid avaliku sektori organisatsioonile viivitamata kättesaadavaks.</w:t>
      </w:r>
    </w:p>
    <w:p w14:paraId="79ECC8BE" w14:textId="77777777" w:rsidR="000F6F09" w:rsidRPr="009C1E6F" w:rsidRDefault="000F6F09" w:rsidP="000F6F09">
      <w:pPr>
        <w:pStyle w:val="doLijstnummering7"/>
        <w:numPr>
          <w:ilvl w:val="1"/>
          <w:numId w:val="6"/>
        </w:numPr>
        <w:rPr>
          <w:rFonts w:ascii="Arial" w:hAnsi="Arial" w:cs="Arial"/>
          <w:sz w:val="22"/>
          <w:szCs w:val="22"/>
          <w:bdr w:val="none" w:sz="0" w:space="0" w:color="auto" w:frame="1"/>
        </w:rPr>
      </w:pPr>
      <w:r w:rsidRPr="009C1E6F">
        <w:rPr>
          <w:rFonts w:ascii="Arial" w:hAnsi="Arial"/>
          <w:sz w:val="22"/>
          <w:bdr w:val="none" w:sz="0" w:space="0" w:color="auto" w:frame="1"/>
        </w:rPr>
        <w:t>Kui tarnija seda riskijuhtimissüsteemi nõuetekohaseks rakendamiseks põhjendatult vajab, annab avaliku sektori organisatsioon tarnijale viimase nõudmisel teavet, mis ei ole konfidentsiaalne.</w:t>
      </w:r>
    </w:p>
    <w:p w14:paraId="0BDE292C" w14:textId="0ACBE7FC" w:rsidR="000F6F09" w:rsidRPr="009C1E6F" w:rsidRDefault="000F6F09" w:rsidP="000F6F09">
      <w:pPr>
        <w:pStyle w:val="doLijstnummering7"/>
        <w:numPr>
          <w:ilvl w:val="1"/>
          <w:numId w:val="6"/>
        </w:numPr>
        <w:rPr>
          <w:rFonts w:ascii="Arial" w:hAnsi="Arial" w:cs="Arial"/>
          <w:sz w:val="22"/>
          <w:szCs w:val="22"/>
          <w:bdr w:val="none" w:sz="0" w:space="0" w:color="auto" w:frame="1"/>
        </w:rPr>
      </w:pPr>
      <w:r w:rsidRPr="009C1E6F">
        <w:rPr>
          <w:rFonts w:ascii="Arial" w:hAnsi="Arial"/>
          <w:b/>
          <w:sz w:val="22"/>
          <w:bdr w:val="none" w:sz="0" w:space="0" w:color="auto" w:frame="1"/>
        </w:rPr>
        <w:t>&lt;Vabatahtlik&gt;</w:t>
      </w:r>
      <w:r w:rsidRPr="009C1E6F">
        <w:rPr>
          <w:rFonts w:ascii="Arial" w:hAnsi="Arial"/>
          <w:sz w:val="22"/>
          <w:bdr w:val="none" w:sz="0" w:space="0" w:color="auto" w:frame="1"/>
        </w:rPr>
        <w:t xml:space="preserve"> Kui avaliku sektori organisatsioon jätkab tehisintellektisüsteemi kasutamist ka pärast lepingu kehtivusaja lõppu, esitab tarnija avaliku sektori organisatsioonile lepingu kehtivusaja lõpus teabe, mis on vajalik riskijuhtimissüsteemi toimivana hoidmiseks.</w:t>
      </w:r>
    </w:p>
    <w:p w14:paraId="64DE321B" w14:textId="77777777" w:rsidR="000F6F09" w:rsidRPr="009C1E6F" w:rsidRDefault="000F6F09" w:rsidP="000F6F09">
      <w:pPr>
        <w:pStyle w:val="doLijstnummering7"/>
        <w:numPr>
          <w:ilvl w:val="0"/>
          <w:numId w:val="0"/>
        </w:numPr>
        <w:ind w:left="851" w:hanging="851"/>
      </w:pPr>
    </w:p>
    <w:p w14:paraId="3B352DB2" w14:textId="101F80D1" w:rsidR="000F6F09" w:rsidRPr="009C1E6F" w:rsidRDefault="000F6F09" w:rsidP="000F6F09">
      <w:pPr>
        <w:pStyle w:val="doLijstnummering7"/>
        <w:rPr>
          <w:rFonts w:ascii="Arial" w:hAnsi="Arial" w:cs="Arial"/>
          <w:sz w:val="22"/>
          <w:szCs w:val="22"/>
        </w:rPr>
      </w:pPr>
      <w:r w:rsidRPr="009C1E6F">
        <w:rPr>
          <w:rFonts w:ascii="Arial" w:hAnsi="Arial"/>
          <w:b/>
          <w:sz w:val="22"/>
        </w:rPr>
        <w:t>&lt;Artikkel 3 on asjakohane üksnes tehisintellektisüsteemide puhul, milles kasutatakse meetodeid, mis hõlmavad mudelite treenimist andmetega. Artikkel 3 eeldab, et tarnijal (või tema alltöövõtjatel) on täielik juurdepääs andmestikele. Kui andmestikud on üksnes avaliku sektori organisatsiooni valduses, tuleb sõlmida teistsugused kokkulepped.&gt;</w:t>
      </w:r>
      <w:r w:rsidRPr="009C1E6F">
        <w:rPr>
          <w:rFonts w:ascii="Arial" w:hAnsi="Arial"/>
          <w:sz w:val="22"/>
        </w:rPr>
        <w:t xml:space="preserve"> Andmed ja andmehaldus</w:t>
      </w:r>
    </w:p>
    <w:p w14:paraId="0226D11F" w14:textId="77777777" w:rsidR="000F6F09" w:rsidRPr="009C1E6F" w:rsidRDefault="000F6F09" w:rsidP="000F6F09">
      <w:pPr>
        <w:pStyle w:val="doLijstnummering7"/>
        <w:numPr>
          <w:ilvl w:val="0"/>
          <w:numId w:val="0"/>
        </w:numPr>
        <w:ind w:left="851"/>
        <w:rPr>
          <w:rFonts w:ascii="Arial" w:hAnsi="Arial" w:cs="Arial"/>
          <w:sz w:val="22"/>
          <w:szCs w:val="22"/>
        </w:rPr>
      </w:pPr>
    </w:p>
    <w:p w14:paraId="2631425E" w14:textId="6E51E1A3" w:rsidR="000F6F09" w:rsidRPr="009C1E6F" w:rsidRDefault="000F6F09" w:rsidP="000F6F09">
      <w:pPr>
        <w:pStyle w:val="doLijstnummering7"/>
        <w:numPr>
          <w:ilvl w:val="1"/>
          <w:numId w:val="6"/>
        </w:numPr>
        <w:rPr>
          <w:rFonts w:ascii="Arial" w:hAnsi="Arial" w:cs="Arial"/>
          <w:sz w:val="22"/>
          <w:szCs w:val="22"/>
        </w:rPr>
      </w:pPr>
      <w:r w:rsidRPr="009C1E6F">
        <w:rPr>
          <w:rFonts w:ascii="Arial" w:hAnsi="Arial"/>
          <w:sz w:val="22"/>
        </w:rPr>
        <w:t>Tarnija tagab, et tehisintellektisüsteemi väljatöötamisel, sealhulgas treenimisel, valideerimisel ja testimisel kasutatavate andmestike suhtes on kohaldatud ja kohaldatakse andmehaldust ja juhtimistavasid, mis vastavad tehisintellektisüsteemi sihtotstarbele. Asjaomased meetmed puudutavad eeskätt järgmist:</w:t>
      </w:r>
    </w:p>
    <w:p w14:paraId="09A35132" w14:textId="77777777" w:rsidR="000F6F09" w:rsidRPr="009C1E6F" w:rsidRDefault="000F6F09" w:rsidP="000F6F09">
      <w:pPr>
        <w:pStyle w:val="doLijstnummering7"/>
        <w:numPr>
          <w:ilvl w:val="2"/>
          <w:numId w:val="6"/>
        </w:numPr>
        <w:rPr>
          <w:rFonts w:ascii="Arial" w:hAnsi="Arial" w:cs="Arial"/>
          <w:sz w:val="22"/>
          <w:szCs w:val="22"/>
        </w:rPr>
      </w:pPr>
      <w:r w:rsidRPr="009C1E6F">
        <w:rPr>
          <w:rFonts w:ascii="Arial" w:hAnsi="Arial"/>
          <w:sz w:val="22"/>
        </w:rPr>
        <w:t>asjakohased projekteerimise käigus tehtavad valikud;</w:t>
      </w:r>
    </w:p>
    <w:p w14:paraId="596E9F76" w14:textId="17DACB24" w:rsidR="00EF0D2A" w:rsidRPr="009C1E6F" w:rsidRDefault="00EF0D2A" w:rsidP="00EF0D2A">
      <w:pPr>
        <w:pStyle w:val="doLijstnummering7"/>
        <w:numPr>
          <w:ilvl w:val="2"/>
          <w:numId w:val="6"/>
        </w:numPr>
        <w:rPr>
          <w:rFonts w:ascii="Arial" w:hAnsi="Arial" w:cs="Arial"/>
          <w:sz w:val="22"/>
          <w:szCs w:val="22"/>
        </w:rPr>
      </w:pPr>
      <w:r w:rsidRPr="009C1E6F">
        <w:rPr>
          <w:rFonts w:ascii="Arial" w:hAnsi="Arial"/>
          <w:sz w:val="22"/>
        </w:rPr>
        <w:t>andmete kogumise protsessid ja andmete päritolu ning isikuandmete puhul andmete kogumise algne eesmärk;</w:t>
      </w:r>
    </w:p>
    <w:p w14:paraId="16B9E709" w14:textId="77777777" w:rsidR="000F6F09" w:rsidRPr="009C1E6F" w:rsidRDefault="00BB3419" w:rsidP="000F6F09">
      <w:pPr>
        <w:pStyle w:val="doLijstnummering7"/>
        <w:numPr>
          <w:ilvl w:val="2"/>
          <w:numId w:val="6"/>
        </w:numPr>
        <w:rPr>
          <w:rFonts w:ascii="Arial" w:hAnsi="Arial" w:cs="Arial"/>
          <w:sz w:val="22"/>
          <w:szCs w:val="22"/>
        </w:rPr>
      </w:pPr>
      <w:r w:rsidRPr="009C1E6F">
        <w:rPr>
          <w:rFonts w:ascii="Arial" w:hAnsi="Arial"/>
          <w:sz w:val="22"/>
        </w:rPr>
        <w:t>andmevalmenduseks tehtavad asjakohased töötlemistoimingud, näiteks kommenteerimine, märgendamine, puhastamine, ajakohastamine, rikastamine ja koondamine;</w:t>
      </w:r>
    </w:p>
    <w:p w14:paraId="4744A88C" w14:textId="0CBF6A1B" w:rsidR="00137BC0" w:rsidRPr="009C1E6F" w:rsidRDefault="000F6F09" w:rsidP="00564A63">
      <w:pPr>
        <w:pStyle w:val="doLijstnummering7"/>
        <w:numPr>
          <w:ilvl w:val="2"/>
          <w:numId w:val="6"/>
        </w:numPr>
        <w:rPr>
          <w:rFonts w:ascii="Arial" w:hAnsi="Arial" w:cs="Arial"/>
          <w:sz w:val="22"/>
          <w:szCs w:val="22"/>
        </w:rPr>
      </w:pPr>
      <w:r w:rsidRPr="009C1E6F">
        <w:rPr>
          <w:rFonts w:ascii="Arial" w:hAnsi="Arial"/>
          <w:sz w:val="22"/>
        </w:rPr>
        <w:t>eelduste sõnastamine seoses teabega, mida andmed peaksid mõõtma ja kajastama;</w:t>
      </w:r>
    </w:p>
    <w:p w14:paraId="0F0B2619" w14:textId="26564662" w:rsidR="00137BC0" w:rsidRPr="009C1E6F" w:rsidRDefault="00BB3419" w:rsidP="00137BC0">
      <w:pPr>
        <w:pStyle w:val="doLijstnummering7"/>
        <w:numPr>
          <w:ilvl w:val="2"/>
          <w:numId w:val="6"/>
        </w:numPr>
        <w:rPr>
          <w:rFonts w:ascii="Arial" w:hAnsi="Arial" w:cs="Arial"/>
          <w:sz w:val="22"/>
          <w:szCs w:val="22"/>
        </w:rPr>
      </w:pPr>
      <w:r w:rsidRPr="009C1E6F">
        <w:rPr>
          <w:rFonts w:ascii="Arial" w:hAnsi="Arial"/>
          <w:sz w:val="22"/>
        </w:rPr>
        <w:lastRenderedPageBreak/>
        <w:t>vajalike andmestike kättesaadavuse, koguste ja sobivuse hindamine;</w:t>
      </w:r>
    </w:p>
    <w:p w14:paraId="2D9E0809" w14:textId="099BCBC9" w:rsidR="000F6F09" w:rsidRPr="009C1E6F" w:rsidRDefault="000F6F09" w:rsidP="00564A63">
      <w:pPr>
        <w:pStyle w:val="doLijstnummering7"/>
        <w:numPr>
          <w:ilvl w:val="2"/>
          <w:numId w:val="6"/>
        </w:numPr>
        <w:rPr>
          <w:rFonts w:ascii="Arial" w:hAnsi="Arial" w:cs="Arial"/>
          <w:sz w:val="22"/>
          <w:szCs w:val="22"/>
        </w:rPr>
      </w:pPr>
      <w:r w:rsidRPr="009C1E6F">
        <w:rPr>
          <w:rFonts w:ascii="Arial" w:hAnsi="Arial"/>
          <w:sz w:val="22"/>
        </w:rPr>
        <w:t>läbivaatamine, pidades silmas võimalikku kallutatust, mis tõenäoliselt mõjutab inimeste tervist ja ohutust, mõjub negatiivselt põhiõigustele või põhjustab diskrimineerimist, mis on liidu õigusega keelatud, eelkõige kui andmeväljundid mõjutavad tulevaste toimingute sisendeid;</w:t>
      </w:r>
    </w:p>
    <w:p w14:paraId="22A71AF6" w14:textId="77777777" w:rsidR="000F6F09" w:rsidRPr="009C1E6F" w:rsidRDefault="000F6F09" w:rsidP="000F6F09">
      <w:pPr>
        <w:pStyle w:val="doLijstnummering7"/>
        <w:numPr>
          <w:ilvl w:val="2"/>
          <w:numId w:val="6"/>
        </w:numPr>
        <w:rPr>
          <w:rFonts w:ascii="Arial" w:hAnsi="Arial" w:cs="Arial"/>
          <w:sz w:val="22"/>
          <w:szCs w:val="22"/>
        </w:rPr>
      </w:pPr>
      <w:r w:rsidRPr="009C1E6F">
        <w:rPr>
          <w:rFonts w:ascii="Arial" w:hAnsi="Arial"/>
          <w:sz w:val="22"/>
        </w:rPr>
        <w:t>asjakohased meetmed punkti f kohaselt kindlaks tehtud võimaliku kallutatuse avastamiseks, ennetamiseks ja leevendamiseks;</w:t>
      </w:r>
    </w:p>
    <w:p w14:paraId="7FC21319" w14:textId="56D6D665" w:rsidR="000F6F09" w:rsidRPr="009C1E6F" w:rsidRDefault="000F6F09" w:rsidP="000F6F09">
      <w:pPr>
        <w:pStyle w:val="doLijstnummering7"/>
        <w:numPr>
          <w:ilvl w:val="2"/>
          <w:numId w:val="6"/>
        </w:numPr>
        <w:rPr>
          <w:rFonts w:ascii="Arial" w:hAnsi="Arial" w:cs="Arial"/>
          <w:sz w:val="22"/>
          <w:szCs w:val="22"/>
        </w:rPr>
      </w:pPr>
      <w:r w:rsidRPr="009C1E6F">
        <w:rPr>
          <w:rFonts w:ascii="Arial" w:hAnsi="Arial"/>
          <w:sz w:val="22"/>
        </w:rPr>
        <w:t>käesolevate suure riskiga tehisintellekti hankimise lepingu tüüptingimuste täitmist takistavate asjakohaste andmelünkade või puuduste ning nende lünkade ja puuduste kõrvaldamise võimaluste kindlakstegemine.</w:t>
      </w:r>
    </w:p>
    <w:p w14:paraId="5363AE13" w14:textId="4EF6339D" w:rsidR="000F6F09" w:rsidRPr="009C1E6F" w:rsidRDefault="000F6F09" w:rsidP="000F6F09">
      <w:pPr>
        <w:pStyle w:val="doLijstnummering7"/>
        <w:numPr>
          <w:ilvl w:val="1"/>
          <w:numId w:val="6"/>
        </w:numPr>
        <w:rPr>
          <w:rFonts w:ascii="Arial" w:hAnsi="Arial" w:cs="Arial"/>
          <w:sz w:val="22"/>
          <w:szCs w:val="22"/>
        </w:rPr>
      </w:pPr>
      <w:r w:rsidRPr="009C1E6F">
        <w:rPr>
          <w:rFonts w:ascii="Arial" w:hAnsi="Arial"/>
          <w:sz w:val="22"/>
        </w:rPr>
        <w:t>Tarnija tagab, et tehisintellektisüsteemi väljatöötamisel kasutatavad andmestikud on süsteemi sihtotstarvet silmas pidades asjakohased, piisavalt representatiivsed, võimalikult suures ulatuses vigadeta ja täielikud.</w:t>
      </w:r>
      <w:r w:rsidRPr="009C1E6F">
        <w:rPr>
          <w:rFonts w:ascii="Arial" w:hAnsi="Arial"/>
          <w:sz w:val="22"/>
          <w:bdr w:val="none" w:sz="0" w:space="0" w:color="auto" w:frame="1"/>
        </w:rPr>
        <w:t xml:space="preserve"> Tarnija tagab, et andmestikel on asjakohased statistilised omadused, sealhulgas kohaldataval juhul seoses isikute või isikute rühmadega, kelle suhtes kavatsetakse tehisintellektisüsteemi kasutada. Need andmestike omadused peavad olema tagatud üksikute andmestike või nende kombinatsiooni tasandil.</w:t>
      </w:r>
    </w:p>
    <w:p w14:paraId="321A02D1" w14:textId="56EFC739" w:rsidR="000F6F09" w:rsidRPr="009C1E6F" w:rsidRDefault="000F6F09" w:rsidP="000F6F09">
      <w:pPr>
        <w:pStyle w:val="doLijstnummering7"/>
        <w:numPr>
          <w:ilvl w:val="1"/>
          <w:numId w:val="6"/>
        </w:numPr>
        <w:rPr>
          <w:rFonts w:ascii="Arial" w:hAnsi="Arial" w:cs="Arial"/>
          <w:sz w:val="22"/>
          <w:szCs w:val="22"/>
        </w:rPr>
      </w:pPr>
      <w:r w:rsidRPr="009C1E6F">
        <w:rPr>
          <w:rFonts w:ascii="Arial" w:hAnsi="Arial"/>
          <w:sz w:val="22"/>
        </w:rPr>
        <w:t>Tarnija tagab, et tehisintellektisüsteemi väljatöötamisel kasutatavate andmestike puhul võetakse süsteemi sihtotstarbest või mõistlikult prognoositavast väärkasutamisest tulenevas vajalikus ulatuses arvesse omadusi või elemente, mis on iseloomulikud konkreetsele geograafilisele, kontekstuaalsele, käitumuslikule või funktsionaalsele keskkonnale, kus tehisintellektisüsteemi kavatsetakse kasutada.</w:t>
      </w:r>
    </w:p>
    <w:p w14:paraId="2AEAE5B1" w14:textId="77777777" w:rsidR="000F6F09" w:rsidRPr="009C1E6F" w:rsidRDefault="000F6F09" w:rsidP="000F6F09">
      <w:pPr>
        <w:pStyle w:val="doLijstnummering7"/>
        <w:numPr>
          <w:ilvl w:val="1"/>
          <w:numId w:val="6"/>
        </w:numPr>
        <w:rPr>
          <w:rFonts w:ascii="Arial" w:hAnsi="Arial" w:cs="Arial"/>
          <w:sz w:val="22"/>
          <w:szCs w:val="22"/>
        </w:rPr>
      </w:pPr>
      <w:r w:rsidRPr="009C1E6F">
        <w:rPr>
          <w:rFonts w:ascii="Arial" w:hAnsi="Arial"/>
          <w:sz w:val="22"/>
          <w:bdr w:val="none" w:sz="0" w:space="0" w:color="auto" w:frame="1"/>
        </w:rPr>
        <w:t>Käesolevast artiklist tulenevaid kohustusi ei kohaldata mitte ainult tehisintellektisüsteemi väljatöötamise suhtes enne selle tarnimist, vaid ka tarnijapoolse andmestike kasutamise suhtes, mis võib mõjutada tehisintellektisüsteemi toimimist mis tahes muul ajal lepingu kehtivusaja jooksul.</w:t>
      </w:r>
    </w:p>
    <w:p w14:paraId="77709FDD" w14:textId="77777777" w:rsidR="00D170E9" w:rsidRPr="009C1E6F" w:rsidRDefault="00D170E9" w:rsidP="00564A63">
      <w:pPr>
        <w:pStyle w:val="doLijstnummering7"/>
        <w:numPr>
          <w:ilvl w:val="0"/>
          <w:numId w:val="0"/>
        </w:numPr>
        <w:ind w:left="709"/>
        <w:rPr>
          <w:rFonts w:ascii="Arial" w:hAnsi="Arial" w:cs="Arial"/>
          <w:sz w:val="22"/>
          <w:szCs w:val="22"/>
        </w:rPr>
      </w:pPr>
    </w:p>
    <w:p w14:paraId="107A8202" w14:textId="77777777" w:rsidR="000F6F09" w:rsidRPr="009C1E6F" w:rsidRDefault="000F6F09" w:rsidP="000F6F09">
      <w:pPr>
        <w:rPr>
          <w:rFonts w:ascii="Arial" w:hAnsi="Arial" w:cs="Arial"/>
          <w:sz w:val="22"/>
          <w:szCs w:val="22"/>
          <w:lang w:eastAsia="en-GB"/>
        </w:rPr>
      </w:pPr>
    </w:p>
    <w:p w14:paraId="46DA3DE0" w14:textId="77777777" w:rsidR="00CE2EF9" w:rsidRPr="009C1E6F" w:rsidRDefault="00CE2EF9" w:rsidP="00CE2EF9">
      <w:pPr>
        <w:pStyle w:val="doLijstnummering7"/>
        <w:rPr>
          <w:rFonts w:ascii="Arial" w:hAnsi="Arial" w:cs="Arial"/>
          <w:sz w:val="22"/>
          <w:szCs w:val="22"/>
        </w:rPr>
      </w:pPr>
      <w:r w:rsidRPr="009C1E6F">
        <w:rPr>
          <w:rFonts w:ascii="Arial" w:hAnsi="Arial"/>
          <w:sz w:val="22"/>
        </w:rPr>
        <w:t>Tehniline dokumentatsioon ja kasutusjuhend</w:t>
      </w:r>
    </w:p>
    <w:p w14:paraId="3D84883A" w14:textId="77777777" w:rsidR="00CE2EF9" w:rsidRPr="009C1E6F" w:rsidRDefault="00CE2EF9" w:rsidP="00CE2EF9">
      <w:pPr>
        <w:pStyle w:val="doLijstnummering7"/>
        <w:numPr>
          <w:ilvl w:val="0"/>
          <w:numId w:val="0"/>
        </w:numPr>
        <w:ind w:left="851"/>
        <w:rPr>
          <w:rFonts w:ascii="Arial" w:hAnsi="Arial" w:cs="Arial"/>
          <w:sz w:val="22"/>
          <w:szCs w:val="22"/>
        </w:rPr>
      </w:pPr>
    </w:p>
    <w:p w14:paraId="206AE859"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Tehisintellektisüsteemi </w:t>
      </w:r>
      <w:r w:rsidRPr="009C1E6F">
        <w:rPr>
          <w:rFonts w:ascii="Arial" w:hAnsi="Arial"/>
          <w:sz w:val="22"/>
          <w:bdr w:val="none" w:sz="0" w:space="0" w:color="auto" w:frame="1"/>
        </w:rPr>
        <w:t xml:space="preserve">tarnimine </w:t>
      </w:r>
      <w:r w:rsidRPr="009C1E6F">
        <w:rPr>
          <w:rFonts w:ascii="Arial" w:hAnsi="Arial"/>
          <w:sz w:val="22"/>
        </w:rPr>
        <w:t>hõlmab tehnilise dokumentatsiooni ja kasutusjuhendi üleandmist tarnija poolt.</w:t>
      </w:r>
    </w:p>
    <w:p w14:paraId="4060588D" w14:textId="536D7596"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Tehniline dokumentatsioon peab võimaldama avaliku sektori organisatsioonil või kolmandal isikul hinnata tehisintellektisüsteemi vastavust käesolevates suure riskiga tehisintellekti hankimise lepingu tüüptingimustes sätestatud nõuetele ja olema kooskõlas vähemalt </w:t>
      </w:r>
      <w:r w:rsidRPr="009C1E6F">
        <w:rPr>
          <w:rFonts w:ascii="Arial" w:hAnsi="Arial"/>
          <w:b/>
          <w:sz w:val="22"/>
        </w:rPr>
        <w:t>C lisas</w:t>
      </w:r>
      <w:r w:rsidRPr="009C1E6F">
        <w:rPr>
          <w:rFonts w:ascii="Arial" w:hAnsi="Arial"/>
          <w:sz w:val="22"/>
        </w:rPr>
        <w:t xml:space="preserve"> kirjeldatud tingimustega. </w:t>
      </w:r>
    </w:p>
    <w:p w14:paraId="4B31F83B"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Kasutusjuhend peab sisaldama </w:t>
      </w:r>
      <w:r w:rsidRPr="009C1E6F">
        <w:rPr>
          <w:rFonts w:ascii="Arial" w:hAnsi="Arial"/>
          <w:color w:val="000000"/>
          <w:sz w:val="22"/>
          <w:shd w:val="clear" w:color="auto" w:fill="FFFFFF"/>
        </w:rPr>
        <w:t xml:space="preserve">kokkuvõtlikku, täielikku, täpset ja selget teavet, mis on avaliku sektori organisatsioonile oluline, juurdepääsetav ja mõistetav. Kasutusjuhend peab vastama vähemalt </w:t>
      </w:r>
      <w:r w:rsidRPr="009C1E6F">
        <w:rPr>
          <w:rFonts w:ascii="Arial" w:hAnsi="Arial"/>
          <w:b/>
          <w:color w:val="000000"/>
          <w:sz w:val="22"/>
          <w:shd w:val="clear" w:color="auto" w:fill="FFFFFF"/>
        </w:rPr>
        <w:t>D lisas</w:t>
      </w:r>
      <w:r w:rsidRPr="009C1E6F">
        <w:rPr>
          <w:rFonts w:ascii="Arial" w:hAnsi="Arial"/>
          <w:sz w:val="22"/>
        </w:rPr>
        <w:t xml:space="preserve"> kirjeldatud tingimustele.</w:t>
      </w:r>
    </w:p>
    <w:p w14:paraId="570CD58F" w14:textId="137F2359" w:rsidR="00CE2EF9" w:rsidRPr="009C1E6F" w:rsidRDefault="00CE2EF9" w:rsidP="00CE2EF9">
      <w:pPr>
        <w:pStyle w:val="doLijstnummering7"/>
        <w:numPr>
          <w:ilvl w:val="1"/>
          <w:numId w:val="6"/>
        </w:numPr>
        <w:rPr>
          <w:rFonts w:ascii="Arial" w:hAnsi="Arial" w:cs="Arial"/>
          <w:sz w:val="22"/>
          <w:szCs w:val="22"/>
          <w:bdr w:val="none" w:sz="0" w:space="0" w:color="auto" w:frame="1"/>
        </w:rPr>
      </w:pPr>
      <w:r w:rsidRPr="009C1E6F">
        <w:rPr>
          <w:rFonts w:ascii="Arial" w:hAnsi="Arial"/>
          <w:sz w:val="22"/>
        </w:rPr>
        <w:t>Tarnija peab neid dokumente ajakohastama vähemalt iga olulise muudatuse tegemisel lepingu kehtivusaja jooksul ja seejärel tegema need avaliku sektori organisatsioonile kättesaadavaks.</w:t>
      </w:r>
    </w:p>
    <w:p w14:paraId="2269BEE5" w14:textId="76F75F0F" w:rsidR="00CE2EF9" w:rsidRPr="009C1E6F" w:rsidRDefault="0012712E" w:rsidP="00CE2EF9">
      <w:pPr>
        <w:pStyle w:val="doLijstnummering7"/>
        <w:numPr>
          <w:ilvl w:val="1"/>
          <w:numId w:val="6"/>
        </w:numPr>
        <w:rPr>
          <w:rFonts w:ascii="Arial" w:hAnsi="Arial" w:cs="Arial"/>
          <w:sz w:val="22"/>
          <w:szCs w:val="22"/>
        </w:rPr>
      </w:pPr>
      <w:r w:rsidRPr="009C1E6F">
        <w:rPr>
          <w:rFonts w:ascii="Arial" w:hAnsi="Arial"/>
          <w:b/>
          <w:sz w:val="22"/>
        </w:rPr>
        <w:t>&lt;Vabatahtlik&gt;</w:t>
      </w:r>
      <w:r w:rsidRPr="009C1E6F">
        <w:rPr>
          <w:rFonts w:ascii="Arial" w:hAnsi="Arial"/>
          <w:sz w:val="22"/>
        </w:rPr>
        <w:t xml:space="preserve"> Tehniline dokumentatsioon ja kasutusjuhend tuleb koostada inglise keeles.</w:t>
      </w:r>
    </w:p>
    <w:p w14:paraId="4DCD18E7" w14:textId="113FDD83" w:rsidR="00CE2EF9" w:rsidRPr="009C1E6F" w:rsidRDefault="0012712E" w:rsidP="00CE2EF9">
      <w:pPr>
        <w:pStyle w:val="doLijstnummering7"/>
        <w:numPr>
          <w:ilvl w:val="1"/>
          <w:numId w:val="6"/>
        </w:numPr>
        <w:rPr>
          <w:rFonts w:ascii="Arial" w:hAnsi="Arial" w:cs="Arial"/>
          <w:sz w:val="22"/>
          <w:szCs w:val="22"/>
        </w:rPr>
      </w:pPr>
      <w:r w:rsidRPr="009C1E6F">
        <w:rPr>
          <w:rFonts w:ascii="Arial" w:hAnsi="Arial"/>
          <w:b/>
          <w:sz w:val="22"/>
        </w:rPr>
        <w:lastRenderedPageBreak/>
        <w:t xml:space="preserve">&lt;Vabatahtlik&gt; </w:t>
      </w:r>
      <w:r w:rsidRPr="009C1E6F">
        <w:rPr>
          <w:rFonts w:ascii="Arial" w:hAnsi="Arial"/>
          <w:sz w:val="22"/>
        </w:rPr>
        <w:t>Avaliku sektori organisatsioonil on õigus teha tehnilisest dokumentatsioonist ja kasutusjuhendist koopiaid organisatsioonisiseseks kasutamiseks vajalikus ulatuses, ilma et see piiraks artiklite 6 ja 14 kohaldamist.</w:t>
      </w:r>
    </w:p>
    <w:p w14:paraId="479C740A" w14:textId="77777777" w:rsidR="00785D3E" w:rsidRPr="009C1E6F" w:rsidRDefault="00785D3E" w:rsidP="00564A63">
      <w:pPr>
        <w:pStyle w:val="doLijstnummering7"/>
        <w:numPr>
          <w:ilvl w:val="0"/>
          <w:numId w:val="0"/>
        </w:numPr>
        <w:ind w:left="709"/>
        <w:rPr>
          <w:rFonts w:ascii="Arial" w:hAnsi="Arial" w:cs="Arial"/>
          <w:sz w:val="22"/>
          <w:szCs w:val="22"/>
        </w:rPr>
      </w:pPr>
    </w:p>
    <w:p w14:paraId="50413B38" w14:textId="08F03557" w:rsidR="00CE2EF9" w:rsidRPr="009C1E6F" w:rsidRDefault="00CE2EF9" w:rsidP="00CE2EF9">
      <w:pPr>
        <w:pStyle w:val="doLijstnummering7"/>
        <w:numPr>
          <w:ilvl w:val="0"/>
          <w:numId w:val="0"/>
        </w:numPr>
        <w:ind w:left="851"/>
        <w:rPr>
          <w:rFonts w:ascii="Arial" w:hAnsi="Arial" w:cs="Arial"/>
          <w:sz w:val="22"/>
          <w:szCs w:val="22"/>
        </w:rPr>
      </w:pPr>
    </w:p>
    <w:p w14:paraId="7189C35C" w14:textId="77777777" w:rsidR="00CE2EF9" w:rsidRPr="009C1E6F" w:rsidRDefault="00CE2EF9" w:rsidP="00CE2EF9">
      <w:pPr>
        <w:pStyle w:val="doLijstnummering7"/>
        <w:rPr>
          <w:rFonts w:ascii="Arial" w:hAnsi="Arial" w:cs="Arial"/>
          <w:sz w:val="22"/>
          <w:szCs w:val="22"/>
        </w:rPr>
      </w:pPr>
      <w:r w:rsidRPr="009C1E6F">
        <w:rPr>
          <w:rFonts w:ascii="Arial" w:hAnsi="Arial"/>
          <w:sz w:val="22"/>
        </w:rPr>
        <w:t>Andmete säilitamine</w:t>
      </w:r>
    </w:p>
    <w:p w14:paraId="4D188F77" w14:textId="77777777" w:rsidR="00CE2EF9" w:rsidRPr="009C1E6F" w:rsidRDefault="00CE2EF9" w:rsidP="00CE2EF9">
      <w:pPr>
        <w:pStyle w:val="doLijstnummering7"/>
        <w:numPr>
          <w:ilvl w:val="0"/>
          <w:numId w:val="0"/>
        </w:numPr>
        <w:ind w:left="851"/>
        <w:rPr>
          <w:rFonts w:ascii="Arial" w:hAnsi="Arial" w:cs="Arial"/>
          <w:sz w:val="22"/>
          <w:szCs w:val="22"/>
        </w:rPr>
      </w:pPr>
    </w:p>
    <w:p w14:paraId="4244A990" w14:textId="17DCE350"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Tarnija tagab, et tehisintellektisüsteem võimaldab tehniliselt sündmuste automaatset registreerimist (edaspidi „logid“) tehisintellektisüsteemi kogu eluea jooksul. </w:t>
      </w:r>
    </w:p>
    <w:p w14:paraId="5F29D147" w14:textId="49036DCC"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Logimisfunktsioonid peavad tagama tehisintellektisüsteemi toimimise jälgitavuse süsteemi sihtotstarbe ja mõistlikult prognoositava väärkasutamise seisukohast otstarbekal tasemel. Eeskätt peavad logimisfunktsioonid võimaldama registreerida sündmusi, mis on olulised selliste olukordade tuvastamiseks, </w:t>
      </w:r>
    </w:p>
    <w:p w14:paraId="624E7412" w14:textId="77777777" w:rsidR="00CE2EF9" w:rsidRPr="009C1E6F" w:rsidRDefault="00CE2EF9" w:rsidP="00CE2EF9">
      <w:pPr>
        <w:pStyle w:val="doLijstnummering7"/>
        <w:numPr>
          <w:ilvl w:val="2"/>
          <w:numId w:val="6"/>
        </w:numPr>
        <w:rPr>
          <w:rFonts w:ascii="Arial" w:hAnsi="Arial" w:cs="Arial"/>
          <w:sz w:val="22"/>
          <w:szCs w:val="22"/>
        </w:rPr>
      </w:pPr>
      <w:r w:rsidRPr="009C1E6F">
        <w:rPr>
          <w:rFonts w:ascii="Arial" w:hAnsi="Arial"/>
          <w:sz w:val="22"/>
        </w:rPr>
        <w:t xml:space="preserve">mille tulemusena võib tehisintellektisüsteem ohustada tervist või ohutust või isikute põhiõiguste kaitset või </w:t>
      </w:r>
    </w:p>
    <w:p w14:paraId="76C7CA3A" w14:textId="77777777" w:rsidR="00CE2EF9" w:rsidRPr="009C1E6F" w:rsidRDefault="00CE2EF9" w:rsidP="00CE2EF9">
      <w:pPr>
        <w:pStyle w:val="doLijstnummering7"/>
        <w:numPr>
          <w:ilvl w:val="2"/>
          <w:numId w:val="6"/>
        </w:numPr>
        <w:rPr>
          <w:rFonts w:ascii="Arial" w:hAnsi="Arial" w:cs="Arial"/>
          <w:sz w:val="22"/>
          <w:szCs w:val="22"/>
        </w:rPr>
      </w:pPr>
      <w:r w:rsidRPr="009C1E6F">
        <w:rPr>
          <w:rFonts w:ascii="Arial" w:hAnsi="Arial"/>
          <w:sz w:val="22"/>
        </w:rPr>
        <w:t>mis võivad põhjustada olulise muudatuse.</w:t>
      </w:r>
    </w:p>
    <w:p w14:paraId="69A5FE4A" w14:textId="51CF679A"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b/>
          <w:sz w:val="22"/>
        </w:rPr>
        <w:t>&lt;Vabatahtlik&gt;</w:t>
      </w:r>
      <w:r w:rsidRPr="009C1E6F">
        <w:rPr>
          <w:rFonts w:ascii="Arial" w:hAnsi="Arial"/>
          <w:sz w:val="22"/>
        </w:rPr>
        <w:t xml:space="preserve"> Tarnija võimaldab avaliku sektori organisatsioonile reaalajas juurdepääsu tehisintellektisüsteemi automaatselt loodud logidele.</w:t>
      </w:r>
    </w:p>
    <w:p w14:paraId="20195A64"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Tarnija säilitab tehisintellektisüsteemi automaatselt loodud logisid lepingu kehtivusaja jooksul, kui need logid on lepingu kohaselt tema kontrolli all. Lepingu kehtivusaja lõpul edastab tarnija need logid viivitamata avaliku sektori organisatsioonile.</w:t>
      </w:r>
    </w:p>
    <w:p w14:paraId="7CD86A13" w14:textId="77777777" w:rsidR="00FC2BCA" w:rsidRPr="009C1E6F" w:rsidRDefault="00FC2BCA" w:rsidP="00564A63">
      <w:pPr>
        <w:pStyle w:val="doLijstnummering7"/>
        <w:numPr>
          <w:ilvl w:val="0"/>
          <w:numId w:val="0"/>
        </w:numPr>
        <w:ind w:left="709"/>
        <w:rPr>
          <w:rFonts w:ascii="Arial" w:hAnsi="Arial" w:cs="Arial"/>
          <w:sz w:val="22"/>
          <w:szCs w:val="22"/>
        </w:rPr>
      </w:pPr>
    </w:p>
    <w:p w14:paraId="07AD6B53" w14:textId="77777777" w:rsidR="00CE2EF9" w:rsidRPr="009C1E6F"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9C1E6F" w:rsidRDefault="00CE2EF9" w:rsidP="00CE2EF9">
      <w:pPr>
        <w:pStyle w:val="doLijstnummering7"/>
        <w:rPr>
          <w:rFonts w:ascii="Arial" w:hAnsi="Arial" w:cs="Arial"/>
          <w:sz w:val="22"/>
          <w:szCs w:val="22"/>
        </w:rPr>
      </w:pPr>
      <w:r w:rsidRPr="009C1E6F">
        <w:rPr>
          <w:rFonts w:ascii="Arial" w:hAnsi="Arial"/>
          <w:sz w:val="22"/>
        </w:rPr>
        <w:t>Tehisintellektisüsteemi läbipaistvus</w:t>
      </w:r>
    </w:p>
    <w:p w14:paraId="11CBF5BC" w14:textId="77777777" w:rsidR="00CE2EF9" w:rsidRPr="009C1E6F" w:rsidRDefault="00CE2EF9" w:rsidP="00CE2EF9">
      <w:pPr>
        <w:pStyle w:val="doLijstnummering7"/>
        <w:numPr>
          <w:ilvl w:val="0"/>
          <w:numId w:val="0"/>
        </w:numPr>
        <w:ind w:left="851"/>
        <w:rPr>
          <w:rFonts w:ascii="Arial" w:hAnsi="Arial" w:cs="Arial"/>
          <w:sz w:val="22"/>
          <w:szCs w:val="22"/>
        </w:rPr>
      </w:pPr>
    </w:p>
    <w:p w14:paraId="589EDE60" w14:textId="57199FF3"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color w:val="000000"/>
          <w:sz w:val="22"/>
          <w:shd w:val="clear" w:color="auto" w:fill="FFFFFF"/>
        </w:rPr>
        <w:t>Tarnija tagab, et tehisintellektisüsteem on projekteeritud ja välja töötatud või projekteeritakse ja töötatakse välja selliselt, et oleks tagatud süsteemi toimimise piisav läbipaistvus selleks, et avaliku sektori organisatsioonid saaksid tõlgendada</w:t>
      </w:r>
      <w:r w:rsidRPr="009C1E6F">
        <w:rPr>
          <w:rFonts w:ascii="Arial" w:hAnsi="Arial"/>
          <w:sz w:val="22"/>
        </w:rPr>
        <w:t xml:space="preserve"> süsteemi väljundit ja seda asjakohaselt kasutada</w:t>
      </w:r>
      <w:r w:rsidRPr="009C1E6F">
        <w:rPr>
          <w:rFonts w:ascii="Arial" w:hAnsi="Arial"/>
          <w:color w:val="000000"/>
          <w:sz w:val="22"/>
          <w:shd w:val="clear" w:color="auto" w:fill="FFFFFF"/>
        </w:rPr>
        <w:t>.</w:t>
      </w:r>
    </w:p>
    <w:p w14:paraId="61C5E1BD" w14:textId="08A3494E"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Asjakohase läbipaistvuse tagamiseks rakendab tarnija enne tehisintellektisüsteemi tarnimist vähemalt</w:t>
      </w:r>
      <w:r w:rsidRPr="009C1E6F">
        <w:rPr>
          <w:rFonts w:ascii="Arial" w:hAnsi="Arial"/>
          <w:b/>
          <w:sz w:val="22"/>
        </w:rPr>
        <w:t xml:space="preserve"> E lisas </w:t>
      </w:r>
      <w:r w:rsidRPr="009C1E6F">
        <w:rPr>
          <w:rFonts w:ascii="Arial" w:hAnsi="Arial"/>
          <w:sz w:val="22"/>
        </w:rPr>
        <w:t xml:space="preserve">kirjeldatud tehnilisi ja korralduslikke meetmeid. </w:t>
      </w:r>
    </w:p>
    <w:p w14:paraId="7F71F9D4" w14:textId="77777777" w:rsidR="00CE2EF9" w:rsidRPr="009C1E6F" w:rsidRDefault="00CE2EF9" w:rsidP="00CE2EF9">
      <w:pPr>
        <w:pStyle w:val="doLijstnummering7"/>
        <w:numPr>
          <w:ilvl w:val="0"/>
          <w:numId w:val="0"/>
        </w:numPr>
        <w:rPr>
          <w:rFonts w:ascii="Arial" w:hAnsi="Arial" w:cs="Arial"/>
          <w:sz w:val="22"/>
          <w:szCs w:val="22"/>
        </w:rPr>
      </w:pPr>
    </w:p>
    <w:p w14:paraId="528A48FA" w14:textId="77777777" w:rsidR="00CE2EF9" w:rsidRPr="009C1E6F" w:rsidRDefault="00CE2EF9" w:rsidP="00CE2EF9">
      <w:pPr>
        <w:pStyle w:val="doLijstnummering7"/>
        <w:rPr>
          <w:rFonts w:ascii="Arial" w:hAnsi="Arial" w:cs="Arial"/>
          <w:sz w:val="22"/>
          <w:szCs w:val="22"/>
        </w:rPr>
      </w:pPr>
      <w:r w:rsidRPr="009C1E6F">
        <w:rPr>
          <w:rFonts w:ascii="Arial" w:hAnsi="Arial"/>
          <w:sz w:val="22"/>
        </w:rPr>
        <w:t>Inimjärelevalve</w:t>
      </w:r>
    </w:p>
    <w:p w14:paraId="1E1E8E8A" w14:textId="77777777" w:rsidR="00CE2EF9" w:rsidRPr="009C1E6F" w:rsidRDefault="00CE2EF9" w:rsidP="00CE2EF9">
      <w:pPr>
        <w:pStyle w:val="doLijstnummering7"/>
        <w:numPr>
          <w:ilvl w:val="0"/>
          <w:numId w:val="0"/>
        </w:numPr>
        <w:ind w:left="851"/>
        <w:rPr>
          <w:rFonts w:ascii="Arial" w:hAnsi="Arial" w:cs="Arial"/>
          <w:sz w:val="22"/>
          <w:szCs w:val="22"/>
        </w:rPr>
      </w:pPr>
    </w:p>
    <w:p w14:paraId="154F174E" w14:textId="7A1C0B2A"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Tarnija tagab, et tehisintellektisüsteem on projekteeritud ja välja töötatud või projekteeritakse ja töötatakse välja selliselt, et füüsilised isikud saaksid teha süsteemide kasutamise ajal nende üle reaalset järelevalvet, muu hulgas asjakohaste inimene-masin kasutajaliideste abil.</w:t>
      </w:r>
    </w:p>
    <w:p w14:paraId="510D7F17" w14:textId="20E5491D" w:rsidR="00CD6D58" w:rsidRPr="009C1E6F" w:rsidRDefault="00CD6D58" w:rsidP="00CD6D58">
      <w:pPr>
        <w:pStyle w:val="doLijstnummering7"/>
        <w:numPr>
          <w:ilvl w:val="1"/>
          <w:numId w:val="6"/>
        </w:numPr>
        <w:rPr>
          <w:rFonts w:ascii="Arial" w:hAnsi="Arial" w:cs="Arial"/>
          <w:sz w:val="22"/>
          <w:szCs w:val="22"/>
        </w:rPr>
      </w:pPr>
      <w:r w:rsidRPr="009C1E6F">
        <w:rPr>
          <w:rFonts w:ascii="Arial" w:hAnsi="Arial"/>
          <w:sz w:val="22"/>
        </w:rPr>
        <w:t>Inimjärelevalve eesmärk on hoida ära või minimeerida riske tervisele, ohutusele ja põhiõigustele, mis võivad ilmneda siis, kui tehisintellektisüsteemi kasutatakse vastavalt selle sihtotstarbele või mõistlikult prognoositava väärkasutamise tingimustes, kui sellised riskid püsivad hoolimata muudes käesolevas jaos sätestatud nõuete kohaldamisest.</w:t>
      </w:r>
    </w:p>
    <w:p w14:paraId="191405AE" w14:textId="4DD4CEA8" w:rsidR="00CD6D58" w:rsidRPr="009C1E6F" w:rsidRDefault="00CD6D58" w:rsidP="00CD6D58">
      <w:pPr>
        <w:pStyle w:val="doLijstnummering7"/>
        <w:numPr>
          <w:ilvl w:val="1"/>
          <w:numId w:val="6"/>
        </w:numPr>
        <w:rPr>
          <w:rFonts w:ascii="Arial" w:hAnsi="Arial" w:cs="Arial"/>
          <w:sz w:val="22"/>
          <w:szCs w:val="22"/>
        </w:rPr>
      </w:pPr>
      <w:r w:rsidRPr="009C1E6F">
        <w:rPr>
          <w:rFonts w:ascii="Arial" w:hAnsi="Arial"/>
          <w:sz w:val="22"/>
        </w:rPr>
        <w:lastRenderedPageBreak/>
        <w:t>Järelevalvemeetmed peavad vastama tehisintellektisüsteemi riskidele, autonoomsuse tasemele ja kasutuskontekstile ning need tagatakse kas ühe järgmist liiki meetme või kõigi järgmist liiki meetmetega.</w:t>
      </w:r>
    </w:p>
    <w:p w14:paraId="163DD6A4" w14:textId="28096A99"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bdr w:val="none" w:sz="0" w:space="0" w:color="auto" w:frame="1"/>
        </w:rPr>
        <w:t xml:space="preserve">Tarnija tagab, et enne tarnimist lõimitakse tehisintellektisüsteemi ja rakendatakse asjakohased inimjärelevalve tagamiseks vajalikud meetmed. Nende meetmetega tagatakse, et füüsilistel isikutel, kelle ülesanne on inimjärelevalve tegemine, võimaldatakse asjakohasel ja proportsionaalsel viisil: </w:t>
      </w:r>
    </w:p>
    <w:p w14:paraId="5D601A1B" w14:textId="5366B787" w:rsidR="00CE2EF9" w:rsidRPr="009C1E6F" w:rsidRDefault="00975D0E" w:rsidP="00CE2EF9">
      <w:pPr>
        <w:pStyle w:val="doLijstnummering7"/>
        <w:numPr>
          <w:ilvl w:val="2"/>
          <w:numId w:val="6"/>
        </w:numPr>
        <w:rPr>
          <w:rFonts w:ascii="Arial" w:hAnsi="Arial" w:cs="Arial"/>
          <w:sz w:val="22"/>
          <w:szCs w:val="22"/>
        </w:rPr>
      </w:pPr>
      <w:r w:rsidRPr="009C1E6F">
        <w:rPr>
          <w:rFonts w:ascii="Arial" w:hAnsi="Arial"/>
          <w:sz w:val="22"/>
        </w:rPr>
        <w:t>mõista õigesti tehisintellektisüsteemi asjakohaseid võimeid ja piiranguid ning teha igakülgset seiret selle toimimise üle, sealhulgas selleks, et avastada kõrvalekaldeid, väärtalitlusi ja ootamatut toimimist ning nendega tegeleda;</w:t>
      </w:r>
    </w:p>
    <w:p w14:paraId="4AD6776B" w14:textId="0B1DA45B" w:rsidR="00CE2EF9" w:rsidRPr="009C1E6F" w:rsidRDefault="003216B4" w:rsidP="00CE2EF9">
      <w:pPr>
        <w:pStyle w:val="doLijstnummering7"/>
        <w:numPr>
          <w:ilvl w:val="2"/>
          <w:numId w:val="6"/>
        </w:numPr>
        <w:rPr>
          <w:rFonts w:ascii="Arial" w:hAnsi="Arial" w:cs="Arial"/>
          <w:sz w:val="22"/>
          <w:szCs w:val="22"/>
        </w:rPr>
      </w:pPr>
      <w:r w:rsidRPr="009C1E6F">
        <w:rPr>
          <w:rFonts w:ascii="Arial" w:hAnsi="Arial"/>
          <w:sz w:val="22"/>
          <w:bdr w:val="none" w:sz="0" w:space="0" w:color="auto" w:frame="1"/>
        </w:rPr>
        <w:t>olla alati teadlik võimalikust kalduvusest automaatselt või liigselt tugineda tehisintellektisüsteemi toodetud väljundile (nn kalduvus eelistada automatiseerimist), eelkõige juhul, kui tehisintellektisüsteemi kasutatakse selleks, et saada teavet või soovitusi füüsiliste isikute tehtavate otsuste jaoks;</w:t>
      </w:r>
    </w:p>
    <w:p w14:paraId="20B01625" w14:textId="46C44589" w:rsidR="00CE2EF9" w:rsidRPr="009C1E6F" w:rsidRDefault="00CE2EF9" w:rsidP="00CE2EF9">
      <w:pPr>
        <w:pStyle w:val="doLijstnummering7"/>
        <w:numPr>
          <w:ilvl w:val="2"/>
          <w:numId w:val="6"/>
        </w:numPr>
        <w:rPr>
          <w:rFonts w:ascii="Arial" w:hAnsi="Arial" w:cs="Arial"/>
          <w:sz w:val="22"/>
          <w:szCs w:val="22"/>
        </w:rPr>
      </w:pPr>
      <w:r w:rsidRPr="009C1E6F">
        <w:rPr>
          <w:rFonts w:ascii="Arial" w:hAnsi="Arial"/>
          <w:sz w:val="22"/>
          <w:bdr w:val="none" w:sz="0" w:space="0" w:color="auto" w:frame="1"/>
        </w:rPr>
        <w:t>korrektselt tõlgendada tehisintellektisüsteemi väljundit, võttes eeskätt arvesse näiteks süsteemi omadusi ning kättesaadavaid tõlgendamisvahendeid ja -meetodeid;</w:t>
      </w:r>
    </w:p>
    <w:p w14:paraId="1E4E4DDA" w14:textId="72AC6199" w:rsidR="00CE2EF9" w:rsidRPr="009C1E6F" w:rsidRDefault="00CE2EF9" w:rsidP="00CE2EF9">
      <w:pPr>
        <w:pStyle w:val="doLijstnummering7"/>
        <w:numPr>
          <w:ilvl w:val="2"/>
          <w:numId w:val="6"/>
        </w:numPr>
        <w:rPr>
          <w:rFonts w:ascii="Arial" w:hAnsi="Arial" w:cs="Arial"/>
          <w:sz w:val="22"/>
          <w:szCs w:val="22"/>
        </w:rPr>
      </w:pPr>
      <w:r w:rsidRPr="009C1E6F">
        <w:rPr>
          <w:rFonts w:ascii="Arial" w:hAnsi="Arial"/>
          <w:sz w:val="22"/>
          <w:bdr w:val="none" w:sz="0" w:space="0" w:color="auto" w:frame="1"/>
        </w:rPr>
        <w:t>otsustada igas konkreetses olukorras tehisintellektisüsteemi mitte kasutada või selle väljund muul moel kõrvale jätta, sürjutada või tagasi pöörata;</w:t>
      </w:r>
    </w:p>
    <w:p w14:paraId="3D0D77D1" w14:textId="64C46959" w:rsidR="00CE2EF9" w:rsidRPr="009C1E6F" w:rsidRDefault="00CE2EF9" w:rsidP="003216B4">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sekkuda tehisintellektisüsteemi toimimisse või katkestada süsteemi töö stoppnupu või muu sarnase toimingu abil, mis võimaldab süsteemil ohutus olekus peatuda.</w:t>
      </w:r>
    </w:p>
    <w:p w14:paraId="48BA5BAD" w14:textId="3262F3FD" w:rsidR="00CE2EF9" w:rsidRPr="009C1E6F" w:rsidRDefault="0012712E" w:rsidP="00CE2EF9">
      <w:pPr>
        <w:pStyle w:val="doLijstnummering7"/>
        <w:numPr>
          <w:ilvl w:val="1"/>
          <w:numId w:val="6"/>
        </w:numPr>
        <w:rPr>
          <w:rFonts w:ascii="Arial" w:hAnsi="Arial" w:cs="Arial"/>
          <w:sz w:val="22"/>
          <w:szCs w:val="22"/>
        </w:rPr>
      </w:pPr>
      <w:r w:rsidRPr="009C1E6F">
        <w:rPr>
          <w:rFonts w:ascii="Arial" w:hAnsi="Arial"/>
          <w:b/>
          <w:sz w:val="22"/>
        </w:rPr>
        <w:t>&lt;Vabatahtlik&gt;</w:t>
      </w:r>
      <w:r w:rsidRPr="009C1E6F">
        <w:rPr>
          <w:rFonts w:ascii="Arial" w:hAnsi="Arial"/>
          <w:sz w:val="22"/>
        </w:rPr>
        <w:t xml:space="preserve"> Asjakohase inimjärelevalve tagamiseks rakendab tarnija enne tehisintellektisüsteemi tarnimist vähemalt </w:t>
      </w:r>
      <w:r w:rsidRPr="009C1E6F">
        <w:rPr>
          <w:rFonts w:ascii="Arial" w:hAnsi="Arial"/>
          <w:b/>
          <w:sz w:val="22"/>
        </w:rPr>
        <w:t>F lisas</w:t>
      </w:r>
      <w:r w:rsidRPr="009C1E6F">
        <w:rPr>
          <w:rFonts w:ascii="Arial" w:hAnsi="Arial"/>
          <w:sz w:val="22"/>
        </w:rPr>
        <w:t xml:space="preserve"> kirjeldatud tehnilisi ja korralduslikke meetmeid.</w:t>
      </w:r>
    </w:p>
    <w:p w14:paraId="305BD204" w14:textId="77777777" w:rsidR="00CE2EF9" w:rsidRPr="009C1E6F" w:rsidRDefault="00CE2EF9" w:rsidP="00CE2EF9">
      <w:pPr>
        <w:pStyle w:val="doLijstnummering7"/>
        <w:numPr>
          <w:ilvl w:val="0"/>
          <w:numId w:val="0"/>
        </w:numPr>
        <w:ind w:left="851"/>
        <w:rPr>
          <w:rFonts w:ascii="Arial" w:hAnsi="Arial" w:cs="Arial"/>
          <w:sz w:val="22"/>
          <w:szCs w:val="22"/>
        </w:rPr>
      </w:pPr>
    </w:p>
    <w:p w14:paraId="4D94B8F2" w14:textId="77777777" w:rsidR="00CE2EF9" w:rsidRPr="009C1E6F" w:rsidRDefault="00CE2EF9" w:rsidP="00D33B49">
      <w:pPr>
        <w:pStyle w:val="doLijstnummering7"/>
        <w:rPr>
          <w:rFonts w:ascii="Arial" w:hAnsi="Arial" w:cs="Arial"/>
          <w:sz w:val="22"/>
          <w:szCs w:val="22"/>
        </w:rPr>
      </w:pPr>
      <w:r w:rsidRPr="009C1E6F">
        <w:rPr>
          <w:rFonts w:ascii="Arial" w:hAnsi="Arial"/>
          <w:sz w:val="22"/>
        </w:rPr>
        <w:t>Täpsus, stabiilsus ja küberturvalisus</w:t>
      </w:r>
    </w:p>
    <w:p w14:paraId="5D87FF6B" w14:textId="77777777" w:rsidR="00CE2EF9" w:rsidRPr="009C1E6F" w:rsidRDefault="00CE2EF9" w:rsidP="00CE2EF9">
      <w:pPr>
        <w:pStyle w:val="doLijstnummering7"/>
        <w:numPr>
          <w:ilvl w:val="0"/>
          <w:numId w:val="0"/>
        </w:numPr>
        <w:ind w:left="851"/>
        <w:rPr>
          <w:rFonts w:ascii="Arial" w:hAnsi="Arial" w:cs="Arial"/>
          <w:sz w:val="22"/>
          <w:szCs w:val="22"/>
        </w:rPr>
      </w:pPr>
    </w:p>
    <w:p w14:paraId="455E8E1A" w14:textId="169C41B9"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bdr w:val="none" w:sz="0" w:space="0" w:color="auto" w:frame="1"/>
        </w:rPr>
        <w:t xml:space="preserve">Tarnija tagab, et tehisintellektisüsteem on projekteeritud ja </w:t>
      </w:r>
      <w:r w:rsidRPr="009C1E6F">
        <w:rPr>
          <w:rFonts w:ascii="Arial" w:hAnsi="Arial"/>
          <w:sz w:val="22"/>
        </w:rPr>
        <w:t xml:space="preserve">välja töötatud või projekteeritakse ja töötatakse välja selliselt, et täpsus, stabiilsus, ohutus ja küberturvalisus on asjakohasel tasemel tagatud ning et see toimib nendes aspektides järjepidevalt. </w:t>
      </w:r>
    </w:p>
    <w:p w14:paraId="577E5A4E"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bdr w:val="none" w:sz="0" w:space="0" w:color="auto" w:frame="1"/>
        </w:rPr>
        <w:t xml:space="preserve">Tehisintellektisüsteemi täpsuse tasemeid ja asjakohaseid täpsuse parameetreid kirjeldatakse </w:t>
      </w:r>
      <w:r w:rsidRPr="009C1E6F">
        <w:rPr>
          <w:rFonts w:ascii="Arial" w:hAnsi="Arial"/>
          <w:b/>
          <w:sz w:val="22"/>
          <w:bdr w:val="none" w:sz="0" w:space="0" w:color="auto" w:frame="1"/>
        </w:rPr>
        <w:t>G lisas</w:t>
      </w:r>
      <w:r w:rsidRPr="009C1E6F">
        <w:rPr>
          <w:rFonts w:ascii="Arial" w:hAnsi="Arial"/>
          <w:sz w:val="22"/>
          <w:bdr w:val="none" w:sz="0" w:space="0" w:color="auto" w:frame="1"/>
        </w:rPr>
        <w:t>.</w:t>
      </w:r>
    </w:p>
    <w:p w14:paraId="255B3A87" w14:textId="039205CA" w:rsidR="00CE2EF9" w:rsidRPr="009C1E6F" w:rsidRDefault="003C2AF0" w:rsidP="00CE2EF9">
      <w:pPr>
        <w:pStyle w:val="doLijstnummering7"/>
        <w:numPr>
          <w:ilvl w:val="1"/>
          <w:numId w:val="6"/>
        </w:numPr>
        <w:rPr>
          <w:rFonts w:ascii="Arial" w:hAnsi="Arial" w:cs="Arial"/>
          <w:sz w:val="22"/>
          <w:szCs w:val="22"/>
        </w:rPr>
      </w:pPr>
      <w:r w:rsidRPr="009C1E6F">
        <w:rPr>
          <w:rFonts w:ascii="Arial" w:hAnsi="Arial"/>
          <w:sz w:val="22"/>
        </w:rPr>
        <w:t xml:space="preserve">Asjakohasel tasemel stabiilsuse, ohutuse ja küberturvalisuse tagamiseks rakendab tarnija enne tehisintellektisüsteemi tarnimist vähemalt </w:t>
      </w:r>
      <w:r w:rsidRPr="009C1E6F">
        <w:rPr>
          <w:rFonts w:ascii="Arial" w:hAnsi="Arial"/>
          <w:b/>
          <w:sz w:val="22"/>
        </w:rPr>
        <w:t>H lisas</w:t>
      </w:r>
      <w:r w:rsidRPr="009C1E6F">
        <w:rPr>
          <w:rFonts w:ascii="Arial" w:hAnsi="Arial"/>
          <w:sz w:val="22"/>
        </w:rPr>
        <w:t xml:space="preserve"> kirjeldatud tehnilisi ja korralduslikke meetmeid. </w:t>
      </w:r>
    </w:p>
    <w:p w14:paraId="2C43D5E4" w14:textId="44B7A154" w:rsidR="009813B5" w:rsidRPr="009C1E6F" w:rsidRDefault="009813B5" w:rsidP="009813B5">
      <w:pPr>
        <w:pStyle w:val="ListParagraph"/>
        <w:numPr>
          <w:ilvl w:val="1"/>
          <w:numId w:val="6"/>
        </w:numPr>
        <w:rPr>
          <w:rFonts w:eastAsia="Times New Roman"/>
          <w:color w:val="auto"/>
          <w:sz w:val="22"/>
          <w:szCs w:val="22"/>
        </w:rPr>
      </w:pPr>
      <w:r w:rsidRPr="009C1E6F">
        <w:rPr>
          <w:color w:val="auto"/>
          <w:sz w:val="22"/>
        </w:rPr>
        <w:t>See nõue ei piira tehisintellekti käsitleva määruse artiklist 15 tulenevate nõuete kohaldamist.</w:t>
      </w:r>
    </w:p>
    <w:p w14:paraId="32934CE0" w14:textId="77777777" w:rsidR="009813B5" w:rsidRPr="009C1E6F" w:rsidRDefault="009813B5" w:rsidP="00564A63">
      <w:pPr>
        <w:pStyle w:val="doLijstnummering7"/>
        <w:numPr>
          <w:ilvl w:val="0"/>
          <w:numId w:val="0"/>
        </w:numPr>
        <w:ind w:left="709"/>
        <w:rPr>
          <w:rFonts w:ascii="Arial" w:hAnsi="Arial" w:cs="Arial"/>
          <w:sz w:val="22"/>
          <w:szCs w:val="22"/>
        </w:rPr>
      </w:pPr>
    </w:p>
    <w:p w14:paraId="37E11EDE" w14:textId="77777777" w:rsidR="00CE2EF9" w:rsidRPr="009C1E6F" w:rsidRDefault="00CE2EF9" w:rsidP="00CE2EF9">
      <w:pPr>
        <w:pStyle w:val="doLijstnummering7"/>
        <w:numPr>
          <w:ilvl w:val="0"/>
          <w:numId w:val="0"/>
        </w:numPr>
        <w:ind w:left="709"/>
        <w:rPr>
          <w:rFonts w:ascii="Arial" w:hAnsi="Arial" w:cs="Arial"/>
          <w:sz w:val="22"/>
          <w:szCs w:val="22"/>
        </w:rPr>
      </w:pPr>
    </w:p>
    <w:p w14:paraId="5269EB9C" w14:textId="77777777" w:rsidR="00C56C58" w:rsidRPr="009C1E6F" w:rsidRDefault="00C56C58" w:rsidP="00CE2EF9">
      <w:pPr>
        <w:pStyle w:val="doLijstnummering7"/>
        <w:numPr>
          <w:ilvl w:val="0"/>
          <w:numId w:val="0"/>
        </w:numPr>
        <w:ind w:left="709"/>
        <w:rPr>
          <w:rFonts w:ascii="Arial" w:hAnsi="Arial" w:cs="Arial"/>
          <w:sz w:val="22"/>
          <w:szCs w:val="22"/>
        </w:rPr>
      </w:pPr>
    </w:p>
    <w:p w14:paraId="4480AC05" w14:textId="77777777" w:rsidR="00CE2EF9" w:rsidRPr="009C1E6F" w:rsidRDefault="00CE2EF9" w:rsidP="00A74620">
      <w:pPr>
        <w:spacing w:after="240"/>
        <w:rPr>
          <w:rFonts w:ascii="Arial" w:hAnsi="Arial" w:cs="Arial"/>
          <w:b/>
          <w:bCs/>
          <w:sz w:val="26"/>
          <w:szCs w:val="26"/>
        </w:rPr>
      </w:pPr>
      <w:r w:rsidRPr="009C1E6F">
        <w:rPr>
          <w:rFonts w:ascii="Arial" w:hAnsi="Arial"/>
          <w:b/>
          <w:sz w:val="26"/>
        </w:rPr>
        <w:t>C jagu. Tarnija kohustused seoses tehisintellektisüsteemiga</w:t>
      </w:r>
    </w:p>
    <w:p w14:paraId="17540852" w14:textId="77777777" w:rsidR="00CE2EF9" w:rsidRPr="009C1E6F" w:rsidRDefault="00CE2EF9" w:rsidP="00CE2EF9">
      <w:pPr>
        <w:pStyle w:val="doLijstnummering7"/>
        <w:rPr>
          <w:rFonts w:ascii="Arial" w:hAnsi="Arial" w:cs="Arial"/>
          <w:sz w:val="22"/>
          <w:szCs w:val="22"/>
        </w:rPr>
      </w:pPr>
      <w:r w:rsidRPr="009C1E6F">
        <w:rPr>
          <w:rFonts w:ascii="Arial" w:hAnsi="Arial"/>
          <w:sz w:val="22"/>
        </w:rPr>
        <w:t>Vastavus B jaole</w:t>
      </w:r>
    </w:p>
    <w:p w14:paraId="0DCFF6BA" w14:textId="77777777" w:rsidR="00CE2EF9" w:rsidRPr="009C1E6F" w:rsidRDefault="00CE2EF9" w:rsidP="00CE2EF9">
      <w:pPr>
        <w:pStyle w:val="doLijstnummering7"/>
        <w:numPr>
          <w:ilvl w:val="0"/>
          <w:numId w:val="0"/>
        </w:numPr>
        <w:ind w:left="851"/>
        <w:rPr>
          <w:rFonts w:ascii="Arial" w:hAnsi="Arial" w:cs="Arial"/>
          <w:sz w:val="22"/>
          <w:szCs w:val="22"/>
        </w:rPr>
      </w:pPr>
    </w:p>
    <w:p w14:paraId="7E38F53D" w14:textId="61EF8E48" w:rsidR="00CE2EF9" w:rsidRPr="009C1E6F" w:rsidRDefault="00CE2EF9" w:rsidP="00CE2EF9">
      <w:pPr>
        <w:pStyle w:val="doLijstnummering7"/>
        <w:numPr>
          <w:ilvl w:val="0"/>
          <w:numId w:val="0"/>
        </w:numPr>
        <w:ind w:left="709"/>
        <w:rPr>
          <w:rFonts w:ascii="Arial" w:hAnsi="Arial" w:cs="Arial"/>
          <w:b/>
          <w:bCs/>
          <w:iCs/>
          <w:sz w:val="22"/>
          <w:szCs w:val="22"/>
        </w:rPr>
      </w:pPr>
      <w:r w:rsidRPr="009C1E6F">
        <w:rPr>
          <w:rFonts w:ascii="Arial" w:hAnsi="Arial"/>
          <w:sz w:val="22"/>
          <w:bdr w:val="none" w:sz="0" w:space="0" w:color="auto" w:frame="1"/>
        </w:rPr>
        <w:lastRenderedPageBreak/>
        <w:t>Tarnija peab tagama, et tehisintellektisüsteem vastab käesolevate suure riskiga tehisintellekti hankimise lepingu tüüptingimuste B jaos sätestatud nõuetele alates tehisintellektisüsteemi tarnimisest kuni lepingu kehtivusaja lõpuni.</w:t>
      </w:r>
    </w:p>
    <w:p w14:paraId="6A2523C9" w14:textId="77777777" w:rsidR="00CE2EF9" w:rsidRPr="009C1E6F"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9C1E6F" w:rsidRDefault="00CE2EF9" w:rsidP="00CE2EF9">
      <w:pPr>
        <w:pStyle w:val="doLijstnummering7"/>
        <w:rPr>
          <w:rFonts w:ascii="Arial" w:hAnsi="Arial" w:cs="Arial"/>
          <w:sz w:val="22"/>
          <w:szCs w:val="22"/>
        </w:rPr>
      </w:pPr>
      <w:r w:rsidRPr="009C1E6F">
        <w:rPr>
          <w:rFonts w:ascii="Arial" w:hAnsi="Arial"/>
          <w:sz w:val="22"/>
        </w:rPr>
        <w:t xml:space="preserve">Kvaliteedijuhtimissüsteem </w:t>
      </w:r>
    </w:p>
    <w:p w14:paraId="3F369BEE" w14:textId="77777777" w:rsidR="00CE2EF9" w:rsidRPr="009C1E6F" w:rsidRDefault="00CE2EF9" w:rsidP="00CE2EF9">
      <w:pPr>
        <w:pStyle w:val="doLijstnummering7"/>
        <w:numPr>
          <w:ilvl w:val="0"/>
          <w:numId w:val="0"/>
        </w:numPr>
        <w:ind w:left="851" w:hanging="851"/>
        <w:rPr>
          <w:rFonts w:ascii="Arial" w:hAnsi="Arial" w:cs="Arial"/>
          <w:sz w:val="22"/>
          <w:szCs w:val="22"/>
        </w:rPr>
      </w:pPr>
    </w:p>
    <w:p w14:paraId="2D08DDF1" w14:textId="0354D97A" w:rsidR="00D81335"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Enne tehisintellektisüsteemi tarnimist võtab tarnija kasutusele kvaliteedijuhtimissüsteemi, mis tagab käesolevate suure riskiga tehisintellekti hankimise lepingu tüüptingimuste järgimise. </w:t>
      </w:r>
    </w:p>
    <w:p w14:paraId="48373048" w14:textId="6927E061" w:rsidR="00CE2EF9" w:rsidRPr="009C1E6F" w:rsidRDefault="00D81335" w:rsidP="00CE2EF9">
      <w:pPr>
        <w:pStyle w:val="doLijstnummering7"/>
        <w:numPr>
          <w:ilvl w:val="1"/>
          <w:numId w:val="6"/>
        </w:numPr>
        <w:rPr>
          <w:rFonts w:ascii="Arial" w:hAnsi="Arial" w:cs="Arial"/>
          <w:sz w:val="22"/>
          <w:szCs w:val="22"/>
        </w:rPr>
      </w:pPr>
      <w:r w:rsidRPr="009C1E6F">
        <w:rPr>
          <w:rFonts w:ascii="Arial" w:hAnsi="Arial"/>
          <w:sz w:val="22"/>
        </w:rPr>
        <w:t>Kvaliteedijuhtimissüsteem peab olema kirjalike põhimõtete, menetluste ja juhendite kujul süsteemselt ja nõuetekohaselt dokumenteeritud ning sisaldama vähemalt järgmisi aspekte:</w:t>
      </w:r>
    </w:p>
    <w:p w14:paraId="084409CF" w14:textId="77777777" w:rsidR="00CE2EF9" w:rsidRPr="009C1E6F" w:rsidRDefault="00CE2EF9" w:rsidP="00CE2EF9">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strateegia õigusnormidele vastavuse tagamiseks;</w:t>
      </w:r>
    </w:p>
    <w:p w14:paraId="353900E6" w14:textId="77777777" w:rsidR="00CE2EF9" w:rsidRPr="009C1E6F" w:rsidRDefault="00CE2EF9" w:rsidP="00CE2EF9">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meetodid, protseduurid ja süstemaatilised meetmed, mida kasutatakse tehisintellektisüsteemi projekteerimiseks, projekteerimise üle tehtavaks järelevalveks ja projektide kontrollimiseks;</w:t>
      </w:r>
    </w:p>
    <w:p w14:paraId="66E441F5" w14:textId="77777777" w:rsidR="00CE2EF9" w:rsidRPr="009C1E6F" w:rsidRDefault="00CE2EF9" w:rsidP="00CE2EF9">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meetodid, protseduurid ja süstemaatilised meetmed, mida kasutatakse tehisintellektisüsteemi väljatöötamiseks, kvaliteedi kontrollimiseks ja kvaliteedi tagamiseks;</w:t>
      </w:r>
    </w:p>
    <w:p w14:paraId="5DC33C01" w14:textId="77777777" w:rsidR="00CE2EF9" w:rsidRPr="009C1E6F" w:rsidRDefault="00CE2EF9" w:rsidP="00CE2EF9">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enne tehisintellektisüsteemi väljatöötamist, selle ajal ja pärast seda teostatavad läbivaatamis-, testimis- ja valideerimisprotseduurid ning nende teostamise sagedus;</w:t>
      </w:r>
    </w:p>
    <w:p w14:paraId="25E1D0B3" w14:textId="1D8BCDA3" w:rsidR="00CE2EF9" w:rsidRPr="009C1E6F" w:rsidRDefault="00CE2EF9" w:rsidP="00CE2EF9">
      <w:pPr>
        <w:pStyle w:val="doLijstnummering7"/>
        <w:numPr>
          <w:ilvl w:val="2"/>
          <w:numId w:val="6"/>
        </w:numPr>
        <w:rPr>
          <w:rFonts w:ascii="Arial" w:hAnsi="Arial" w:cs="Arial"/>
          <w:sz w:val="22"/>
          <w:szCs w:val="22"/>
          <w:bdr w:val="none" w:sz="0" w:space="0" w:color="auto" w:frame="1"/>
        </w:rPr>
      </w:pPr>
      <w:r w:rsidRPr="009C1E6F">
        <w:rPr>
          <w:rFonts w:ascii="Arial" w:hAnsi="Arial"/>
          <w:sz w:val="22"/>
        </w:rPr>
        <w:t>kohaldatavad tehnilised kirjeldused, sh standardid, ja juhul, kui asjaomaseid harmoneeritud standardeid ei kohaldata täies mahus või need ei hõlma kõiki asjakohaseid nõudeid, siis ka vahendid, mida kasutatakse selleks, et tagada tehisintellektisüsteemi vastavus käesolevate suure riskiga tehisintellekti hankimise lepingu tüüptingimuste B jaos sätestatud nõuetele;</w:t>
      </w:r>
    </w:p>
    <w:p w14:paraId="631030CD" w14:textId="77777777" w:rsidR="00CE2EF9" w:rsidRPr="009C1E6F" w:rsidRDefault="00CE2EF9" w:rsidP="00CE2EF9">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andmehalduse süsteemid ja menetlused, sh andmete kogumine ja hankimine, andmeanalüüs, andmete märgendamine, andmete talletamine, andmete filtreerimine, andmekaeve, andmete agregeerimine, andmete säilitamine ja mis tahes muud andmetega seotud toimingud, mida tehakse enne tehisintellektisüsteemi tarnimist;</w:t>
      </w:r>
    </w:p>
    <w:p w14:paraId="7F2D1723" w14:textId="77777777" w:rsidR="00CE2EF9" w:rsidRPr="009C1E6F" w:rsidRDefault="00CE2EF9" w:rsidP="00CE2EF9">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artiklis 2 osutatud riskijuhtimissüsteem;</w:t>
      </w:r>
    </w:p>
    <w:p w14:paraId="7FDDA4C7" w14:textId="28A8394F" w:rsidR="00CE2EF9" w:rsidRPr="009C1E6F" w:rsidRDefault="00CE2EF9" w:rsidP="00CE2EF9">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menetlused, mis on seotud tõsistest intsidentidest teatamisega;</w:t>
      </w:r>
    </w:p>
    <w:p w14:paraId="72907D66" w14:textId="0E06772E" w:rsidR="005A49B9" w:rsidRPr="009C1E6F" w:rsidRDefault="005A49B9" w:rsidP="00CE2EF9">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suhtlemine riikide pädevate asutustega, teiste asjaomaste asutustega, sealhulgas nendega, kes pakuvad või toetavad juurdepääsu andmetele, teada antud asutustega, teiste operaatoritega, klientidega või muude huvitatud isikutega;</w:t>
      </w:r>
    </w:p>
    <w:p w14:paraId="75076B4A" w14:textId="77777777" w:rsidR="00CE2EF9" w:rsidRPr="009C1E6F" w:rsidRDefault="00CE2EF9" w:rsidP="00CE2EF9">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kõigi vajalike dokumentide ja teabega seotud andmete säilitamise süsteemid ja protseduurid;</w:t>
      </w:r>
    </w:p>
    <w:p w14:paraId="38ABDF9B" w14:textId="77777777" w:rsidR="00CE2EF9" w:rsidRPr="009C1E6F" w:rsidRDefault="00CE2EF9" w:rsidP="00CE2EF9">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ressursside haldamine, sh varustuskindlusega seotud meetmed;</w:t>
      </w:r>
    </w:p>
    <w:p w14:paraId="34AE228A" w14:textId="58AB520E" w:rsidR="00CE2EF9" w:rsidRPr="009C1E6F" w:rsidRDefault="00CE2EF9" w:rsidP="00CE2EF9">
      <w:pPr>
        <w:pStyle w:val="doLijstnummering7"/>
        <w:numPr>
          <w:ilvl w:val="2"/>
          <w:numId w:val="6"/>
        </w:numPr>
        <w:rPr>
          <w:rFonts w:ascii="Arial" w:hAnsi="Arial" w:cs="Arial"/>
          <w:sz w:val="22"/>
          <w:szCs w:val="22"/>
          <w:bdr w:val="none" w:sz="0" w:space="0" w:color="auto" w:frame="1"/>
        </w:rPr>
      </w:pPr>
      <w:r w:rsidRPr="009C1E6F">
        <w:rPr>
          <w:rFonts w:ascii="Arial" w:hAnsi="Arial"/>
          <w:sz w:val="22"/>
          <w:bdr w:val="none" w:sz="0" w:space="0" w:color="auto" w:frame="1"/>
        </w:rPr>
        <w:t>aruandekohustuse raamistik, millega nähakse ette juhtkonna ja muude töötajate vastutus seoses kõigi käesolevas lõikes loetletud aspektidega.</w:t>
      </w:r>
    </w:p>
    <w:p w14:paraId="176FCAD2" w14:textId="77777777" w:rsidR="00636C8D" w:rsidRPr="009C1E6F" w:rsidRDefault="00636C8D" w:rsidP="00636C8D">
      <w:pPr>
        <w:pStyle w:val="doLijstnummering7"/>
        <w:numPr>
          <w:ilvl w:val="1"/>
          <w:numId w:val="6"/>
        </w:numPr>
        <w:rPr>
          <w:rFonts w:ascii="Arial" w:hAnsi="Arial" w:cs="Arial"/>
          <w:sz w:val="22"/>
          <w:szCs w:val="22"/>
        </w:rPr>
      </w:pPr>
      <w:r w:rsidRPr="009C1E6F">
        <w:rPr>
          <w:rFonts w:ascii="Arial" w:hAnsi="Arial"/>
          <w:sz w:val="22"/>
        </w:rPr>
        <w:t xml:space="preserve">Lepingu kehtivuse ajal peab tarnija tagama juurdepääsu kvaliteedijuhtimissüsteemi käsitlevatele dokumentidele. Tarnija annab avaliku sektori organisatsiooni esimesel </w:t>
      </w:r>
      <w:r w:rsidRPr="009C1E6F">
        <w:rPr>
          <w:rFonts w:ascii="Arial" w:hAnsi="Arial"/>
          <w:sz w:val="22"/>
        </w:rPr>
        <w:lastRenderedPageBreak/>
        <w:t>nõudmisel talle üle kvaliteedijuhtimissüsteemi käsitlevate dokumentide viimase versiooni.</w:t>
      </w:r>
    </w:p>
    <w:p w14:paraId="36C4A717" w14:textId="77777777" w:rsidR="00CE2EF9" w:rsidRPr="009C1E6F" w:rsidRDefault="00CE2EF9" w:rsidP="00564A63">
      <w:pPr>
        <w:pStyle w:val="doLijstnummering7"/>
        <w:numPr>
          <w:ilvl w:val="0"/>
          <w:numId w:val="0"/>
        </w:numPr>
        <w:ind w:left="709"/>
        <w:rPr>
          <w:rFonts w:ascii="Arial" w:hAnsi="Arial" w:cs="Arial"/>
          <w:sz w:val="22"/>
          <w:szCs w:val="22"/>
        </w:rPr>
      </w:pPr>
    </w:p>
    <w:p w14:paraId="314AFE2A" w14:textId="3F77D26E" w:rsidR="00CE2EF9" w:rsidRPr="009C1E6F" w:rsidRDefault="00CE2EF9" w:rsidP="00CE2EF9">
      <w:pPr>
        <w:pStyle w:val="doLijstnummering7"/>
        <w:rPr>
          <w:rFonts w:ascii="Arial" w:hAnsi="Arial" w:cs="Arial"/>
          <w:sz w:val="22"/>
          <w:szCs w:val="22"/>
        </w:rPr>
      </w:pPr>
      <w:r w:rsidRPr="009C1E6F">
        <w:rPr>
          <w:rFonts w:ascii="Arial" w:hAnsi="Arial"/>
          <w:sz w:val="22"/>
        </w:rPr>
        <w:t xml:space="preserve">Vastavushindamine </w:t>
      </w:r>
    </w:p>
    <w:p w14:paraId="25055ED0" w14:textId="77777777" w:rsidR="00CE2EF9" w:rsidRPr="009C1E6F" w:rsidRDefault="00CE2EF9" w:rsidP="00CE2EF9">
      <w:pPr>
        <w:pStyle w:val="doLijstnummering7"/>
        <w:numPr>
          <w:ilvl w:val="0"/>
          <w:numId w:val="0"/>
        </w:numPr>
        <w:ind w:left="851"/>
        <w:rPr>
          <w:rFonts w:ascii="Arial" w:hAnsi="Arial" w:cs="Arial"/>
          <w:sz w:val="22"/>
          <w:szCs w:val="22"/>
        </w:rPr>
      </w:pPr>
    </w:p>
    <w:p w14:paraId="5A1304F6"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Tarnija tagab, et enne tarnimist läbib tehisintellektisüsteem järgmise vastavushindamismenetluse:</w:t>
      </w:r>
    </w:p>
    <w:p w14:paraId="26B24270" w14:textId="72D09CA6" w:rsidR="00CE2EF9" w:rsidRPr="009C1E6F" w:rsidRDefault="00CE2EF9" w:rsidP="00CE2EF9">
      <w:pPr>
        <w:pStyle w:val="doLijstnummering7"/>
        <w:numPr>
          <w:ilvl w:val="2"/>
          <w:numId w:val="6"/>
        </w:numPr>
        <w:rPr>
          <w:rFonts w:ascii="Arial" w:hAnsi="Arial" w:cs="Arial"/>
          <w:sz w:val="22"/>
          <w:szCs w:val="22"/>
        </w:rPr>
      </w:pPr>
      <w:r w:rsidRPr="009C1E6F">
        <w:rPr>
          <w:rFonts w:ascii="Arial" w:hAnsi="Arial"/>
          <w:sz w:val="22"/>
        </w:rPr>
        <w:t xml:space="preserve">tarnija kontrollib, kas kehtestatud kvaliteedijuhtimissüsteem vastab artikli 10 nõuetele; </w:t>
      </w:r>
    </w:p>
    <w:p w14:paraId="1FAB79D6" w14:textId="2501FE6D" w:rsidR="00CE2EF9" w:rsidRPr="009C1E6F" w:rsidRDefault="00CE2EF9" w:rsidP="00CE2EF9">
      <w:pPr>
        <w:pStyle w:val="doLijstnummering7"/>
        <w:numPr>
          <w:ilvl w:val="2"/>
          <w:numId w:val="6"/>
        </w:numPr>
        <w:rPr>
          <w:rFonts w:ascii="Arial" w:hAnsi="Arial" w:cs="Arial"/>
          <w:sz w:val="22"/>
          <w:szCs w:val="22"/>
        </w:rPr>
      </w:pPr>
      <w:r w:rsidRPr="009C1E6F">
        <w:rPr>
          <w:rFonts w:ascii="Arial" w:hAnsi="Arial"/>
          <w:sz w:val="22"/>
        </w:rPr>
        <w:t>tarnija vaatab tehnilises dokumentatsioonis sisalduva teabe läbi, et hinnata tehisintellektisüsteemi vastavust käesolevate suure riskiga tehisintellekti hankimise lepingu tüüptingimuste B jaos sätestatud asjakohastele olulistele nõuetele;</w:t>
      </w:r>
    </w:p>
    <w:p w14:paraId="106DD499" w14:textId="77777777" w:rsidR="00CE2EF9" w:rsidRPr="009C1E6F" w:rsidRDefault="00CE2EF9" w:rsidP="00CE2EF9">
      <w:pPr>
        <w:pStyle w:val="doLijstnummering7"/>
        <w:numPr>
          <w:ilvl w:val="2"/>
          <w:numId w:val="6"/>
        </w:numPr>
        <w:rPr>
          <w:rFonts w:ascii="Arial" w:hAnsi="Arial" w:cs="Arial"/>
          <w:sz w:val="22"/>
          <w:szCs w:val="22"/>
        </w:rPr>
      </w:pPr>
      <w:r w:rsidRPr="009C1E6F">
        <w:rPr>
          <w:rFonts w:ascii="Arial" w:hAnsi="Arial"/>
          <w:sz w:val="22"/>
        </w:rPr>
        <w:t>ühtlasi kontrollib tarnija, kas tehisintellektisüsteemi projekteerimis- ja väljatöötamisprotsess on kooskõlas tehnilise dokumentatsiooniga.</w:t>
      </w:r>
    </w:p>
    <w:p w14:paraId="60819A7E"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Tarnija tagab, et tehisintellektisüsteem läbib uue vastavushindamismenetluse iga kord, kui tarnija teeb süsteemis lepingu kehtivusaja jooksul olulise muudatuse. </w:t>
      </w:r>
    </w:p>
    <w:p w14:paraId="191F9E28" w14:textId="77777777" w:rsidR="008F5F39" w:rsidRPr="009C1E6F" w:rsidRDefault="008F5F39" w:rsidP="00564A63">
      <w:pPr>
        <w:pStyle w:val="doLijstnummering7"/>
        <w:numPr>
          <w:ilvl w:val="0"/>
          <w:numId w:val="0"/>
        </w:numPr>
        <w:ind w:left="709"/>
        <w:rPr>
          <w:rFonts w:ascii="Arial" w:hAnsi="Arial" w:cs="Arial"/>
          <w:sz w:val="22"/>
          <w:szCs w:val="22"/>
        </w:rPr>
      </w:pPr>
    </w:p>
    <w:p w14:paraId="6710B45B" w14:textId="77777777" w:rsidR="00CE2EF9" w:rsidRPr="009C1E6F" w:rsidRDefault="00CE2EF9" w:rsidP="00CE2EF9">
      <w:pPr>
        <w:pStyle w:val="doLijstnummering7"/>
        <w:numPr>
          <w:ilvl w:val="0"/>
          <w:numId w:val="0"/>
        </w:numPr>
        <w:ind w:left="709"/>
        <w:rPr>
          <w:rFonts w:ascii="Arial" w:hAnsi="Arial" w:cs="Arial"/>
          <w:sz w:val="22"/>
          <w:szCs w:val="22"/>
        </w:rPr>
      </w:pPr>
    </w:p>
    <w:p w14:paraId="06E3E612" w14:textId="368646C6" w:rsidR="002C7FA3" w:rsidRPr="009C1E6F" w:rsidRDefault="00C77C3E" w:rsidP="00CE2EF9">
      <w:pPr>
        <w:pStyle w:val="doLijstnummering7"/>
        <w:rPr>
          <w:rFonts w:ascii="Arial" w:hAnsi="Arial" w:cs="Arial"/>
          <w:sz w:val="22"/>
          <w:szCs w:val="22"/>
        </w:rPr>
      </w:pPr>
      <w:r w:rsidRPr="009C1E6F">
        <w:rPr>
          <w:rFonts w:ascii="Arial" w:hAnsi="Arial"/>
          <w:b/>
          <w:sz w:val="22"/>
        </w:rPr>
        <w:t xml:space="preserve">&lt;Vabatahtlik&gt; </w:t>
      </w:r>
      <w:r w:rsidRPr="009C1E6F">
        <w:rPr>
          <w:rFonts w:ascii="Arial" w:hAnsi="Arial"/>
          <w:sz w:val="22"/>
        </w:rPr>
        <w:t>Põhiõigustele avalduva mõju hindamine</w:t>
      </w:r>
    </w:p>
    <w:p w14:paraId="6FFE004D" w14:textId="77777777" w:rsidR="002C7FA3" w:rsidRPr="009C1E6F" w:rsidRDefault="002C7FA3" w:rsidP="00564A63">
      <w:pPr>
        <w:pStyle w:val="doLijstnummering7"/>
        <w:numPr>
          <w:ilvl w:val="0"/>
          <w:numId w:val="0"/>
        </w:numPr>
        <w:ind w:left="851"/>
        <w:rPr>
          <w:rFonts w:ascii="Arial" w:hAnsi="Arial" w:cs="Arial"/>
          <w:sz w:val="22"/>
          <w:szCs w:val="22"/>
        </w:rPr>
      </w:pPr>
    </w:p>
    <w:p w14:paraId="7E5E79E9" w14:textId="0B9A69CF" w:rsidR="002C7FA3" w:rsidRPr="009C1E6F" w:rsidRDefault="00C77C3E" w:rsidP="00564A63">
      <w:pPr>
        <w:pStyle w:val="doLijstnummering7"/>
        <w:numPr>
          <w:ilvl w:val="0"/>
          <w:numId w:val="0"/>
        </w:numPr>
        <w:ind w:left="851"/>
        <w:rPr>
          <w:rFonts w:ascii="Arial" w:hAnsi="Arial" w:cs="Arial"/>
          <w:sz w:val="22"/>
          <w:szCs w:val="22"/>
        </w:rPr>
      </w:pPr>
      <w:r w:rsidRPr="009C1E6F">
        <w:rPr>
          <w:rFonts w:ascii="Arial" w:hAnsi="Arial"/>
          <w:b/>
          <w:sz w:val="22"/>
        </w:rPr>
        <w:t xml:space="preserve">&lt;Vabatahtlik&gt; </w:t>
      </w:r>
      <w:r w:rsidRPr="009C1E6F">
        <w:rPr>
          <w:rFonts w:ascii="Arial" w:hAnsi="Arial"/>
          <w:sz w:val="22"/>
        </w:rPr>
        <w:t>Tarnija teeb avaliku sektori organisatsiooni esimesel nõudmisel koostööd, et hinnata, kuidas võib tehisintellektisüsteemi kasutamine avaliku sektori organisatsiooni poolt mõjutada põhiõigusi.</w:t>
      </w:r>
    </w:p>
    <w:p w14:paraId="0977EE3D" w14:textId="77777777" w:rsidR="002C7FA3" w:rsidRPr="009C1E6F" w:rsidRDefault="002C7FA3" w:rsidP="00564A63">
      <w:pPr>
        <w:pStyle w:val="doLijstnummering7"/>
        <w:numPr>
          <w:ilvl w:val="0"/>
          <w:numId w:val="0"/>
        </w:numPr>
        <w:ind w:left="851" w:hanging="851"/>
        <w:rPr>
          <w:rFonts w:ascii="Arial" w:hAnsi="Arial" w:cs="Arial"/>
          <w:sz w:val="22"/>
          <w:szCs w:val="22"/>
        </w:rPr>
      </w:pPr>
    </w:p>
    <w:p w14:paraId="58FB40BF" w14:textId="77777777" w:rsidR="00CE2EF9" w:rsidRPr="009C1E6F" w:rsidRDefault="00CE2EF9" w:rsidP="00CE2EF9">
      <w:pPr>
        <w:pStyle w:val="doLijstnummering7"/>
        <w:rPr>
          <w:rFonts w:ascii="Arial" w:hAnsi="Arial" w:cs="Arial"/>
          <w:sz w:val="22"/>
          <w:szCs w:val="22"/>
        </w:rPr>
      </w:pPr>
      <w:r w:rsidRPr="009C1E6F">
        <w:rPr>
          <w:rFonts w:ascii="Arial" w:hAnsi="Arial"/>
          <w:sz w:val="22"/>
        </w:rPr>
        <w:t xml:space="preserve">Parandusmeetmed </w:t>
      </w:r>
    </w:p>
    <w:p w14:paraId="39EFCE22" w14:textId="77777777" w:rsidR="00CE2EF9" w:rsidRPr="009C1E6F" w:rsidRDefault="00CE2EF9" w:rsidP="00CE2EF9">
      <w:pPr>
        <w:pStyle w:val="doLijstnummering7"/>
        <w:numPr>
          <w:ilvl w:val="0"/>
          <w:numId w:val="0"/>
        </w:numPr>
        <w:ind w:left="851"/>
        <w:rPr>
          <w:rFonts w:ascii="Arial" w:hAnsi="Arial" w:cs="Arial"/>
          <w:sz w:val="22"/>
          <w:szCs w:val="22"/>
        </w:rPr>
      </w:pPr>
    </w:p>
    <w:p w14:paraId="3FC3B3A9" w14:textId="4EAEEA90" w:rsidR="00CE2EF9" w:rsidRPr="009C1E6F" w:rsidRDefault="00CE2EF9" w:rsidP="00CE2EF9">
      <w:pPr>
        <w:pStyle w:val="doLijstnummering7"/>
        <w:numPr>
          <w:ilvl w:val="0"/>
          <w:numId w:val="0"/>
        </w:numPr>
        <w:ind w:left="709"/>
        <w:rPr>
          <w:rFonts w:ascii="Arial" w:hAnsi="Arial" w:cs="Arial"/>
          <w:sz w:val="22"/>
          <w:szCs w:val="22"/>
        </w:rPr>
      </w:pPr>
      <w:r w:rsidRPr="009C1E6F">
        <w:rPr>
          <w:rFonts w:ascii="Arial" w:hAnsi="Arial"/>
          <w:sz w:val="22"/>
        </w:rPr>
        <w:t>Kui lepingu kehtivusaja jooksul tarnija arvab või tal on põhjust arvata, et tehisintellektisüsteem ei vasta käesolevatele suure riskiga tehisintellekti hankimise lepingu tüüptingimustele, olenemata sellest, kas selle arvamuseni viis avaliku sektori organisatsiooni märkus või mitte, võtab ta viivitamata vajalikud parandusmeetmed, et viia süsteem käesolevate tüüptingimustega vastavusse. Tarnija teatab sellest avaliku sektori organisatsioonile.</w:t>
      </w:r>
    </w:p>
    <w:p w14:paraId="51D034E8" w14:textId="77777777" w:rsidR="00CE2EF9" w:rsidRPr="009C1E6F" w:rsidRDefault="00CE2EF9" w:rsidP="00CE2EF9">
      <w:pPr>
        <w:pStyle w:val="doLijstnummering7"/>
        <w:numPr>
          <w:ilvl w:val="0"/>
          <w:numId w:val="0"/>
        </w:numPr>
        <w:ind w:left="709"/>
        <w:rPr>
          <w:rFonts w:ascii="Arial" w:hAnsi="Arial" w:cs="Arial"/>
          <w:sz w:val="22"/>
          <w:szCs w:val="22"/>
        </w:rPr>
      </w:pPr>
    </w:p>
    <w:p w14:paraId="3B8A924E" w14:textId="452280E4" w:rsidR="00CE2EF9" w:rsidRPr="009C1E6F" w:rsidRDefault="00C77C3E" w:rsidP="002C7FA3">
      <w:pPr>
        <w:pStyle w:val="doLijstnummering7"/>
      </w:pPr>
      <w:r w:rsidRPr="009C1E6F">
        <w:rPr>
          <w:rFonts w:ascii="Arial" w:hAnsi="Arial"/>
          <w:b/>
          <w:sz w:val="22"/>
        </w:rPr>
        <w:t>&lt;Vabatahtlik&gt;</w:t>
      </w:r>
      <w:r w:rsidRPr="009C1E6F">
        <w:rPr>
          <w:rFonts w:ascii="Arial" w:hAnsi="Arial"/>
          <w:sz w:val="22"/>
        </w:rPr>
        <w:t xml:space="preserve"> Kohustus selgitada üksikotsuste tegemist</w:t>
      </w:r>
    </w:p>
    <w:p w14:paraId="4E1B9500" w14:textId="77777777" w:rsidR="00CE2EF9" w:rsidRPr="009C1E6F" w:rsidRDefault="00CE2EF9" w:rsidP="00CE2EF9">
      <w:pPr>
        <w:pStyle w:val="doLijstnummering7"/>
        <w:numPr>
          <w:ilvl w:val="0"/>
          <w:numId w:val="0"/>
        </w:numPr>
        <w:ind w:left="851"/>
        <w:rPr>
          <w:rFonts w:ascii="Arial" w:hAnsi="Arial" w:cs="Arial"/>
          <w:sz w:val="22"/>
          <w:szCs w:val="22"/>
        </w:rPr>
      </w:pPr>
    </w:p>
    <w:p w14:paraId="132FF29A" w14:textId="4F837ACD" w:rsidR="009B4B27" w:rsidRPr="009C1E6F" w:rsidRDefault="0012712E" w:rsidP="00C77C3E">
      <w:pPr>
        <w:pStyle w:val="doLijstnummering7"/>
        <w:numPr>
          <w:ilvl w:val="1"/>
          <w:numId w:val="6"/>
        </w:numPr>
        <w:rPr>
          <w:rFonts w:ascii="Arial" w:hAnsi="Arial" w:cs="Arial"/>
          <w:sz w:val="22"/>
          <w:szCs w:val="22"/>
        </w:rPr>
      </w:pPr>
      <w:r w:rsidRPr="009C1E6F">
        <w:rPr>
          <w:rFonts w:ascii="Arial" w:hAnsi="Arial"/>
          <w:b/>
          <w:sz w:val="22"/>
        </w:rPr>
        <w:t>&lt;Vabatahtlik&gt;</w:t>
      </w:r>
      <w:r w:rsidRPr="009C1E6F">
        <w:rPr>
          <w:rFonts w:ascii="Arial" w:hAnsi="Arial"/>
          <w:sz w:val="22"/>
        </w:rPr>
        <w:t xml:space="preserve"> Lisaks artiklis 6 kirjeldatud kohustustele on tarnija kohustatud avaliku sektori organisatsiooni esimesel nõudmisel abistama kõnealust organisatsiooni selge ja sisulise selgituse koostamisel tehisintellektisüsteemi rolli kohta otsustusmenetluses. Sisuline selgitus peaks eelkõige (kuid mitte ainult) andma ülevaate otsus(t)e põhielementidest seoses iga mõjutatud isikuga, kelle suhtes kohaldatakse tehisintellektisüsteemi väljundil põhinevat avaliku sektori organisatsiooni otsust (otsuseid).</w:t>
      </w:r>
    </w:p>
    <w:p w14:paraId="49D8BAB6" w14:textId="7261D6C6" w:rsidR="00CE2EF9" w:rsidRPr="009C1E6F" w:rsidRDefault="0012712E" w:rsidP="00CE2EF9">
      <w:pPr>
        <w:pStyle w:val="doLijstnummering7"/>
        <w:numPr>
          <w:ilvl w:val="1"/>
          <w:numId w:val="6"/>
        </w:numPr>
        <w:rPr>
          <w:rFonts w:ascii="Arial" w:hAnsi="Arial" w:cs="Arial"/>
          <w:sz w:val="22"/>
          <w:szCs w:val="22"/>
        </w:rPr>
      </w:pPr>
      <w:r w:rsidRPr="009C1E6F">
        <w:rPr>
          <w:rFonts w:ascii="Arial" w:hAnsi="Arial"/>
          <w:b/>
          <w:sz w:val="22"/>
        </w:rPr>
        <w:t>&lt;Vabatahtlik&gt;</w:t>
      </w:r>
      <w:r w:rsidRPr="009C1E6F">
        <w:rPr>
          <w:rFonts w:ascii="Arial" w:hAnsi="Arial"/>
          <w:sz w:val="22"/>
        </w:rPr>
        <w:t xml:space="preserve"> Lõikes 14.1 kirjeldatud kohustus hõlmab kohustust esitada avaliku sektori organisatsioonile kogu tehniline ja muu teave, mida on vaja selleks, et </w:t>
      </w:r>
      <w:r w:rsidRPr="009C1E6F">
        <w:rPr>
          <w:rFonts w:ascii="Arial" w:hAnsi="Arial"/>
          <w:sz w:val="22"/>
        </w:rPr>
        <w:lastRenderedPageBreak/>
        <w:t>selgitada, kuidas tehisintellektisüsteem konkreetse väljundini jõudis, ning pakkuda mõjutatud isikutele võimalust seda kontrollida. Tarnija annab käesolevaga avaliku sektori organisatsioonile õiguse kasutada, jagada ja avalikustada asjaomast teavet vajaduse korral ja ulatuses, mis on vajalik mõjutatud isikute asjaomaseks teavitamiseks.</w:t>
      </w:r>
    </w:p>
    <w:p w14:paraId="1A7FA37F" w14:textId="2B9AF792" w:rsidR="00CE2EF9" w:rsidRPr="009C1E6F" w:rsidRDefault="0012712E" w:rsidP="00CE2EF9">
      <w:pPr>
        <w:pStyle w:val="doLijstnummering7"/>
        <w:numPr>
          <w:ilvl w:val="1"/>
          <w:numId w:val="6"/>
        </w:numPr>
        <w:rPr>
          <w:rFonts w:ascii="Arial" w:hAnsi="Arial" w:cs="Arial"/>
          <w:sz w:val="22"/>
          <w:szCs w:val="22"/>
        </w:rPr>
      </w:pPr>
      <w:r w:rsidRPr="009C1E6F">
        <w:rPr>
          <w:rFonts w:ascii="Arial" w:hAnsi="Arial"/>
          <w:b/>
          <w:sz w:val="22"/>
        </w:rPr>
        <w:t>&lt;Vabatahtlik&gt;</w:t>
      </w:r>
      <w:r w:rsidRPr="009C1E6F">
        <w:rPr>
          <w:rFonts w:ascii="Arial" w:hAnsi="Arial"/>
          <w:sz w:val="22"/>
        </w:rPr>
        <w:t xml:space="preserve"> Lõigetes 14.1 ja 14.2 osutatud kohustused hõlmavad tehisintellektisüsteemi lähtekoodi, tehisintellektisüsteemi väljatöötamisel kasutatud tehnilisi kirjeldusi, andmestikke, tehnilist teavet selle kohta, kuidas tehisintellektisüsteemi väljatöötamiseks kasutatud andmestikud saadi ja kuidas neid redigeeriti, teavet kasutatud väljatöötamismeetodi ja elluviidud väljatöötamisprotsessi kohta, konkreetse mudeli valiku põhjendust ja selle parameetreid ning teavet tehisintellektisüsteemi toimimise kohta.</w:t>
      </w:r>
    </w:p>
    <w:p w14:paraId="52778463" w14:textId="77777777" w:rsidR="004C37ED" w:rsidRPr="009C1E6F" w:rsidRDefault="004C37ED" w:rsidP="00564A63">
      <w:pPr>
        <w:pStyle w:val="doLijstnummering7"/>
        <w:numPr>
          <w:ilvl w:val="0"/>
          <w:numId w:val="0"/>
        </w:numPr>
        <w:ind w:left="709"/>
        <w:rPr>
          <w:rFonts w:ascii="Arial" w:hAnsi="Arial" w:cs="Arial"/>
          <w:sz w:val="22"/>
          <w:szCs w:val="22"/>
        </w:rPr>
      </w:pPr>
    </w:p>
    <w:p w14:paraId="562E5257" w14:textId="77777777" w:rsidR="00C56C58" w:rsidRPr="009C1E6F" w:rsidRDefault="00C56C58" w:rsidP="00CE2EF9">
      <w:pPr>
        <w:pStyle w:val="doLijstnummering7"/>
        <w:numPr>
          <w:ilvl w:val="0"/>
          <w:numId w:val="0"/>
        </w:numPr>
        <w:rPr>
          <w:rFonts w:ascii="Arial" w:hAnsi="Arial" w:cs="Arial"/>
          <w:sz w:val="22"/>
          <w:szCs w:val="22"/>
        </w:rPr>
      </w:pPr>
    </w:p>
    <w:p w14:paraId="4A19A640" w14:textId="77777777" w:rsidR="00CE2EF9" w:rsidRPr="009C1E6F" w:rsidRDefault="00CE2EF9" w:rsidP="00D33B49">
      <w:pPr>
        <w:spacing w:before="120" w:after="240"/>
        <w:rPr>
          <w:rFonts w:ascii="Arial" w:hAnsi="Arial" w:cs="Arial"/>
          <w:b/>
          <w:sz w:val="26"/>
          <w:szCs w:val="26"/>
        </w:rPr>
      </w:pPr>
      <w:r w:rsidRPr="009C1E6F">
        <w:rPr>
          <w:rFonts w:ascii="Arial" w:hAnsi="Arial"/>
          <w:b/>
          <w:sz w:val="26"/>
        </w:rPr>
        <w:t>D jagu. Andmestike kasutamise õigused</w:t>
      </w:r>
    </w:p>
    <w:p w14:paraId="550BCC80" w14:textId="77777777" w:rsidR="00CE2EF9" w:rsidRPr="009C1E6F" w:rsidRDefault="00CE2EF9" w:rsidP="00CE2EF9">
      <w:pPr>
        <w:pStyle w:val="doLijstnummering7"/>
        <w:rPr>
          <w:rFonts w:ascii="Arial" w:hAnsi="Arial" w:cs="Arial"/>
          <w:sz w:val="22"/>
          <w:szCs w:val="22"/>
        </w:rPr>
      </w:pPr>
      <w:r w:rsidRPr="009C1E6F">
        <w:rPr>
          <w:rFonts w:ascii="Arial" w:hAnsi="Arial"/>
          <w:sz w:val="22"/>
        </w:rPr>
        <w:t>Avaliku sektori organisatsiooni andmestikega seotud õigused</w:t>
      </w:r>
    </w:p>
    <w:p w14:paraId="40B12FE1" w14:textId="77777777" w:rsidR="00CE2EF9" w:rsidRPr="009C1E6F" w:rsidRDefault="00CE2EF9" w:rsidP="00CE2EF9">
      <w:pPr>
        <w:pStyle w:val="doLijstnummering7"/>
        <w:numPr>
          <w:ilvl w:val="0"/>
          <w:numId w:val="0"/>
        </w:numPr>
        <w:ind w:left="709"/>
        <w:rPr>
          <w:rFonts w:ascii="Arial" w:hAnsi="Arial" w:cs="Arial"/>
          <w:sz w:val="22"/>
          <w:szCs w:val="22"/>
        </w:rPr>
      </w:pPr>
    </w:p>
    <w:p w14:paraId="68869B5C"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Kõik avaliku sektori organisatsiooni andmestikega seotud õigused, sealhulgas intellektuaalomandi õigused, kuuluvad avaliku sektori organisatsioonile või avaliku sektori organisatsiooni määratud kolmandale isikule. </w:t>
      </w:r>
    </w:p>
    <w:p w14:paraId="0F030359"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Tarnijal ei ole õigust kasutada avaliku sektori organisatsiooni andmestikke muul eesmärgil kui lepingu täitmiseks, kui B lisas ei ole sätestatud teisiti.</w:t>
      </w:r>
    </w:p>
    <w:p w14:paraId="01A42888"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Tarnija peab avaliku sektori organisatsiooni esimesel nõudmisel hävitama avaliku sektori organisatsiooni andmestikud, välja arvatud juhul, kui B lisas on sätestatud teisiti. Avaliku sektori organisatsiooni nõudmisel peab tarnija esitama avaliku sektori organisatsiooni andmestike hävitamist puudutavad asjakohased tõendid.</w:t>
      </w:r>
    </w:p>
    <w:p w14:paraId="11B3898E" w14:textId="77777777" w:rsidR="00CE2EF9" w:rsidRPr="009C1E6F" w:rsidRDefault="00CE2EF9" w:rsidP="00CE2EF9">
      <w:pPr>
        <w:pStyle w:val="doLijstnummering7"/>
        <w:numPr>
          <w:ilvl w:val="0"/>
          <w:numId w:val="0"/>
        </w:numPr>
        <w:ind w:left="709"/>
        <w:rPr>
          <w:rFonts w:ascii="Arial" w:hAnsi="Arial" w:cs="Arial"/>
          <w:sz w:val="22"/>
          <w:szCs w:val="22"/>
        </w:rPr>
      </w:pPr>
    </w:p>
    <w:p w14:paraId="2FB0BD24" w14:textId="144D52B8" w:rsidR="00CE2EF9" w:rsidRPr="009C1E6F" w:rsidRDefault="00CE2EF9" w:rsidP="00CE2EF9">
      <w:pPr>
        <w:pStyle w:val="doLijstnummering7"/>
        <w:rPr>
          <w:rFonts w:ascii="Arial" w:hAnsi="Arial" w:cs="Arial"/>
          <w:sz w:val="22"/>
          <w:szCs w:val="22"/>
        </w:rPr>
      </w:pPr>
      <w:r w:rsidRPr="009C1E6F">
        <w:rPr>
          <w:rFonts w:ascii="Arial" w:hAnsi="Arial"/>
          <w:sz w:val="22"/>
        </w:rPr>
        <w:t>Tarnija andmestikega ja kolmandate isikute andmestikega seotud õigused</w:t>
      </w:r>
    </w:p>
    <w:p w14:paraId="2A54E808" w14:textId="77777777" w:rsidR="00CE2EF9" w:rsidRPr="009C1E6F"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Kõik tarnija andmestikega ja kolmandate isikute andmestikega seotud õigused, sealhulgas intellektuaalomandi õigused, kuuluvad tarnijale või kolmandale isikule. </w:t>
      </w:r>
    </w:p>
    <w:p w14:paraId="0675C23A" w14:textId="57572060"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Tarnija annab avaliku sektori organisatsioonile mitteainuõigusliku õiguse kasutada tarnija andmestikke ja kolmandate isikute andmestikke, mis on igal juhul piisav lepingu sätete, sealhulgas käesolevate suure riskiga tehisintellekti hankimise lepingu tüüptingimuste täitmiseks, kui B lisas ei ole sätestatud teisiti.</w:t>
      </w:r>
    </w:p>
    <w:p w14:paraId="6EA8D37E" w14:textId="378C3B57" w:rsidR="00CE2EF9" w:rsidRPr="009C1E6F" w:rsidRDefault="0012712E" w:rsidP="00CE2EF9">
      <w:pPr>
        <w:pStyle w:val="doLijstnummering7"/>
        <w:numPr>
          <w:ilvl w:val="1"/>
          <w:numId w:val="6"/>
        </w:numPr>
        <w:rPr>
          <w:rFonts w:ascii="Arial" w:hAnsi="Arial" w:cs="Arial"/>
          <w:sz w:val="22"/>
          <w:szCs w:val="22"/>
        </w:rPr>
      </w:pPr>
      <w:r w:rsidRPr="009C1E6F">
        <w:rPr>
          <w:rFonts w:ascii="Arial" w:hAnsi="Arial"/>
          <w:b/>
          <w:sz w:val="22"/>
        </w:rPr>
        <w:t xml:space="preserve">&lt;Vabatahtlik&gt; </w:t>
      </w:r>
      <w:r w:rsidRPr="009C1E6F">
        <w:rPr>
          <w:rFonts w:ascii="Arial" w:hAnsi="Arial"/>
          <w:sz w:val="22"/>
        </w:rPr>
        <w:t xml:space="preserve">Lõikes 16.2 kirjeldatud kasutusõigus hõlmab õigust kasutada tarnija andmestikke ja kolmandate isikute andmestikke tehisintellektisüsteemi, sealhulgas selle uute versioonide edasiarendamiseks avaliku sektori organisatsiooni või kolmanda isiku poolt. </w:t>
      </w:r>
    </w:p>
    <w:p w14:paraId="5DC6759B" w14:textId="77777777" w:rsidR="009B4B27" w:rsidRPr="009C1E6F" w:rsidRDefault="009B4B27" w:rsidP="00564A63">
      <w:pPr>
        <w:pStyle w:val="doLijstnummering7"/>
        <w:numPr>
          <w:ilvl w:val="0"/>
          <w:numId w:val="0"/>
        </w:numPr>
        <w:ind w:left="709"/>
        <w:rPr>
          <w:rFonts w:ascii="Arial" w:hAnsi="Arial" w:cs="Arial"/>
          <w:sz w:val="22"/>
          <w:szCs w:val="22"/>
        </w:rPr>
      </w:pPr>
    </w:p>
    <w:p w14:paraId="219AA20A" w14:textId="0E263393" w:rsidR="00CE2EF9" w:rsidRPr="009C1E6F" w:rsidRDefault="009B4B27" w:rsidP="00CE2EF9">
      <w:pPr>
        <w:pStyle w:val="doLijstnummering7"/>
        <w:rPr>
          <w:rFonts w:ascii="Arial" w:hAnsi="Arial" w:cs="Arial"/>
          <w:sz w:val="22"/>
          <w:szCs w:val="22"/>
        </w:rPr>
      </w:pPr>
      <w:r w:rsidRPr="009C1E6F">
        <w:rPr>
          <w:rFonts w:ascii="Arial" w:hAnsi="Arial"/>
          <w:sz w:val="22"/>
        </w:rPr>
        <w:t>Andmestike üleandmine</w:t>
      </w:r>
    </w:p>
    <w:p w14:paraId="44470E3C" w14:textId="77777777" w:rsidR="00CE2EF9" w:rsidRPr="009C1E6F"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Tarnija annab avaliku sektori organisatsiooni esimesel nõudmisel avaliku sektori organisatsioonile üle avaliku sektori organisatsiooni andmestike viimase versiooni.</w:t>
      </w:r>
    </w:p>
    <w:p w14:paraId="304FB838" w14:textId="1AD1DC3C"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lastRenderedPageBreak/>
        <w:t xml:space="preserve">Tarnija annab avaliku sektori organisatsiooni esimesel nõudmisel avaliku sektori organisatsioonile üle tarnija andmestike ja kolmandate isikute andmestike viimase versiooni, kui B lisas ei ole sätestatud teisiti. </w:t>
      </w:r>
    </w:p>
    <w:p w14:paraId="7D5B102F" w14:textId="67D7327A"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Tarnija peab andmestikud avaliku sektori organisatsioonile üle andma ühtses failivormingus, mille määrab avaliku sektori organisatsioon. </w:t>
      </w:r>
      <w:r w:rsidRPr="009C1E6F">
        <w:rPr>
          <w:rFonts w:ascii="Arial" w:hAnsi="Arial"/>
          <w:b/>
          <w:sz w:val="22"/>
        </w:rPr>
        <w:t>&lt;Vabatahtlik&gt; Andmestikud tagastatakse järgmiselt: [failivorming].</w:t>
      </w:r>
    </w:p>
    <w:p w14:paraId="2988E518" w14:textId="77777777" w:rsidR="00CE2EF9" w:rsidRPr="009C1E6F" w:rsidRDefault="00CE2EF9" w:rsidP="00CE2EF9">
      <w:pPr>
        <w:pStyle w:val="doLijstnummering7"/>
        <w:numPr>
          <w:ilvl w:val="0"/>
          <w:numId w:val="0"/>
        </w:numPr>
        <w:ind w:left="709"/>
        <w:rPr>
          <w:rFonts w:ascii="Arial" w:hAnsi="Arial" w:cs="Arial"/>
          <w:sz w:val="22"/>
          <w:szCs w:val="22"/>
        </w:rPr>
      </w:pPr>
    </w:p>
    <w:p w14:paraId="03C993AD" w14:textId="77777777" w:rsidR="00CE2EF9" w:rsidRPr="009C1E6F" w:rsidRDefault="00CE2EF9" w:rsidP="00CE2EF9">
      <w:pPr>
        <w:pStyle w:val="doLijstnummering7"/>
        <w:rPr>
          <w:rFonts w:ascii="Arial" w:hAnsi="Arial" w:cs="Arial"/>
          <w:sz w:val="22"/>
          <w:szCs w:val="22"/>
        </w:rPr>
      </w:pPr>
      <w:r w:rsidRPr="009C1E6F">
        <w:rPr>
          <w:rFonts w:ascii="Arial" w:hAnsi="Arial"/>
          <w:sz w:val="22"/>
        </w:rPr>
        <w:t>Kaitse nõuete eest</w:t>
      </w:r>
    </w:p>
    <w:p w14:paraId="67331209" w14:textId="77777777" w:rsidR="00CE2EF9" w:rsidRPr="009C1E6F" w:rsidRDefault="00CE2EF9" w:rsidP="00CE2EF9">
      <w:pPr>
        <w:pStyle w:val="doLijstnummering7"/>
        <w:numPr>
          <w:ilvl w:val="0"/>
          <w:numId w:val="0"/>
        </w:numPr>
        <w:ind w:left="851"/>
        <w:rPr>
          <w:rFonts w:ascii="Arial" w:hAnsi="Arial" w:cs="Arial"/>
          <w:sz w:val="22"/>
          <w:szCs w:val="22"/>
        </w:rPr>
      </w:pPr>
    </w:p>
    <w:p w14:paraId="2D47DA55" w14:textId="68C3EDFE" w:rsidR="00CE2EF9" w:rsidRPr="009C1E6F" w:rsidRDefault="00CE2EF9" w:rsidP="002C7FA3">
      <w:pPr>
        <w:pStyle w:val="doLijstnummering7"/>
        <w:numPr>
          <w:ilvl w:val="1"/>
          <w:numId w:val="6"/>
        </w:numPr>
        <w:rPr>
          <w:rFonts w:ascii="Arial" w:hAnsi="Arial" w:cs="Arial"/>
          <w:sz w:val="22"/>
          <w:szCs w:val="22"/>
        </w:rPr>
      </w:pPr>
      <w:r w:rsidRPr="009C1E6F">
        <w:rPr>
          <w:rFonts w:ascii="Arial" w:hAnsi="Arial"/>
          <w:sz w:val="22"/>
        </w:rPr>
        <w:t xml:space="preserve">Tarnija kaitseb avaliku sektori organisatsiooni kõigi nõuete eest, mille kolmandad isikud, sealhulgas järelevalveasutused, esitavad seoses intellektuaalomandi õiguste, andmekaitseõiguste või samaväärsete õiguste võimaliku rikkumisega ning mis tulenevad tehisintellektisüsteemi, tarnija andmestike ja/või kolmandate isikute andmestike kasutamisest avaliku sektori organisatsiooni poolt. </w:t>
      </w:r>
    </w:p>
    <w:p w14:paraId="388FBA68" w14:textId="6E1A7CB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Avaliku sektori organisatsioon kaitseb tarnijat kõigi nõuete eest, mille kolmandad isikud, sealhulgas järelevalveasutused, esitavad seoses oma intellektuaalomandi õiguste, eraelu puutumatuse õiguste või samaväärsete õiguste võimaliku rikkumisega ning mis tulenevad avaliku sektori organisatsiooni andmestike kasutamisest. </w:t>
      </w:r>
    </w:p>
    <w:p w14:paraId="7CEF0537" w14:textId="77777777" w:rsidR="00CE2EF9" w:rsidRPr="009C1E6F" w:rsidRDefault="00CE2EF9" w:rsidP="00CE2EF9">
      <w:pPr>
        <w:pStyle w:val="doLijstnummering7"/>
        <w:numPr>
          <w:ilvl w:val="0"/>
          <w:numId w:val="0"/>
        </w:numPr>
        <w:rPr>
          <w:rFonts w:ascii="Arial" w:hAnsi="Arial" w:cs="Arial"/>
          <w:sz w:val="22"/>
          <w:szCs w:val="22"/>
        </w:rPr>
      </w:pPr>
    </w:p>
    <w:p w14:paraId="78A7FC39" w14:textId="77777777" w:rsidR="00C56C58" w:rsidRPr="009C1E6F" w:rsidRDefault="00C56C58" w:rsidP="00CE2EF9">
      <w:pPr>
        <w:pStyle w:val="doLijstnummering7"/>
        <w:numPr>
          <w:ilvl w:val="0"/>
          <w:numId w:val="0"/>
        </w:numPr>
        <w:rPr>
          <w:rFonts w:ascii="Arial" w:hAnsi="Arial" w:cs="Arial"/>
          <w:sz w:val="22"/>
          <w:szCs w:val="22"/>
        </w:rPr>
      </w:pPr>
    </w:p>
    <w:p w14:paraId="5F84109D" w14:textId="77777777" w:rsidR="00CE2EF9" w:rsidRPr="009C1E6F" w:rsidRDefault="00CE2EF9" w:rsidP="00D33B49">
      <w:pPr>
        <w:spacing w:before="120" w:after="240"/>
        <w:rPr>
          <w:rFonts w:ascii="Arial" w:hAnsi="Arial" w:cs="Arial"/>
          <w:b/>
          <w:sz w:val="26"/>
          <w:szCs w:val="26"/>
        </w:rPr>
      </w:pPr>
      <w:r w:rsidRPr="009C1E6F">
        <w:rPr>
          <w:rFonts w:ascii="Arial" w:hAnsi="Arial"/>
          <w:b/>
          <w:sz w:val="26"/>
        </w:rPr>
        <w:t xml:space="preserve">E jagu. Tehisintellektisüsteemide register ja auditeerimine </w:t>
      </w:r>
    </w:p>
    <w:p w14:paraId="687E4541" w14:textId="77777777" w:rsidR="00CE2EF9" w:rsidRPr="009C1E6F" w:rsidRDefault="00CE2EF9" w:rsidP="00CE2EF9">
      <w:pPr>
        <w:pStyle w:val="doLijstnummering7"/>
        <w:rPr>
          <w:rFonts w:ascii="Arial" w:hAnsi="Arial" w:cs="Arial"/>
          <w:sz w:val="22"/>
          <w:szCs w:val="22"/>
        </w:rPr>
      </w:pPr>
      <w:r w:rsidRPr="009C1E6F">
        <w:rPr>
          <w:rFonts w:ascii="Arial" w:hAnsi="Arial"/>
          <w:b/>
          <w:sz w:val="22"/>
        </w:rPr>
        <w:t>&lt;Vabatahtlik&gt;</w:t>
      </w:r>
      <w:r w:rsidRPr="009C1E6F">
        <w:rPr>
          <w:rFonts w:ascii="Arial" w:hAnsi="Arial"/>
          <w:sz w:val="22"/>
        </w:rPr>
        <w:t xml:space="preserve"> Tehisintellektisüsteemide register</w:t>
      </w:r>
    </w:p>
    <w:p w14:paraId="4F33AFDF" w14:textId="77777777" w:rsidR="00CE2EF9" w:rsidRPr="009C1E6F" w:rsidRDefault="00CE2EF9" w:rsidP="00CE2EF9">
      <w:pPr>
        <w:pStyle w:val="doLijstnummering7"/>
        <w:numPr>
          <w:ilvl w:val="0"/>
          <w:numId w:val="0"/>
        </w:numPr>
        <w:ind w:left="851"/>
        <w:rPr>
          <w:rFonts w:ascii="Arial" w:hAnsi="Arial" w:cs="Arial"/>
          <w:sz w:val="22"/>
          <w:szCs w:val="22"/>
        </w:rPr>
      </w:pPr>
    </w:p>
    <w:p w14:paraId="0CEECF03"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Tarnija esitab avaliku sektori organisatsiooni esimesel nõudmisel avaliku sektori organisatsioonile C lisas ja D lisas kirjeldatud teabe kõige uuema versiooni.</w:t>
      </w:r>
    </w:p>
    <w:p w14:paraId="40886721" w14:textId="092F684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Avaliku sektori organisatsioonil on õigus jagada lõikes 19.1 osutatud teavet kolmandate isikutega ja seda avalikustada, näiteks tehisintellektisüsteemide registris. </w:t>
      </w:r>
    </w:p>
    <w:p w14:paraId="4BE929F0"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Kui avaliku sektori organisatsioon seda nõuab, aitab tarnija tehisintellektisüsteeme registreerida mis tahes asjakohases registris.</w:t>
      </w:r>
    </w:p>
    <w:p w14:paraId="4AFACAEE" w14:textId="77777777" w:rsidR="00CE2EF9" w:rsidRPr="009C1E6F" w:rsidRDefault="00CE2EF9" w:rsidP="00CE2EF9">
      <w:pPr>
        <w:pStyle w:val="doLijstnummering7"/>
        <w:numPr>
          <w:ilvl w:val="0"/>
          <w:numId w:val="0"/>
        </w:numPr>
        <w:ind w:left="851"/>
        <w:rPr>
          <w:rFonts w:ascii="Arial" w:hAnsi="Arial" w:cs="Arial"/>
          <w:sz w:val="22"/>
          <w:szCs w:val="22"/>
        </w:rPr>
      </w:pPr>
    </w:p>
    <w:p w14:paraId="1247F823" w14:textId="77777777" w:rsidR="00CE2EF9" w:rsidRPr="009C1E6F" w:rsidRDefault="00CE2EF9" w:rsidP="00CE2EF9">
      <w:pPr>
        <w:pStyle w:val="doLijstnummering7"/>
        <w:rPr>
          <w:rFonts w:ascii="Arial" w:hAnsi="Arial" w:cs="Arial"/>
          <w:sz w:val="22"/>
          <w:szCs w:val="22"/>
        </w:rPr>
      </w:pPr>
      <w:r w:rsidRPr="009C1E6F">
        <w:rPr>
          <w:rFonts w:ascii="Arial" w:hAnsi="Arial"/>
          <w:sz w:val="22"/>
        </w:rPr>
        <w:t>Tingimustele vastavus ja auditeerimine</w:t>
      </w:r>
    </w:p>
    <w:p w14:paraId="6E070ADD" w14:textId="77777777" w:rsidR="00CE2EF9" w:rsidRPr="009C1E6F" w:rsidRDefault="00CE2EF9" w:rsidP="00CE2EF9">
      <w:pPr>
        <w:pStyle w:val="doLijstnummering7"/>
        <w:numPr>
          <w:ilvl w:val="0"/>
          <w:numId w:val="0"/>
        </w:numPr>
        <w:ind w:left="851"/>
        <w:rPr>
          <w:rFonts w:ascii="Arial" w:hAnsi="Arial" w:cs="Arial"/>
          <w:sz w:val="22"/>
          <w:szCs w:val="22"/>
        </w:rPr>
      </w:pPr>
    </w:p>
    <w:p w14:paraId="1F38AA50" w14:textId="7AC01F91"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Tarnija peab avaliku sektori organisatsiooni esimesel nõudmisel tegema kõnealusele organisatsioonile kättesaadavaks kogu käesolevatele suure riskiga tehisintellekti hankimise lepingu tüüptingimustele vastavust tõendava teabe.</w:t>
      </w:r>
    </w:p>
    <w:p w14:paraId="5BEA7370" w14:textId="3787EB39"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Tarnija on kohustatud tegema koostööd avaliku sektori organisatsiooni poolt või nimel tehtava auditi või muud liiki kontrolli käigus, mille eesmärk on hinnata, kas tarnija täidab alati käesolevates suure riskiga tehisintellekti hankimise lepingu tüüptingimustes sätestatud kohustusi. See koostöö hõlmab kogu avaliku sektori organisatsiooni nõutud teabe esitamist, rakendatud riskijuhtimissüsteemist ülevaate andmist, tarnijate töötajate vestlusteks kättesaadavaks tegemist ja tarnija asukohtadele juurdepääsu võimaldamist.</w:t>
      </w:r>
    </w:p>
    <w:p w14:paraId="4C5B6841"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Avaliku sektori organisatsioon koostab või laseb koostada aruande, milles dokumenteeritakse auditi järeldused. Aruandes märgib avaliku sektori </w:t>
      </w:r>
      <w:r w:rsidRPr="009C1E6F">
        <w:rPr>
          <w:rFonts w:ascii="Arial" w:hAnsi="Arial"/>
          <w:sz w:val="22"/>
        </w:rPr>
        <w:lastRenderedPageBreak/>
        <w:t>organisatsioon, mil määral tarnija täidab lepingust tulenevaid kohustusi. Kui avaliku sektori organisatsioon teeb kindlaks, et tarnija ei täida käesolevast artiklist tulenevaid kohustusi, on tarnija kohustatud kõrvaldama avaliku sektori organisatsiooni tuvastatud puudused mõistliku tähtaja jooksul, mille avaliku sektori organisatsioon on aruandes kindlaks määranud. Kui tarnija ei kõrvalda avaliku sektori organisatsiooni tuvastatud puudusi nende puuduste kõrvaldamiseks ette nähtud tähtaja jooksul, on tarnija seaduse alusel oma kohustused täitmata jätnud.</w:t>
      </w:r>
    </w:p>
    <w:p w14:paraId="69BB53E9" w14:textId="7457B2C2"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 xml:space="preserve">Avaliku sektori organisatsioonil on õigus avaldada lõikes 20.3 osutatud aruande järeldused. </w:t>
      </w:r>
    </w:p>
    <w:p w14:paraId="528F0ABA"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Avaliku sektori organisatsioonil on õigus teha või lasta teha audit üks kord kalendriaastas või seoses mis tahes olulise muudatusega.</w:t>
      </w:r>
    </w:p>
    <w:p w14:paraId="549B6FCA" w14:textId="77777777" w:rsidR="00CE2EF9" w:rsidRPr="009C1E6F" w:rsidRDefault="00CE2EF9" w:rsidP="00CE2EF9">
      <w:pPr>
        <w:pStyle w:val="doLijstnummering7"/>
        <w:numPr>
          <w:ilvl w:val="1"/>
          <w:numId w:val="6"/>
        </w:numPr>
        <w:rPr>
          <w:rFonts w:ascii="Arial" w:hAnsi="Arial" w:cs="Arial"/>
          <w:sz w:val="22"/>
          <w:szCs w:val="22"/>
        </w:rPr>
      </w:pPr>
      <w:r w:rsidRPr="009C1E6F">
        <w:rPr>
          <w:rFonts w:ascii="Arial" w:hAnsi="Arial"/>
          <w:sz w:val="22"/>
        </w:rPr>
        <w:t>Avaliku sektori organisatsioon võib otsustada, et kogu auditi või selle osa teeb sõltumatu audiitor.</w:t>
      </w:r>
    </w:p>
    <w:p w14:paraId="6A1C79A3" w14:textId="1DF2CA70" w:rsidR="00CE2EF9" w:rsidRPr="009C1E6F" w:rsidRDefault="00CE2EF9" w:rsidP="00CE2EF9">
      <w:pPr>
        <w:pStyle w:val="doLijstnummering7"/>
        <w:numPr>
          <w:ilvl w:val="1"/>
          <w:numId w:val="6"/>
        </w:numPr>
        <w:rPr>
          <w:rFonts w:ascii="Arial" w:hAnsi="Arial" w:cs="Arial"/>
          <w:b/>
          <w:i/>
          <w:sz w:val="22"/>
          <w:szCs w:val="22"/>
        </w:rPr>
      </w:pPr>
      <w:r w:rsidRPr="009C1E6F">
        <w:rPr>
          <w:rFonts w:ascii="Arial" w:hAnsi="Arial"/>
          <w:sz w:val="22"/>
        </w:rPr>
        <w:t>Avaliku sektori organisatsiooni palgatava audiitori kulud tasub avaliku sektori organisatsioon. Avaliku sektori organisatsioon maksab tarnijale mõistlikku tasu võimalike kulude eest, mis tarnijal seoses auditiga tekivad. Vaidlus sellise tasu suuruse üle ei anna ühelgi juhul tarnijale õigust peatada käesolevatest suure riskiga tehisintellekti hankimise lepingu tüüptingimustest tulenevate kohustuste täitmine. Avaliku sektori organisatsioon ei ole kohustatud nimetatud tasu maksma, kui auditi käigus selgub, et tarnija ei ole täitnud käesolevatest tüüptingimustest tulenevaid kohustusi.</w:t>
      </w:r>
    </w:p>
    <w:p w14:paraId="61735993" w14:textId="77777777" w:rsidR="00CE2EF9" w:rsidRPr="009C1E6F" w:rsidRDefault="00CE2EF9" w:rsidP="00CE2EF9">
      <w:pPr>
        <w:rPr>
          <w:rFonts w:ascii="Arial" w:hAnsi="Arial" w:cs="Arial"/>
          <w:b/>
          <w:i/>
          <w:sz w:val="22"/>
          <w:szCs w:val="22"/>
        </w:rPr>
      </w:pPr>
    </w:p>
    <w:p w14:paraId="214043CE" w14:textId="77777777" w:rsidR="00C56C58" w:rsidRPr="009C1E6F" w:rsidRDefault="00C56C58" w:rsidP="00CE2EF9">
      <w:pPr>
        <w:rPr>
          <w:rFonts w:ascii="Arial" w:hAnsi="Arial" w:cs="Arial"/>
          <w:b/>
          <w:i/>
          <w:sz w:val="22"/>
          <w:szCs w:val="22"/>
        </w:rPr>
      </w:pPr>
    </w:p>
    <w:p w14:paraId="397602CA" w14:textId="77777777" w:rsidR="00CE2EF9" w:rsidRPr="009C1E6F" w:rsidRDefault="00CE2EF9" w:rsidP="00D33B49">
      <w:pPr>
        <w:spacing w:before="120" w:after="240"/>
        <w:rPr>
          <w:rFonts w:ascii="Arial" w:hAnsi="Arial" w:cs="Arial"/>
          <w:b/>
          <w:sz w:val="26"/>
          <w:szCs w:val="26"/>
        </w:rPr>
      </w:pPr>
      <w:r w:rsidRPr="009C1E6F">
        <w:rPr>
          <w:rFonts w:ascii="Arial" w:hAnsi="Arial"/>
          <w:b/>
          <w:sz w:val="26"/>
        </w:rPr>
        <w:t>F jagu. Kulud</w:t>
      </w:r>
    </w:p>
    <w:p w14:paraId="7F55C7C3" w14:textId="77777777" w:rsidR="00CE2EF9" w:rsidRPr="009C1E6F" w:rsidRDefault="00CE2EF9" w:rsidP="00CE2EF9">
      <w:pPr>
        <w:pStyle w:val="doLijstnummering7"/>
        <w:rPr>
          <w:rFonts w:ascii="Arial" w:hAnsi="Arial" w:cs="Arial"/>
          <w:sz w:val="22"/>
          <w:szCs w:val="22"/>
        </w:rPr>
      </w:pPr>
      <w:r w:rsidRPr="009C1E6F">
        <w:rPr>
          <w:rFonts w:ascii="Arial" w:hAnsi="Arial"/>
          <w:sz w:val="22"/>
        </w:rPr>
        <w:t>Kulud</w:t>
      </w:r>
    </w:p>
    <w:p w14:paraId="18DD6F84" w14:textId="77777777" w:rsidR="00CE2EF9" w:rsidRPr="009C1E6F" w:rsidRDefault="00CE2EF9" w:rsidP="00CE2EF9">
      <w:pPr>
        <w:pStyle w:val="doLijstnummering7"/>
        <w:numPr>
          <w:ilvl w:val="0"/>
          <w:numId w:val="0"/>
        </w:numPr>
        <w:ind w:left="709"/>
        <w:rPr>
          <w:rFonts w:ascii="Arial" w:hAnsi="Arial" w:cs="Arial"/>
          <w:sz w:val="22"/>
          <w:szCs w:val="22"/>
        </w:rPr>
      </w:pPr>
    </w:p>
    <w:p w14:paraId="020BCF2F" w14:textId="52F8A91F" w:rsidR="00CE2EF9" w:rsidRPr="009C1E6F" w:rsidRDefault="00CE2EF9" w:rsidP="00CE2EF9">
      <w:pPr>
        <w:pStyle w:val="doLijstnummering7"/>
        <w:numPr>
          <w:ilvl w:val="0"/>
          <w:numId w:val="0"/>
        </w:numPr>
        <w:ind w:left="709"/>
        <w:rPr>
          <w:rFonts w:ascii="Arial" w:hAnsi="Arial" w:cs="Arial"/>
          <w:sz w:val="22"/>
          <w:szCs w:val="22"/>
        </w:rPr>
      </w:pPr>
      <w:r w:rsidRPr="009C1E6F">
        <w:rPr>
          <w:rFonts w:ascii="Arial" w:hAnsi="Arial"/>
          <w:sz w:val="22"/>
        </w:rPr>
        <w:t>Kui lepingupooled ei lepi kokku teisiti või kui käesolevates suure riskiga tehisintellekti hankimise lepingu tüüptingimustes ei ole sõnaselgelt sätestatud teisiti, ei ole avaliku sektori organisatsioon kohustatud maksma tarnijale käesolevatest tüüptingimustest tuleneva töö eest lisatasu.</w:t>
      </w:r>
    </w:p>
    <w:p w14:paraId="1A17E258" w14:textId="77777777" w:rsidR="00CE2EF9" w:rsidRPr="009C1E6F" w:rsidRDefault="00CE2EF9" w:rsidP="00CE2EF9">
      <w:pPr>
        <w:rPr>
          <w:rFonts w:ascii="Arial" w:hAnsi="Arial" w:cs="Arial"/>
          <w:b/>
          <w:i/>
          <w:sz w:val="22"/>
          <w:szCs w:val="22"/>
        </w:rPr>
      </w:pPr>
    </w:p>
    <w:p w14:paraId="2152FA27" w14:textId="77777777" w:rsidR="00CE2EF9" w:rsidRPr="009C1E6F" w:rsidRDefault="00CE2EF9" w:rsidP="00CE2EF9">
      <w:pPr>
        <w:rPr>
          <w:rFonts w:ascii="Arial" w:hAnsi="Arial" w:cs="Arial"/>
          <w:sz w:val="22"/>
          <w:szCs w:val="22"/>
        </w:rPr>
      </w:pPr>
    </w:p>
    <w:p w14:paraId="07536CC8" w14:textId="77777777" w:rsidR="00CE2EF9" w:rsidRPr="009C1E6F" w:rsidRDefault="00CE2EF9" w:rsidP="00CE2EF9">
      <w:pPr>
        <w:rPr>
          <w:rFonts w:ascii="Arial" w:hAnsi="Arial" w:cs="Arial"/>
          <w:sz w:val="22"/>
          <w:szCs w:val="22"/>
        </w:rPr>
      </w:pPr>
    </w:p>
    <w:p w14:paraId="2680FA7E" w14:textId="77777777" w:rsidR="00D33B49" w:rsidRPr="009C1E6F" w:rsidRDefault="00CE2EF9" w:rsidP="00D33B49">
      <w:pPr>
        <w:spacing w:before="120" w:after="240"/>
        <w:jc w:val="both"/>
        <w:rPr>
          <w:rFonts w:ascii="Arial" w:hAnsi="Arial" w:cs="Arial"/>
          <w:sz w:val="26"/>
          <w:szCs w:val="26"/>
        </w:rPr>
      </w:pPr>
      <w:r w:rsidRPr="009C1E6F">
        <w:br w:type="page"/>
      </w:r>
    </w:p>
    <w:p w14:paraId="3D167257" w14:textId="77777777" w:rsidR="001C5152" w:rsidRPr="009C1E6F" w:rsidRDefault="00CE2EF9" w:rsidP="00A74620">
      <w:pPr>
        <w:spacing w:after="360"/>
        <w:rPr>
          <w:rFonts w:ascii="Arial" w:hAnsi="Arial" w:cs="Arial"/>
          <w:b/>
          <w:bCs/>
          <w:sz w:val="26"/>
          <w:szCs w:val="26"/>
        </w:rPr>
      </w:pPr>
      <w:r w:rsidRPr="009C1E6F">
        <w:rPr>
          <w:rFonts w:ascii="Arial" w:hAnsi="Arial"/>
          <w:b/>
          <w:sz w:val="26"/>
        </w:rPr>
        <w:lastRenderedPageBreak/>
        <w:t>A lisa. Tehisintellektisüsteem ja selle sihtotstarve</w:t>
      </w:r>
    </w:p>
    <w:p w14:paraId="212D40C9" w14:textId="77777777" w:rsidR="00CE2EF9" w:rsidRPr="009C1E6F" w:rsidRDefault="00CE2EF9" w:rsidP="001C5152">
      <w:pPr>
        <w:spacing w:before="120" w:after="210"/>
        <w:jc w:val="both"/>
        <w:rPr>
          <w:rFonts w:ascii="Arial" w:hAnsi="Arial" w:cs="Arial"/>
          <w:bCs/>
          <w:sz w:val="22"/>
          <w:szCs w:val="22"/>
        </w:rPr>
      </w:pPr>
      <w:r w:rsidRPr="009C1E6F">
        <w:rPr>
          <w:rFonts w:ascii="Arial" w:hAnsi="Arial"/>
          <w:sz w:val="22"/>
          <w:u w:val="single"/>
        </w:rPr>
        <w:t>Tehisintellektisüsteemi kirjeldus</w:t>
      </w:r>
    </w:p>
    <w:p w14:paraId="601B15F1" w14:textId="287CE2FB" w:rsidR="00CE2EF9" w:rsidRPr="009C1E6F" w:rsidRDefault="00CE2EF9" w:rsidP="00CE2EF9">
      <w:pPr>
        <w:spacing w:after="210"/>
        <w:jc w:val="both"/>
        <w:rPr>
          <w:rFonts w:ascii="Arial" w:hAnsi="Arial" w:cs="Arial"/>
          <w:bCs/>
          <w:sz w:val="22"/>
          <w:szCs w:val="22"/>
        </w:rPr>
      </w:pPr>
      <w:r w:rsidRPr="009C1E6F">
        <w:rPr>
          <w:rFonts w:ascii="Arial" w:hAnsi="Arial"/>
          <w:sz w:val="22"/>
        </w:rPr>
        <w:t xml:space="preserve">Käesolevate suure riskiga tehisintellekti hankimise lepingu tüüptingimuste kohaldamisalasse kuuluvad järgmised süsteemid või nende komponendid. </w:t>
      </w:r>
    </w:p>
    <w:p w14:paraId="0A259DDD" w14:textId="77777777" w:rsidR="00CE2EF9" w:rsidRPr="009C1E6F" w:rsidRDefault="00CE2EF9" w:rsidP="00CE2EF9">
      <w:pPr>
        <w:spacing w:after="210"/>
        <w:jc w:val="both"/>
        <w:rPr>
          <w:rFonts w:ascii="Arial" w:hAnsi="Arial" w:cs="Arial"/>
          <w:i/>
          <w:sz w:val="22"/>
          <w:szCs w:val="22"/>
        </w:rPr>
      </w:pPr>
      <w:r w:rsidRPr="009C1E6F">
        <w:rPr>
          <w:rFonts w:ascii="Arial" w:hAnsi="Arial"/>
          <w:i/>
          <w:sz w:val="22"/>
        </w:rPr>
        <w:t>Esitage tehisintellektisüsteemi(de) kirjeldus. Tegemist võib olla ka algoritmilise süsteemiga, mida ei liigitata tehisintellekti käsitleva määruse kohaselt tehisintellektisüsteemiks.</w:t>
      </w:r>
    </w:p>
    <w:p w14:paraId="6025DC8F" w14:textId="77777777" w:rsidR="00CE2EF9" w:rsidRPr="009C1E6F" w:rsidRDefault="00CE2EF9" w:rsidP="00CE2EF9">
      <w:pPr>
        <w:spacing w:after="210"/>
        <w:jc w:val="both"/>
        <w:rPr>
          <w:rFonts w:ascii="Arial" w:hAnsi="Arial" w:cs="Arial"/>
          <w:sz w:val="22"/>
          <w:szCs w:val="22"/>
          <w:u w:val="single"/>
        </w:rPr>
      </w:pPr>
      <w:r w:rsidRPr="009C1E6F">
        <w:rPr>
          <w:rFonts w:ascii="Arial" w:hAnsi="Arial"/>
          <w:sz w:val="22"/>
          <w:u w:val="single"/>
        </w:rPr>
        <w:t>Sihtotstarve</w:t>
      </w:r>
    </w:p>
    <w:p w14:paraId="278B3969" w14:textId="77777777" w:rsidR="00CE2EF9" w:rsidRPr="009C1E6F" w:rsidRDefault="00CE2EF9" w:rsidP="00CE2EF9">
      <w:pPr>
        <w:spacing w:after="210"/>
        <w:jc w:val="both"/>
        <w:rPr>
          <w:rFonts w:ascii="Arial" w:hAnsi="Arial" w:cs="Arial"/>
          <w:bCs/>
          <w:sz w:val="22"/>
          <w:szCs w:val="22"/>
        </w:rPr>
      </w:pPr>
      <w:r w:rsidRPr="009C1E6F">
        <w:rPr>
          <w:rFonts w:ascii="Arial" w:hAnsi="Arial"/>
          <w:i/>
          <w:sz w:val="22"/>
        </w:rPr>
        <w:t>Kirjeldage kasutust, mille tarbeks tehisintellektisüsteem on ette nähtud.</w:t>
      </w:r>
      <w:r w:rsidRPr="009C1E6F">
        <w:rPr>
          <w:rFonts w:ascii="Arial" w:hAnsi="Arial"/>
          <w:sz w:val="22"/>
        </w:rPr>
        <w:br w:type="page"/>
      </w:r>
    </w:p>
    <w:p w14:paraId="2326345B" w14:textId="77777777" w:rsidR="00CE2EF9" w:rsidRPr="009C1E6F" w:rsidRDefault="00CE2EF9" w:rsidP="00A74620">
      <w:pPr>
        <w:spacing w:after="360" w:line="360" w:lineRule="auto"/>
        <w:rPr>
          <w:rFonts w:ascii="Arial" w:hAnsi="Arial" w:cs="Arial"/>
          <w:b/>
          <w:bCs/>
          <w:sz w:val="26"/>
          <w:szCs w:val="26"/>
        </w:rPr>
      </w:pPr>
      <w:r w:rsidRPr="009C1E6F">
        <w:rPr>
          <w:rFonts w:ascii="Arial" w:hAnsi="Arial"/>
          <w:b/>
          <w:sz w:val="26"/>
        </w:rPr>
        <w:lastRenderedPageBreak/>
        <w:t>B lisa. Andmestikud</w:t>
      </w:r>
    </w:p>
    <w:p w14:paraId="0BB35E47" w14:textId="2F6D6C8C" w:rsidR="00CE2EF9" w:rsidRPr="009C1E6F" w:rsidRDefault="00CE2EF9" w:rsidP="00CE2EF9">
      <w:pPr>
        <w:spacing w:after="210"/>
        <w:jc w:val="both"/>
        <w:rPr>
          <w:rFonts w:ascii="Arial" w:hAnsi="Arial" w:cs="Arial"/>
          <w:i/>
          <w:iCs/>
          <w:color w:val="000000"/>
          <w:sz w:val="22"/>
          <w:szCs w:val="22"/>
          <w:shd w:val="clear" w:color="auto" w:fill="FFFFFF"/>
        </w:rPr>
      </w:pPr>
      <w:r w:rsidRPr="009C1E6F">
        <w:rPr>
          <w:rFonts w:ascii="Arial" w:hAnsi="Arial"/>
          <w:i/>
          <w:sz w:val="22"/>
        </w:rPr>
        <w:t xml:space="preserve">Kirjeldage tehisintellektisüsteemi </w:t>
      </w:r>
      <w:r w:rsidRPr="009C1E6F">
        <w:rPr>
          <w:rFonts w:ascii="Arial" w:hAnsi="Arial"/>
          <w:i/>
          <w:color w:val="000000"/>
          <w:sz w:val="22"/>
          <w:shd w:val="clear" w:color="auto" w:fill="FFFFFF"/>
        </w:rPr>
        <w:t>treenimiseks (vajaduse korral), valideerimiseks ja testimiseks kasutatavaid andmestikke. Eristada tuleb avaliku sektori organisatsiooni andmestikke, tarnija andmestikke ja kolmandate isikute andmestikke. Avaliku sektori organisatsiooni andmestike puhul kirjeldage eesmärke, milleks tarnija võib andmestikke kasutada (peale lepingu täitmise), ja märkige, kas tarnija on kohustatud lepingu kehtivusaja lõpul andmestiku hävitama. Tarnija andmestike ja kolmandate isikute andmestike puhul kirjeldage eesmärke, milleks avaliku sektori organisatsioon võib andmestikke kasutada, ja märkige, kas tarnija on kohustatud andmestikud üle andma.</w:t>
      </w:r>
    </w:p>
    <w:p w14:paraId="7B348DC0" w14:textId="2612EA27" w:rsidR="00CE2EF9" w:rsidRPr="009C1E6F" w:rsidRDefault="006B6837" w:rsidP="00CE2EF9">
      <w:pPr>
        <w:spacing w:after="210"/>
        <w:jc w:val="both"/>
        <w:rPr>
          <w:rFonts w:ascii="Arial" w:hAnsi="Arial" w:cs="Arial"/>
          <w:iCs/>
          <w:color w:val="000000"/>
          <w:sz w:val="22"/>
          <w:szCs w:val="22"/>
          <w:u w:val="single"/>
          <w:shd w:val="clear" w:color="auto" w:fill="FFFFFF"/>
        </w:rPr>
      </w:pPr>
      <w:r w:rsidRPr="009C1E6F">
        <w:rPr>
          <w:rFonts w:ascii="Arial" w:hAnsi="Arial"/>
          <w:color w:val="000000"/>
          <w:sz w:val="22"/>
          <w:u w:val="single"/>
          <w:shd w:val="clear" w:color="auto" w:fill="FFFFFF"/>
        </w:rPr>
        <w:t>Avaliku sektori organisatsiooni andmestikud</w:t>
      </w:r>
    </w:p>
    <w:p w14:paraId="2A2EF54A" w14:textId="77777777" w:rsidR="00CE2EF9" w:rsidRPr="009C1E6F" w:rsidRDefault="00CE2EF9" w:rsidP="00CE2EF9">
      <w:pPr>
        <w:spacing w:after="210"/>
        <w:jc w:val="both"/>
        <w:rPr>
          <w:rFonts w:ascii="Arial" w:hAnsi="Arial" w:cs="Arial"/>
          <w:sz w:val="22"/>
          <w:szCs w:val="22"/>
        </w:rPr>
      </w:pPr>
      <w:r w:rsidRPr="009C1E6F">
        <w:rPr>
          <w:rFonts w:ascii="Arial" w:hAnsi="Arial"/>
          <w:sz w:val="22"/>
        </w:rPr>
        <w:t xml:space="preserve">Lepingu raames edastatakse avaliku sektori organisatsiooni poolt tarnijale või luuakse või kogutakse järgmised andmestikud. </w:t>
      </w:r>
    </w:p>
    <w:tbl>
      <w:tblPr>
        <w:tblStyle w:val="TableGrid"/>
        <w:tblW w:w="0" w:type="auto"/>
        <w:tblLook w:val="04A0" w:firstRow="1" w:lastRow="0" w:firstColumn="1" w:lastColumn="0" w:noHBand="0" w:noVBand="1"/>
      </w:tblPr>
      <w:tblGrid>
        <w:gridCol w:w="3423"/>
        <w:gridCol w:w="2717"/>
        <w:gridCol w:w="2786"/>
      </w:tblGrid>
      <w:tr w:rsidR="00CE2EF9" w:rsidRPr="009C1E6F" w14:paraId="6152B9B4" w14:textId="77777777" w:rsidTr="001C5152">
        <w:tc>
          <w:tcPr>
            <w:tcW w:w="3423" w:type="dxa"/>
          </w:tcPr>
          <w:p w14:paraId="6684D925" w14:textId="77777777" w:rsidR="00CE2EF9" w:rsidRPr="009C1E6F" w:rsidRDefault="00CE2EF9" w:rsidP="003216B4">
            <w:pPr>
              <w:spacing w:after="210"/>
              <w:jc w:val="center"/>
              <w:rPr>
                <w:rFonts w:ascii="Arial" w:hAnsi="Arial" w:cs="Arial"/>
                <w:b/>
                <w:sz w:val="22"/>
                <w:szCs w:val="22"/>
              </w:rPr>
            </w:pPr>
            <w:r w:rsidRPr="009C1E6F">
              <w:rPr>
                <w:rFonts w:ascii="Arial" w:hAnsi="Arial"/>
                <w:b/>
                <w:sz w:val="22"/>
              </w:rPr>
              <w:t>Andmestiku kirjeldus</w:t>
            </w:r>
          </w:p>
        </w:tc>
        <w:tc>
          <w:tcPr>
            <w:tcW w:w="2717" w:type="dxa"/>
          </w:tcPr>
          <w:p w14:paraId="118B424D" w14:textId="77777777" w:rsidR="00CE2EF9" w:rsidRPr="009C1E6F" w:rsidRDefault="00CE2EF9" w:rsidP="003216B4">
            <w:pPr>
              <w:spacing w:after="210"/>
              <w:jc w:val="center"/>
              <w:rPr>
                <w:rFonts w:ascii="Arial" w:hAnsi="Arial" w:cs="Arial"/>
                <w:b/>
                <w:sz w:val="22"/>
                <w:szCs w:val="22"/>
              </w:rPr>
            </w:pPr>
            <w:r w:rsidRPr="009C1E6F">
              <w:rPr>
                <w:rFonts w:ascii="Arial" w:hAnsi="Arial"/>
                <w:b/>
                <w:sz w:val="22"/>
              </w:rPr>
              <w:t>Tarnija kasutusõigused</w:t>
            </w:r>
          </w:p>
        </w:tc>
        <w:tc>
          <w:tcPr>
            <w:tcW w:w="2786" w:type="dxa"/>
          </w:tcPr>
          <w:p w14:paraId="267B3FFE" w14:textId="77777777" w:rsidR="00CE2EF9" w:rsidRPr="009C1E6F" w:rsidRDefault="00CE2EF9" w:rsidP="003216B4">
            <w:pPr>
              <w:spacing w:after="210"/>
              <w:jc w:val="center"/>
              <w:rPr>
                <w:rFonts w:ascii="Arial" w:hAnsi="Arial" w:cs="Arial"/>
                <w:b/>
                <w:sz w:val="22"/>
                <w:szCs w:val="22"/>
              </w:rPr>
            </w:pPr>
            <w:r w:rsidRPr="009C1E6F">
              <w:rPr>
                <w:rFonts w:ascii="Arial" w:hAnsi="Arial"/>
                <w:b/>
                <w:sz w:val="22"/>
              </w:rPr>
              <w:t>Kohustus hävitada andmestik lepingu kehtivusaja lõpul</w:t>
            </w:r>
          </w:p>
        </w:tc>
      </w:tr>
      <w:tr w:rsidR="00CE2EF9" w:rsidRPr="009C1E6F" w14:paraId="1ADA89CE" w14:textId="77777777" w:rsidTr="001C5152">
        <w:tc>
          <w:tcPr>
            <w:tcW w:w="3423" w:type="dxa"/>
          </w:tcPr>
          <w:p w14:paraId="3DAB24B4" w14:textId="77777777" w:rsidR="00CE2EF9" w:rsidRPr="009C1E6F" w:rsidRDefault="00CE2EF9" w:rsidP="003216B4">
            <w:pPr>
              <w:spacing w:after="210"/>
              <w:jc w:val="both"/>
              <w:rPr>
                <w:rFonts w:ascii="Arial" w:hAnsi="Arial" w:cs="Arial"/>
                <w:i/>
                <w:sz w:val="22"/>
                <w:szCs w:val="22"/>
              </w:rPr>
            </w:pPr>
          </w:p>
        </w:tc>
        <w:tc>
          <w:tcPr>
            <w:tcW w:w="2717" w:type="dxa"/>
          </w:tcPr>
          <w:p w14:paraId="69ABDFF6" w14:textId="77777777" w:rsidR="00CE2EF9" w:rsidRPr="009C1E6F" w:rsidRDefault="00CE2EF9" w:rsidP="003216B4">
            <w:pPr>
              <w:spacing w:after="210"/>
              <w:jc w:val="both"/>
              <w:rPr>
                <w:rFonts w:ascii="Arial" w:hAnsi="Arial" w:cs="Arial"/>
                <w:i/>
                <w:sz w:val="22"/>
                <w:szCs w:val="22"/>
              </w:rPr>
            </w:pPr>
          </w:p>
        </w:tc>
        <w:tc>
          <w:tcPr>
            <w:tcW w:w="2786" w:type="dxa"/>
          </w:tcPr>
          <w:p w14:paraId="01BBC0A7" w14:textId="77777777" w:rsidR="00CE2EF9" w:rsidRPr="009C1E6F" w:rsidRDefault="00CE2EF9" w:rsidP="003216B4">
            <w:pPr>
              <w:spacing w:after="210"/>
              <w:jc w:val="both"/>
              <w:rPr>
                <w:rFonts w:ascii="Arial" w:hAnsi="Arial" w:cs="Arial"/>
                <w:sz w:val="22"/>
                <w:szCs w:val="22"/>
              </w:rPr>
            </w:pPr>
            <w:r w:rsidRPr="009C1E6F">
              <w:rPr>
                <w:rFonts w:ascii="Arial" w:hAnsi="Arial"/>
                <w:sz w:val="22"/>
              </w:rPr>
              <w:t>Jah/ei</w:t>
            </w:r>
          </w:p>
        </w:tc>
      </w:tr>
      <w:tr w:rsidR="00CE2EF9" w:rsidRPr="009C1E6F" w14:paraId="6AB7BA75" w14:textId="77777777" w:rsidTr="001C5152">
        <w:tc>
          <w:tcPr>
            <w:tcW w:w="3423" w:type="dxa"/>
          </w:tcPr>
          <w:p w14:paraId="4CE57416" w14:textId="77777777" w:rsidR="00CE2EF9" w:rsidRPr="009C1E6F" w:rsidRDefault="00CE2EF9" w:rsidP="003216B4">
            <w:pPr>
              <w:spacing w:after="210"/>
              <w:jc w:val="both"/>
              <w:rPr>
                <w:rFonts w:ascii="Arial" w:hAnsi="Arial" w:cs="Arial"/>
                <w:i/>
                <w:sz w:val="22"/>
                <w:szCs w:val="22"/>
              </w:rPr>
            </w:pPr>
          </w:p>
        </w:tc>
        <w:tc>
          <w:tcPr>
            <w:tcW w:w="2717" w:type="dxa"/>
          </w:tcPr>
          <w:p w14:paraId="19A34F14" w14:textId="77777777" w:rsidR="00CE2EF9" w:rsidRPr="009C1E6F" w:rsidRDefault="00CE2EF9" w:rsidP="003216B4">
            <w:pPr>
              <w:spacing w:after="210"/>
              <w:jc w:val="both"/>
              <w:rPr>
                <w:rFonts w:ascii="Arial" w:hAnsi="Arial" w:cs="Arial"/>
                <w:i/>
                <w:sz w:val="22"/>
                <w:szCs w:val="22"/>
              </w:rPr>
            </w:pPr>
          </w:p>
        </w:tc>
        <w:tc>
          <w:tcPr>
            <w:tcW w:w="2786" w:type="dxa"/>
          </w:tcPr>
          <w:p w14:paraId="291D7900" w14:textId="77777777" w:rsidR="00CE2EF9" w:rsidRPr="009C1E6F" w:rsidRDefault="00CE2EF9" w:rsidP="003216B4">
            <w:pPr>
              <w:spacing w:after="210"/>
              <w:jc w:val="both"/>
              <w:rPr>
                <w:rFonts w:ascii="Arial" w:hAnsi="Arial" w:cs="Arial"/>
                <w:i/>
                <w:sz w:val="22"/>
                <w:szCs w:val="22"/>
              </w:rPr>
            </w:pPr>
            <w:r w:rsidRPr="009C1E6F">
              <w:rPr>
                <w:rFonts w:ascii="Arial" w:hAnsi="Arial"/>
                <w:sz w:val="22"/>
              </w:rPr>
              <w:t>Jah/ei</w:t>
            </w:r>
          </w:p>
        </w:tc>
      </w:tr>
      <w:tr w:rsidR="00CE2EF9" w:rsidRPr="009C1E6F" w14:paraId="1817D8DC" w14:textId="77777777" w:rsidTr="001C5152">
        <w:tc>
          <w:tcPr>
            <w:tcW w:w="3423" w:type="dxa"/>
          </w:tcPr>
          <w:p w14:paraId="257902F5" w14:textId="77777777" w:rsidR="00CE2EF9" w:rsidRPr="009C1E6F" w:rsidRDefault="00CE2EF9" w:rsidP="003216B4">
            <w:pPr>
              <w:spacing w:after="210"/>
              <w:jc w:val="both"/>
              <w:rPr>
                <w:rFonts w:ascii="Arial" w:hAnsi="Arial" w:cs="Arial"/>
                <w:i/>
                <w:sz w:val="22"/>
                <w:szCs w:val="22"/>
              </w:rPr>
            </w:pPr>
          </w:p>
        </w:tc>
        <w:tc>
          <w:tcPr>
            <w:tcW w:w="2717" w:type="dxa"/>
          </w:tcPr>
          <w:p w14:paraId="2E732C6C" w14:textId="77777777" w:rsidR="00CE2EF9" w:rsidRPr="009C1E6F" w:rsidRDefault="00CE2EF9" w:rsidP="003216B4">
            <w:pPr>
              <w:spacing w:after="210"/>
              <w:jc w:val="both"/>
              <w:rPr>
                <w:rFonts w:ascii="Arial" w:hAnsi="Arial" w:cs="Arial"/>
                <w:i/>
                <w:sz w:val="22"/>
                <w:szCs w:val="22"/>
              </w:rPr>
            </w:pPr>
          </w:p>
        </w:tc>
        <w:tc>
          <w:tcPr>
            <w:tcW w:w="2786" w:type="dxa"/>
          </w:tcPr>
          <w:p w14:paraId="137C06A6" w14:textId="77777777" w:rsidR="00CE2EF9" w:rsidRPr="009C1E6F" w:rsidRDefault="00CE2EF9" w:rsidP="003216B4">
            <w:pPr>
              <w:spacing w:after="210"/>
              <w:jc w:val="both"/>
              <w:rPr>
                <w:rFonts w:ascii="Arial" w:hAnsi="Arial" w:cs="Arial"/>
                <w:i/>
                <w:sz w:val="22"/>
                <w:szCs w:val="22"/>
              </w:rPr>
            </w:pPr>
            <w:r w:rsidRPr="009C1E6F">
              <w:rPr>
                <w:rFonts w:ascii="Arial" w:hAnsi="Arial"/>
                <w:sz w:val="22"/>
              </w:rPr>
              <w:t>Jah/ei</w:t>
            </w:r>
          </w:p>
        </w:tc>
      </w:tr>
      <w:tr w:rsidR="00CE2EF9" w:rsidRPr="009C1E6F" w14:paraId="313418A2" w14:textId="77777777" w:rsidTr="001C5152">
        <w:tc>
          <w:tcPr>
            <w:tcW w:w="3423" w:type="dxa"/>
          </w:tcPr>
          <w:p w14:paraId="65E73F7E" w14:textId="77777777" w:rsidR="00CE2EF9" w:rsidRPr="009C1E6F" w:rsidRDefault="00CE2EF9" w:rsidP="003216B4">
            <w:pPr>
              <w:spacing w:after="210"/>
              <w:jc w:val="both"/>
              <w:rPr>
                <w:rFonts w:ascii="Arial" w:hAnsi="Arial" w:cs="Arial"/>
                <w:i/>
                <w:sz w:val="22"/>
                <w:szCs w:val="22"/>
              </w:rPr>
            </w:pPr>
          </w:p>
        </w:tc>
        <w:tc>
          <w:tcPr>
            <w:tcW w:w="2717" w:type="dxa"/>
          </w:tcPr>
          <w:p w14:paraId="737BC13A" w14:textId="77777777" w:rsidR="00CE2EF9" w:rsidRPr="009C1E6F" w:rsidRDefault="00CE2EF9" w:rsidP="003216B4">
            <w:pPr>
              <w:spacing w:after="210"/>
              <w:jc w:val="both"/>
              <w:rPr>
                <w:rFonts w:ascii="Arial" w:hAnsi="Arial" w:cs="Arial"/>
                <w:i/>
                <w:sz w:val="22"/>
                <w:szCs w:val="22"/>
              </w:rPr>
            </w:pPr>
          </w:p>
        </w:tc>
        <w:tc>
          <w:tcPr>
            <w:tcW w:w="2786" w:type="dxa"/>
          </w:tcPr>
          <w:p w14:paraId="6DB0C2F5" w14:textId="77777777" w:rsidR="00CE2EF9" w:rsidRPr="009C1E6F" w:rsidRDefault="00CE2EF9" w:rsidP="003216B4">
            <w:pPr>
              <w:spacing w:after="210"/>
              <w:jc w:val="both"/>
              <w:rPr>
                <w:rFonts w:ascii="Arial" w:hAnsi="Arial" w:cs="Arial"/>
                <w:i/>
                <w:sz w:val="22"/>
                <w:szCs w:val="22"/>
              </w:rPr>
            </w:pPr>
            <w:r w:rsidRPr="009C1E6F">
              <w:rPr>
                <w:rFonts w:ascii="Arial" w:hAnsi="Arial"/>
                <w:sz w:val="22"/>
              </w:rPr>
              <w:t>Jah/ei</w:t>
            </w:r>
          </w:p>
        </w:tc>
      </w:tr>
    </w:tbl>
    <w:p w14:paraId="36A1BA6C" w14:textId="77777777" w:rsidR="00CE2EF9" w:rsidRPr="009C1E6F" w:rsidRDefault="00CE2EF9" w:rsidP="00CE2EF9">
      <w:pPr>
        <w:spacing w:after="210"/>
        <w:jc w:val="both"/>
        <w:rPr>
          <w:rFonts w:ascii="Arial" w:hAnsi="Arial" w:cs="Arial"/>
          <w:i/>
          <w:sz w:val="22"/>
          <w:szCs w:val="22"/>
        </w:rPr>
      </w:pPr>
    </w:p>
    <w:p w14:paraId="75798438" w14:textId="3F224FA1" w:rsidR="00CE2EF9" w:rsidRPr="009C1E6F" w:rsidRDefault="00CE2EF9" w:rsidP="00CE2EF9">
      <w:pPr>
        <w:spacing w:after="210"/>
        <w:jc w:val="both"/>
        <w:rPr>
          <w:rFonts w:ascii="Arial" w:hAnsi="Arial" w:cs="Arial"/>
          <w:iCs/>
          <w:color w:val="000000"/>
          <w:sz w:val="22"/>
          <w:szCs w:val="22"/>
          <w:u w:val="single"/>
          <w:shd w:val="clear" w:color="auto" w:fill="FFFFFF"/>
        </w:rPr>
      </w:pPr>
      <w:r w:rsidRPr="009C1E6F">
        <w:rPr>
          <w:rFonts w:ascii="Arial" w:hAnsi="Arial"/>
          <w:color w:val="000000"/>
          <w:sz w:val="22"/>
          <w:u w:val="single"/>
          <w:shd w:val="clear" w:color="auto" w:fill="FFFFFF"/>
        </w:rPr>
        <w:t>Tarnija andmestikud ja kolmandate isikute andmestikud</w:t>
      </w:r>
    </w:p>
    <w:p w14:paraId="51D24105" w14:textId="6181BDE1" w:rsidR="00CE2EF9" w:rsidRPr="009C1E6F" w:rsidRDefault="00CE2EF9" w:rsidP="00CE2EF9">
      <w:pPr>
        <w:spacing w:after="210"/>
        <w:jc w:val="both"/>
        <w:rPr>
          <w:rFonts w:ascii="Arial" w:hAnsi="Arial" w:cs="Arial"/>
          <w:sz w:val="22"/>
          <w:szCs w:val="22"/>
        </w:rPr>
      </w:pPr>
      <w:r w:rsidRPr="009C1E6F">
        <w:rPr>
          <w:rFonts w:ascii="Arial" w:hAnsi="Arial"/>
          <w:sz w:val="22"/>
        </w:rPr>
        <w:t>Tehisintellektisüsteemi treenimiseks (vajaduse korral), valideerimiseks ja testimiseks kasutatakse või kasutati järgmisi tarnija andmestikke ja kolmandate isikute andmestikke.</w:t>
      </w:r>
    </w:p>
    <w:tbl>
      <w:tblPr>
        <w:tblStyle w:val="TableGrid"/>
        <w:tblW w:w="0" w:type="auto"/>
        <w:tblLook w:val="04A0" w:firstRow="1" w:lastRow="0" w:firstColumn="1" w:lastColumn="0" w:noHBand="0" w:noVBand="1"/>
      </w:tblPr>
      <w:tblGrid>
        <w:gridCol w:w="2793"/>
        <w:gridCol w:w="2859"/>
        <w:gridCol w:w="3274"/>
      </w:tblGrid>
      <w:tr w:rsidR="00CE2EF9" w:rsidRPr="009C1E6F" w14:paraId="68331355" w14:textId="77777777" w:rsidTr="001C5152">
        <w:tc>
          <w:tcPr>
            <w:tcW w:w="2793" w:type="dxa"/>
          </w:tcPr>
          <w:p w14:paraId="0A152D38" w14:textId="77777777" w:rsidR="00CE2EF9" w:rsidRPr="009C1E6F" w:rsidRDefault="00CE2EF9" w:rsidP="003216B4">
            <w:pPr>
              <w:spacing w:after="210"/>
              <w:jc w:val="center"/>
              <w:rPr>
                <w:rFonts w:ascii="Arial" w:hAnsi="Arial" w:cs="Arial"/>
                <w:b/>
                <w:sz w:val="22"/>
                <w:szCs w:val="22"/>
              </w:rPr>
            </w:pPr>
            <w:r w:rsidRPr="009C1E6F">
              <w:rPr>
                <w:rFonts w:ascii="Arial" w:hAnsi="Arial"/>
                <w:b/>
                <w:sz w:val="22"/>
              </w:rPr>
              <w:t>Andmestiku kirjeldus</w:t>
            </w:r>
          </w:p>
        </w:tc>
        <w:tc>
          <w:tcPr>
            <w:tcW w:w="2859" w:type="dxa"/>
          </w:tcPr>
          <w:p w14:paraId="69746CFF" w14:textId="77777777" w:rsidR="00CE2EF9" w:rsidRPr="009C1E6F" w:rsidRDefault="00CE2EF9" w:rsidP="003216B4">
            <w:pPr>
              <w:spacing w:after="210"/>
              <w:jc w:val="center"/>
              <w:rPr>
                <w:rFonts w:ascii="Arial" w:hAnsi="Arial" w:cs="Arial"/>
                <w:b/>
                <w:sz w:val="22"/>
                <w:szCs w:val="22"/>
              </w:rPr>
            </w:pPr>
            <w:r w:rsidRPr="009C1E6F">
              <w:rPr>
                <w:rFonts w:ascii="Arial" w:hAnsi="Arial"/>
                <w:b/>
                <w:sz w:val="22"/>
              </w:rPr>
              <w:t>Avaliku sektori organisatsiooni kasutusõigused</w:t>
            </w:r>
          </w:p>
        </w:tc>
        <w:tc>
          <w:tcPr>
            <w:tcW w:w="3274" w:type="dxa"/>
          </w:tcPr>
          <w:p w14:paraId="3286608F" w14:textId="77777777" w:rsidR="00CE2EF9" w:rsidRPr="009C1E6F" w:rsidRDefault="00CE2EF9" w:rsidP="003216B4">
            <w:pPr>
              <w:spacing w:after="210"/>
              <w:jc w:val="center"/>
              <w:rPr>
                <w:rFonts w:ascii="Arial" w:hAnsi="Arial" w:cs="Arial"/>
                <w:b/>
                <w:sz w:val="22"/>
                <w:szCs w:val="22"/>
              </w:rPr>
            </w:pPr>
            <w:r w:rsidRPr="009C1E6F">
              <w:rPr>
                <w:rFonts w:ascii="Arial" w:hAnsi="Arial"/>
                <w:b/>
                <w:sz w:val="22"/>
              </w:rPr>
              <w:t>Üleandmise kohustus</w:t>
            </w:r>
            <w:r w:rsidRPr="009C1E6F">
              <w:rPr>
                <w:rStyle w:val="FootnoteReference"/>
                <w:rFonts w:ascii="Arial" w:hAnsi="Arial" w:cs="Arial"/>
                <w:b/>
                <w:sz w:val="22"/>
                <w:szCs w:val="22"/>
              </w:rPr>
              <w:footnoteReference w:id="2"/>
            </w:r>
          </w:p>
        </w:tc>
      </w:tr>
      <w:tr w:rsidR="00CE2EF9" w:rsidRPr="009C1E6F" w14:paraId="03D464F4" w14:textId="77777777" w:rsidTr="001C5152">
        <w:tc>
          <w:tcPr>
            <w:tcW w:w="2793" w:type="dxa"/>
          </w:tcPr>
          <w:p w14:paraId="0A79855D" w14:textId="77777777" w:rsidR="00CE2EF9" w:rsidRPr="009C1E6F" w:rsidRDefault="00CE2EF9" w:rsidP="003216B4">
            <w:pPr>
              <w:spacing w:after="210"/>
              <w:jc w:val="both"/>
              <w:rPr>
                <w:rFonts w:ascii="Arial" w:hAnsi="Arial" w:cs="Arial"/>
                <w:i/>
                <w:sz w:val="22"/>
                <w:szCs w:val="22"/>
              </w:rPr>
            </w:pPr>
          </w:p>
        </w:tc>
        <w:tc>
          <w:tcPr>
            <w:tcW w:w="2859" w:type="dxa"/>
          </w:tcPr>
          <w:p w14:paraId="72FE0052" w14:textId="77777777" w:rsidR="00CE2EF9" w:rsidRPr="009C1E6F" w:rsidRDefault="00CE2EF9" w:rsidP="003216B4">
            <w:pPr>
              <w:spacing w:after="210"/>
              <w:jc w:val="both"/>
              <w:rPr>
                <w:rFonts w:ascii="Arial" w:hAnsi="Arial" w:cs="Arial"/>
                <w:i/>
                <w:sz w:val="22"/>
                <w:szCs w:val="22"/>
              </w:rPr>
            </w:pPr>
          </w:p>
        </w:tc>
        <w:tc>
          <w:tcPr>
            <w:tcW w:w="3274" w:type="dxa"/>
          </w:tcPr>
          <w:p w14:paraId="155F4B31" w14:textId="77777777" w:rsidR="00CE2EF9" w:rsidRPr="009C1E6F" w:rsidRDefault="00CE2EF9" w:rsidP="003216B4">
            <w:pPr>
              <w:spacing w:after="210"/>
              <w:jc w:val="both"/>
              <w:rPr>
                <w:rFonts w:ascii="Arial" w:hAnsi="Arial" w:cs="Arial"/>
                <w:i/>
                <w:sz w:val="22"/>
                <w:szCs w:val="22"/>
              </w:rPr>
            </w:pPr>
            <w:r w:rsidRPr="009C1E6F">
              <w:rPr>
                <w:rFonts w:ascii="Arial" w:hAnsi="Arial"/>
                <w:sz w:val="22"/>
              </w:rPr>
              <w:t>Jah/ei</w:t>
            </w:r>
          </w:p>
        </w:tc>
      </w:tr>
      <w:tr w:rsidR="00CE2EF9" w:rsidRPr="009C1E6F" w14:paraId="76930306" w14:textId="77777777" w:rsidTr="001C5152">
        <w:tc>
          <w:tcPr>
            <w:tcW w:w="2793" w:type="dxa"/>
          </w:tcPr>
          <w:p w14:paraId="0631A96E" w14:textId="77777777" w:rsidR="00CE2EF9" w:rsidRPr="009C1E6F" w:rsidRDefault="00CE2EF9" w:rsidP="003216B4">
            <w:pPr>
              <w:spacing w:after="210"/>
              <w:jc w:val="both"/>
              <w:rPr>
                <w:rFonts w:ascii="Arial" w:hAnsi="Arial" w:cs="Arial"/>
                <w:i/>
                <w:sz w:val="22"/>
                <w:szCs w:val="22"/>
              </w:rPr>
            </w:pPr>
          </w:p>
        </w:tc>
        <w:tc>
          <w:tcPr>
            <w:tcW w:w="2859" w:type="dxa"/>
          </w:tcPr>
          <w:p w14:paraId="3A3D8AB2" w14:textId="77777777" w:rsidR="00CE2EF9" w:rsidRPr="009C1E6F" w:rsidRDefault="00CE2EF9" w:rsidP="003216B4">
            <w:pPr>
              <w:spacing w:after="210"/>
              <w:jc w:val="both"/>
              <w:rPr>
                <w:rFonts w:ascii="Arial" w:hAnsi="Arial" w:cs="Arial"/>
                <w:i/>
                <w:sz w:val="22"/>
                <w:szCs w:val="22"/>
              </w:rPr>
            </w:pPr>
          </w:p>
        </w:tc>
        <w:tc>
          <w:tcPr>
            <w:tcW w:w="3274" w:type="dxa"/>
          </w:tcPr>
          <w:p w14:paraId="65FEAF2B" w14:textId="77777777" w:rsidR="00CE2EF9" w:rsidRPr="009C1E6F" w:rsidRDefault="00CE2EF9" w:rsidP="003216B4">
            <w:pPr>
              <w:spacing w:after="210"/>
              <w:jc w:val="both"/>
              <w:rPr>
                <w:rFonts w:ascii="Arial" w:hAnsi="Arial" w:cs="Arial"/>
                <w:i/>
                <w:sz w:val="22"/>
                <w:szCs w:val="22"/>
              </w:rPr>
            </w:pPr>
            <w:r w:rsidRPr="009C1E6F">
              <w:rPr>
                <w:rFonts w:ascii="Arial" w:hAnsi="Arial"/>
                <w:sz w:val="22"/>
              </w:rPr>
              <w:t>Jah/ei</w:t>
            </w:r>
          </w:p>
        </w:tc>
      </w:tr>
      <w:tr w:rsidR="00CE2EF9" w:rsidRPr="009C1E6F" w14:paraId="1EA4D25A" w14:textId="77777777" w:rsidTr="001C5152">
        <w:tc>
          <w:tcPr>
            <w:tcW w:w="2793" w:type="dxa"/>
          </w:tcPr>
          <w:p w14:paraId="00E7E76F" w14:textId="77777777" w:rsidR="00CE2EF9" w:rsidRPr="009C1E6F" w:rsidRDefault="00CE2EF9" w:rsidP="003216B4">
            <w:pPr>
              <w:spacing w:after="210"/>
              <w:jc w:val="both"/>
              <w:rPr>
                <w:rFonts w:ascii="Arial" w:hAnsi="Arial" w:cs="Arial"/>
                <w:i/>
                <w:sz w:val="22"/>
                <w:szCs w:val="22"/>
              </w:rPr>
            </w:pPr>
          </w:p>
        </w:tc>
        <w:tc>
          <w:tcPr>
            <w:tcW w:w="2859" w:type="dxa"/>
          </w:tcPr>
          <w:p w14:paraId="5BA63050" w14:textId="77777777" w:rsidR="00CE2EF9" w:rsidRPr="009C1E6F" w:rsidRDefault="00CE2EF9" w:rsidP="003216B4">
            <w:pPr>
              <w:spacing w:after="210"/>
              <w:jc w:val="both"/>
              <w:rPr>
                <w:rFonts w:ascii="Arial" w:hAnsi="Arial" w:cs="Arial"/>
                <w:i/>
                <w:sz w:val="22"/>
                <w:szCs w:val="22"/>
              </w:rPr>
            </w:pPr>
          </w:p>
        </w:tc>
        <w:tc>
          <w:tcPr>
            <w:tcW w:w="3274" w:type="dxa"/>
          </w:tcPr>
          <w:p w14:paraId="1198669A" w14:textId="77777777" w:rsidR="00CE2EF9" w:rsidRPr="009C1E6F" w:rsidRDefault="00CE2EF9" w:rsidP="003216B4">
            <w:pPr>
              <w:spacing w:after="210"/>
              <w:jc w:val="both"/>
              <w:rPr>
                <w:rFonts w:ascii="Arial" w:hAnsi="Arial" w:cs="Arial"/>
                <w:i/>
                <w:sz w:val="22"/>
                <w:szCs w:val="22"/>
              </w:rPr>
            </w:pPr>
            <w:r w:rsidRPr="009C1E6F">
              <w:rPr>
                <w:rFonts w:ascii="Arial" w:hAnsi="Arial"/>
                <w:sz w:val="22"/>
              </w:rPr>
              <w:t>Jah/ei</w:t>
            </w:r>
          </w:p>
        </w:tc>
      </w:tr>
      <w:tr w:rsidR="00CE2EF9" w:rsidRPr="009C1E6F" w14:paraId="6A8281BD" w14:textId="77777777" w:rsidTr="001C5152">
        <w:tc>
          <w:tcPr>
            <w:tcW w:w="2793" w:type="dxa"/>
          </w:tcPr>
          <w:p w14:paraId="34268736" w14:textId="77777777" w:rsidR="00CE2EF9" w:rsidRPr="009C1E6F" w:rsidRDefault="00CE2EF9" w:rsidP="003216B4">
            <w:pPr>
              <w:spacing w:after="210"/>
              <w:jc w:val="both"/>
              <w:rPr>
                <w:rFonts w:ascii="Arial" w:hAnsi="Arial" w:cs="Arial"/>
                <w:i/>
                <w:sz w:val="22"/>
                <w:szCs w:val="22"/>
              </w:rPr>
            </w:pPr>
          </w:p>
        </w:tc>
        <w:tc>
          <w:tcPr>
            <w:tcW w:w="2859" w:type="dxa"/>
          </w:tcPr>
          <w:p w14:paraId="451DE527" w14:textId="77777777" w:rsidR="00CE2EF9" w:rsidRPr="009C1E6F" w:rsidRDefault="00CE2EF9" w:rsidP="003216B4">
            <w:pPr>
              <w:spacing w:after="210"/>
              <w:jc w:val="both"/>
              <w:rPr>
                <w:rFonts w:ascii="Arial" w:hAnsi="Arial" w:cs="Arial"/>
                <w:i/>
                <w:sz w:val="22"/>
                <w:szCs w:val="22"/>
              </w:rPr>
            </w:pPr>
          </w:p>
        </w:tc>
        <w:tc>
          <w:tcPr>
            <w:tcW w:w="3274" w:type="dxa"/>
          </w:tcPr>
          <w:p w14:paraId="26ECEE66" w14:textId="77777777" w:rsidR="00CE2EF9" w:rsidRPr="009C1E6F" w:rsidRDefault="00CE2EF9" w:rsidP="003216B4">
            <w:pPr>
              <w:spacing w:after="210"/>
              <w:jc w:val="both"/>
              <w:rPr>
                <w:rFonts w:ascii="Arial" w:hAnsi="Arial" w:cs="Arial"/>
                <w:i/>
                <w:sz w:val="22"/>
                <w:szCs w:val="22"/>
              </w:rPr>
            </w:pPr>
            <w:r w:rsidRPr="009C1E6F">
              <w:rPr>
                <w:rFonts w:ascii="Arial" w:hAnsi="Arial"/>
                <w:sz w:val="22"/>
              </w:rPr>
              <w:t>Jah/ei</w:t>
            </w:r>
          </w:p>
        </w:tc>
      </w:tr>
    </w:tbl>
    <w:p w14:paraId="2BB822D4" w14:textId="77777777" w:rsidR="00CE2EF9" w:rsidRPr="009C1E6F" w:rsidRDefault="00CE2EF9" w:rsidP="00CE2EF9">
      <w:pPr>
        <w:spacing w:after="210"/>
        <w:jc w:val="both"/>
        <w:rPr>
          <w:rFonts w:ascii="Arial" w:hAnsi="Arial" w:cs="Arial"/>
          <w:sz w:val="22"/>
          <w:szCs w:val="22"/>
          <w:u w:val="single"/>
        </w:rPr>
      </w:pPr>
      <w:r w:rsidRPr="009C1E6F">
        <w:br w:type="page"/>
      </w:r>
    </w:p>
    <w:p w14:paraId="521CD975" w14:textId="77777777" w:rsidR="00CE2EF9" w:rsidRPr="009C1E6F" w:rsidRDefault="00CE2EF9" w:rsidP="00A74620">
      <w:pPr>
        <w:spacing w:after="360"/>
        <w:rPr>
          <w:rFonts w:ascii="Arial" w:hAnsi="Arial" w:cs="Arial"/>
          <w:b/>
          <w:bCs/>
          <w:sz w:val="26"/>
          <w:szCs w:val="26"/>
        </w:rPr>
      </w:pPr>
      <w:r w:rsidRPr="009C1E6F">
        <w:rPr>
          <w:rFonts w:ascii="Arial" w:hAnsi="Arial"/>
          <w:b/>
          <w:sz w:val="26"/>
        </w:rPr>
        <w:lastRenderedPageBreak/>
        <w:t>C lisa. Tehniline dokumentatsioon</w:t>
      </w:r>
    </w:p>
    <w:p w14:paraId="37CF516B" w14:textId="5A1C6D0E" w:rsidR="00CE2EF9" w:rsidRPr="009C1E6F" w:rsidRDefault="00CE2EF9" w:rsidP="00D33B49">
      <w:pPr>
        <w:spacing w:before="120" w:after="210"/>
        <w:jc w:val="both"/>
        <w:rPr>
          <w:rFonts w:ascii="Arial" w:hAnsi="Arial" w:cs="Arial"/>
          <w:sz w:val="22"/>
          <w:szCs w:val="22"/>
        </w:rPr>
      </w:pPr>
      <w:r w:rsidRPr="009C1E6F">
        <w:rPr>
          <w:rFonts w:ascii="Arial" w:hAnsi="Arial"/>
          <w:sz w:val="22"/>
        </w:rPr>
        <w:t>Tehniline dokumentatsioon peab sisaldama vähemalt järgmist teavet, kui see on tehisintellektisüsteemi puhul kohaldatav.</w:t>
      </w:r>
    </w:p>
    <w:p w14:paraId="27734FA3" w14:textId="77777777" w:rsidR="00CE2EF9" w:rsidRPr="009C1E6F" w:rsidRDefault="00CE2EF9" w:rsidP="00CE2EF9">
      <w:pPr>
        <w:pStyle w:val="doLijstnummering5"/>
        <w:rPr>
          <w:rFonts w:ascii="Arial" w:hAnsi="Arial" w:cs="Arial"/>
          <w:sz w:val="22"/>
          <w:szCs w:val="22"/>
        </w:rPr>
      </w:pPr>
      <w:r w:rsidRPr="009C1E6F">
        <w:rPr>
          <w:rFonts w:ascii="Arial" w:hAnsi="Arial"/>
          <w:sz w:val="22"/>
        </w:rPr>
        <w:t>Tehisintellektisüsteemi üldine kirjeldus, sealhulgas:</w:t>
      </w:r>
    </w:p>
    <w:p w14:paraId="0DC2EAEC" w14:textId="3AC74D11" w:rsidR="00CE2EF9" w:rsidRPr="009C1E6F" w:rsidRDefault="00CE2EF9" w:rsidP="009B4B27">
      <w:pPr>
        <w:pStyle w:val="doLijstnummering5"/>
        <w:numPr>
          <w:ilvl w:val="1"/>
          <w:numId w:val="9"/>
        </w:numPr>
        <w:rPr>
          <w:rFonts w:ascii="Arial" w:hAnsi="Arial" w:cs="Arial"/>
          <w:sz w:val="22"/>
          <w:szCs w:val="22"/>
        </w:rPr>
      </w:pPr>
      <w:r w:rsidRPr="009C1E6F">
        <w:rPr>
          <w:rFonts w:ascii="Arial" w:hAnsi="Arial"/>
          <w:sz w:val="22"/>
        </w:rPr>
        <w:t>selle sihtotstarve, tarnija nimi ja süsteemi versioon, mis kajastab selle seost varasemate versioonidega;</w:t>
      </w:r>
    </w:p>
    <w:p w14:paraId="6969A9F3" w14:textId="70ADE282" w:rsidR="00CE2EF9" w:rsidRPr="009C1E6F" w:rsidRDefault="00CE2EF9" w:rsidP="00CE2EF9">
      <w:pPr>
        <w:pStyle w:val="doLijstnummering5"/>
        <w:numPr>
          <w:ilvl w:val="1"/>
          <w:numId w:val="9"/>
        </w:numPr>
        <w:rPr>
          <w:rFonts w:ascii="Arial" w:hAnsi="Arial" w:cs="Arial"/>
          <w:sz w:val="22"/>
          <w:szCs w:val="22"/>
        </w:rPr>
      </w:pPr>
      <w:r w:rsidRPr="009C1E6F">
        <w:rPr>
          <w:rFonts w:ascii="Arial" w:hAnsi="Arial"/>
          <w:sz w:val="22"/>
        </w:rPr>
        <w:t xml:space="preserve">tehisintellektisüsteemi võimalik koostoime riistvara või tarkvaraga (sealhulgas teiste tehisintellektisüsteemidega), mis ei ole ise tehisintellektisüsteemi osa, või sellise koostoime eesmärgil kasutamine, kui see on kohaldatav; </w:t>
      </w:r>
    </w:p>
    <w:p w14:paraId="15A9C4EB" w14:textId="77777777" w:rsidR="00CE2EF9" w:rsidRPr="009C1E6F" w:rsidRDefault="00CE2EF9" w:rsidP="00CE2EF9">
      <w:pPr>
        <w:pStyle w:val="doLijstnummering5"/>
        <w:numPr>
          <w:ilvl w:val="1"/>
          <w:numId w:val="9"/>
        </w:numPr>
        <w:rPr>
          <w:rFonts w:ascii="Arial" w:hAnsi="Arial" w:cs="Arial"/>
          <w:sz w:val="22"/>
          <w:szCs w:val="22"/>
        </w:rPr>
      </w:pPr>
      <w:r w:rsidRPr="009C1E6F">
        <w:rPr>
          <w:rFonts w:ascii="Arial" w:hAnsi="Arial"/>
          <w:sz w:val="22"/>
        </w:rPr>
        <w:t>asjaomase tarkvara või püsivara versioonid ja kõik versiooniuuendustega seotud nõuded;</w:t>
      </w:r>
    </w:p>
    <w:p w14:paraId="2D52F0DE" w14:textId="77777777" w:rsidR="00CE2EF9" w:rsidRPr="009C1E6F" w:rsidRDefault="00CE2EF9" w:rsidP="00CE2EF9">
      <w:pPr>
        <w:pStyle w:val="doLijstnummering5"/>
        <w:numPr>
          <w:ilvl w:val="1"/>
          <w:numId w:val="9"/>
        </w:numPr>
        <w:rPr>
          <w:rFonts w:ascii="Arial" w:hAnsi="Arial" w:cs="Arial"/>
          <w:sz w:val="22"/>
          <w:szCs w:val="22"/>
        </w:rPr>
      </w:pPr>
      <w:r w:rsidRPr="009C1E6F">
        <w:rPr>
          <w:rFonts w:ascii="Arial" w:hAnsi="Arial"/>
          <w:sz w:val="22"/>
        </w:rPr>
        <w:t>selle riistvara kirjeldus, mille kasutamiseks on tehisintellektisüsteem ette nähtud;</w:t>
      </w:r>
    </w:p>
    <w:p w14:paraId="61EF3469" w14:textId="77777777" w:rsidR="00CE2EF9" w:rsidRPr="009C1E6F" w:rsidRDefault="00CE2EF9" w:rsidP="00CE2EF9">
      <w:pPr>
        <w:pStyle w:val="doLijstnummering5"/>
        <w:numPr>
          <w:ilvl w:val="1"/>
          <w:numId w:val="9"/>
        </w:numPr>
        <w:rPr>
          <w:rFonts w:ascii="Arial" w:hAnsi="Arial" w:cs="Arial"/>
          <w:sz w:val="22"/>
          <w:szCs w:val="22"/>
        </w:rPr>
      </w:pPr>
      <w:r w:rsidRPr="009C1E6F">
        <w:rPr>
          <w:rFonts w:ascii="Arial" w:hAnsi="Arial"/>
          <w:sz w:val="22"/>
        </w:rPr>
        <w:t>kui tehisintellektisüsteem on toote osa, siis fotod või joonised, mis kujutavad toote välist vormi, märgistust ja sisemist struktuuri;</w:t>
      </w:r>
    </w:p>
    <w:p w14:paraId="30BA9017" w14:textId="77777777" w:rsidR="009B4B27" w:rsidRPr="009C1E6F" w:rsidRDefault="009B4B27" w:rsidP="009B4B27">
      <w:pPr>
        <w:pStyle w:val="doLijstnummering5"/>
        <w:numPr>
          <w:ilvl w:val="1"/>
          <w:numId w:val="9"/>
        </w:numPr>
        <w:rPr>
          <w:rFonts w:ascii="Arial" w:hAnsi="Arial" w:cs="Arial"/>
          <w:sz w:val="22"/>
          <w:szCs w:val="22"/>
        </w:rPr>
      </w:pPr>
      <w:r w:rsidRPr="009C1E6F">
        <w:rPr>
          <w:rFonts w:ascii="Arial" w:hAnsi="Arial"/>
          <w:sz w:val="22"/>
        </w:rPr>
        <w:t>avaliku sektori organisatsioonile pakutava kasutajaliidese põhikirjeldus;</w:t>
      </w:r>
    </w:p>
    <w:p w14:paraId="707E85AB" w14:textId="18ADAD72" w:rsidR="00CE2EF9" w:rsidRPr="009C1E6F" w:rsidRDefault="009B4B27" w:rsidP="00CE2EF9">
      <w:pPr>
        <w:pStyle w:val="doLijstnummering5"/>
        <w:numPr>
          <w:ilvl w:val="1"/>
          <w:numId w:val="9"/>
        </w:numPr>
        <w:rPr>
          <w:rFonts w:ascii="Arial" w:hAnsi="Arial" w:cs="Arial"/>
          <w:sz w:val="22"/>
          <w:szCs w:val="22"/>
        </w:rPr>
      </w:pPr>
      <w:r w:rsidRPr="009C1E6F">
        <w:rPr>
          <w:rFonts w:ascii="Arial" w:hAnsi="Arial"/>
          <w:sz w:val="22"/>
        </w:rPr>
        <w:t>kasutusjuhend juurutajale ja juurutajale pakutava kasutajaliidese põhikirjeldus, kui see on kohaldatav;</w:t>
      </w:r>
    </w:p>
    <w:p w14:paraId="40DAF3DF" w14:textId="77777777" w:rsidR="00CE2EF9" w:rsidRPr="009C1E6F" w:rsidRDefault="00CE2EF9" w:rsidP="00CE2EF9">
      <w:pPr>
        <w:pStyle w:val="doLijstnummering5"/>
        <w:numPr>
          <w:ilvl w:val="0"/>
          <w:numId w:val="0"/>
        </w:numPr>
        <w:ind w:left="1702"/>
        <w:rPr>
          <w:rFonts w:ascii="Arial" w:hAnsi="Arial" w:cs="Arial"/>
          <w:sz w:val="22"/>
          <w:szCs w:val="22"/>
        </w:rPr>
      </w:pPr>
    </w:p>
    <w:p w14:paraId="2ACA8A81" w14:textId="77777777" w:rsidR="00CE2EF9" w:rsidRPr="009C1E6F" w:rsidRDefault="00CE2EF9" w:rsidP="00CE2EF9">
      <w:pPr>
        <w:pStyle w:val="doLijstnummering5"/>
        <w:rPr>
          <w:rFonts w:ascii="Arial" w:hAnsi="Arial" w:cs="Arial"/>
          <w:sz w:val="22"/>
          <w:szCs w:val="22"/>
        </w:rPr>
      </w:pPr>
      <w:r w:rsidRPr="009C1E6F">
        <w:rPr>
          <w:rFonts w:ascii="Arial" w:hAnsi="Arial"/>
          <w:sz w:val="22"/>
        </w:rPr>
        <w:t>tehisintellektisüsteemi komponentide ja selle väljatöötamise protsessi üksikasjalik kirjeldus, sealhulgas:</w:t>
      </w:r>
    </w:p>
    <w:p w14:paraId="37303E32" w14:textId="77777777" w:rsidR="00CE2EF9" w:rsidRPr="009C1E6F" w:rsidRDefault="00CE2EF9" w:rsidP="00CE2EF9">
      <w:pPr>
        <w:pStyle w:val="doLijstnummering5"/>
        <w:numPr>
          <w:ilvl w:val="1"/>
          <w:numId w:val="9"/>
        </w:numPr>
        <w:rPr>
          <w:rFonts w:ascii="Arial" w:hAnsi="Arial" w:cs="Arial"/>
          <w:sz w:val="22"/>
          <w:szCs w:val="22"/>
        </w:rPr>
      </w:pPr>
      <w:r w:rsidRPr="009C1E6F">
        <w:rPr>
          <w:rFonts w:ascii="Arial" w:hAnsi="Arial"/>
          <w:sz w:val="22"/>
        </w:rPr>
        <w:t>tehisintellektisüsteemi väljatöötamise meetodid ja etapid, sealhulgas, kui see on asjakohane, kolmandate isikute pakutavate eeltreenitud süsteemide või töövahendite kasutamine ning see, kuidas tarnija on neid kasutanud, need integreerinud või neid muutnud, sealhulgas selliste kolmandate isikute sisenditega seotud litsentsilepingute või muude lepinguliste kokkulepete kirjeldus;</w:t>
      </w:r>
    </w:p>
    <w:p w14:paraId="50CEDB01" w14:textId="696F3D1C" w:rsidR="00CE2EF9" w:rsidRPr="009C1E6F" w:rsidRDefault="00CE2EF9" w:rsidP="009B4B27">
      <w:pPr>
        <w:pStyle w:val="doLijstnummering5"/>
        <w:numPr>
          <w:ilvl w:val="1"/>
          <w:numId w:val="9"/>
        </w:numPr>
        <w:rPr>
          <w:rFonts w:ascii="Arial" w:hAnsi="Arial" w:cs="Arial"/>
          <w:sz w:val="22"/>
          <w:szCs w:val="22"/>
        </w:rPr>
      </w:pPr>
      <w:r w:rsidRPr="009C1E6F">
        <w:rPr>
          <w:rFonts w:ascii="Arial" w:hAnsi="Arial"/>
          <w:sz w:val="22"/>
        </w:rPr>
        <w:t>süsteemi projekti kirjeldus, täpsemalt tehisintellektisüsteemi ja algoritmide üldine loogika; olulisemad konstruktsioonivalikud, sh põhjendused ja eeldused, kaasa arvatud nende isikute või isikute rühmade kohta, kelle puhul tehisintellektisüsteemi kavatsetakse kasutada; peamised liigitamisvalikud; mida on süsteem projekteeritud optimeerima ja milline on eri parameetrite olulisus; süsteemi eeldatava väljundi ja väljundi kvaliteedi kirjeldus; otsused võimalike kompromisside kohta seoses kasutatud tehniliste lahendustega, et järgida käesolevates suure riskiga tehisintellekti hankimise lepingu tüüptingimustes sätestatud nõudeid;</w:t>
      </w:r>
    </w:p>
    <w:p w14:paraId="2AB4A336" w14:textId="77777777" w:rsidR="00CE2EF9" w:rsidRPr="009C1E6F" w:rsidRDefault="00CE2EF9" w:rsidP="00CE2EF9">
      <w:pPr>
        <w:pStyle w:val="doLijstnummering5"/>
        <w:numPr>
          <w:ilvl w:val="1"/>
          <w:numId w:val="9"/>
        </w:numPr>
        <w:rPr>
          <w:rFonts w:ascii="Arial" w:hAnsi="Arial" w:cs="Arial"/>
          <w:sz w:val="22"/>
          <w:szCs w:val="22"/>
        </w:rPr>
      </w:pPr>
      <w:r w:rsidRPr="009C1E6F">
        <w:rPr>
          <w:rFonts w:ascii="Arial" w:hAnsi="Arial"/>
          <w:sz w:val="22"/>
        </w:rPr>
        <w:t>süsteemi arhitektuuri kirjeldus, milles selgitatakse, kuidas tarkvarakomponendid üksteisele toetuvad või üksteisele sisendit annavad ja üldise andmetöötlusega integreeruvad; tehisintellektisüsteemi väljatöötamiseks, treenimiseks, testimiseks ja valideerimiseks kasutatud arvutusressursid;</w:t>
      </w:r>
    </w:p>
    <w:p w14:paraId="6EE60D08" w14:textId="7C674916" w:rsidR="00CE2EF9" w:rsidRPr="009C1E6F" w:rsidRDefault="00CE2EF9" w:rsidP="00CE2EF9">
      <w:pPr>
        <w:pStyle w:val="doLijstnummering5"/>
        <w:numPr>
          <w:ilvl w:val="1"/>
          <w:numId w:val="9"/>
        </w:numPr>
        <w:rPr>
          <w:rFonts w:ascii="Arial" w:hAnsi="Arial" w:cs="Arial"/>
          <w:sz w:val="22"/>
          <w:szCs w:val="22"/>
        </w:rPr>
      </w:pPr>
      <w:r w:rsidRPr="009C1E6F">
        <w:rPr>
          <w:rFonts w:ascii="Arial" w:hAnsi="Arial"/>
          <w:sz w:val="22"/>
        </w:rPr>
        <w:t xml:space="preserve">kui see on asjakohane, andmetele esitatavad nõuded andmelehtedena, milles kirjeldatakse treenimismeetodeid ja -võtteid ning kasutatud </w:t>
      </w:r>
      <w:r w:rsidRPr="009C1E6F">
        <w:rPr>
          <w:rFonts w:ascii="Arial" w:hAnsi="Arial"/>
          <w:sz w:val="22"/>
        </w:rPr>
        <w:lastRenderedPageBreak/>
        <w:t>treeningandmestikke, sealhulgas asjaomaste andmestike üldkirjeldus, teave nende päritolu, ulatuse ja peamiste omaduste kohta; kuidas andmed on saadud ja valitud; märgistamismenetlused (nt juhendatud õppe korral), andmete puhastamise metoodikad (nt võõrväärtuste avastamine);</w:t>
      </w:r>
    </w:p>
    <w:p w14:paraId="0A8ED183" w14:textId="177B1273" w:rsidR="009B4B27" w:rsidRPr="009C1E6F" w:rsidRDefault="009B4B27" w:rsidP="009B4B27">
      <w:pPr>
        <w:pStyle w:val="doLijstnummering5"/>
        <w:numPr>
          <w:ilvl w:val="1"/>
          <w:numId w:val="9"/>
        </w:numPr>
        <w:rPr>
          <w:rFonts w:ascii="Arial" w:hAnsi="Arial" w:cs="Arial"/>
          <w:sz w:val="22"/>
          <w:szCs w:val="22"/>
        </w:rPr>
      </w:pPr>
      <w:r w:rsidRPr="009C1E6F">
        <w:rPr>
          <w:rFonts w:ascii="Arial" w:hAnsi="Arial"/>
          <w:sz w:val="22"/>
        </w:rPr>
        <w:t>hinnang käesolevate suure riskiga tehisintellekti hankimise lepingu tüüptingimuste kohaselt vajalikele inimjärelevalve meetmetele, sh hinnang tehnilistele meetmetele, mida on vaja, et avaliku sektori organisatsioonidel oleks lihtsam tehisintellektisüsteemi väljundit tõlgendada kooskõlas käesolevate tüüptingimustega;</w:t>
      </w:r>
    </w:p>
    <w:p w14:paraId="24084DC2" w14:textId="677F870A" w:rsidR="00CE2EF9" w:rsidRPr="009C1E6F" w:rsidRDefault="00CE2EF9" w:rsidP="00CE2EF9">
      <w:pPr>
        <w:pStyle w:val="doLijstnummering5"/>
        <w:numPr>
          <w:ilvl w:val="1"/>
          <w:numId w:val="9"/>
        </w:numPr>
        <w:rPr>
          <w:rFonts w:ascii="Arial" w:hAnsi="Arial" w:cs="Arial"/>
          <w:sz w:val="22"/>
          <w:szCs w:val="22"/>
        </w:rPr>
      </w:pPr>
      <w:r w:rsidRPr="009C1E6F">
        <w:rPr>
          <w:rFonts w:ascii="Arial" w:hAnsi="Arial"/>
          <w:sz w:val="22"/>
        </w:rPr>
        <w:t>kui see on kohaldatav, siis tehisintellektisüsteemi ja selle toimimise eelnevalt kindlaks määratud muudatuste üksikasjalik kirjeldus koos kogu asjaomase teabega nende tehniliste lahenduste kohta, mida kasutatakse selleks, et tagada tehisintellektisüsteemi pidev vastavus käesolevates suure riskiga tehisintellekti hankimise lepingu tüüptingimustes sätestatud asjakohastele nõuetele;</w:t>
      </w:r>
    </w:p>
    <w:p w14:paraId="6D9BC3AC" w14:textId="348AD9CB" w:rsidR="00CE2EF9" w:rsidRPr="009C1E6F" w:rsidRDefault="00CE2EF9" w:rsidP="00CE2EF9">
      <w:pPr>
        <w:pStyle w:val="doLijstnummering5"/>
        <w:numPr>
          <w:ilvl w:val="1"/>
          <w:numId w:val="9"/>
        </w:numPr>
        <w:rPr>
          <w:rFonts w:ascii="Arial" w:hAnsi="Arial" w:cs="Arial"/>
          <w:sz w:val="22"/>
          <w:szCs w:val="22"/>
        </w:rPr>
      </w:pPr>
      <w:r w:rsidRPr="009C1E6F">
        <w:rPr>
          <w:rFonts w:ascii="Arial" w:hAnsi="Arial"/>
          <w:sz w:val="22"/>
        </w:rPr>
        <w:t>kasutatud valideerimis- ja testimismenetlused, sh teave kasutatud valideerimis- ja testimisandmete ja nende peamiste omaduste kohta; parameetrid, mida kasutatakse selleks, et mõõta täpsust, stabiilsust ja vastavust muudele käesolevates suure riskiga tehisintellekti hankimise lepingu tüüptingimustes sätestatud asjakohastele nõuetele ning võimalikku diskrimineerivat mõju; testilogid ja kõik testiaruanded, mis on dateeritud ja vastutavate isikute allkirjastatud, sh seoses punktis 2.5 osutatud eelnevalt kindlaks määratud muudatustega;</w:t>
      </w:r>
    </w:p>
    <w:p w14:paraId="0BAE802B" w14:textId="77777777" w:rsidR="00CE2EF9" w:rsidRPr="009C1E6F" w:rsidRDefault="00CE2EF9" w:rsidP="00CE2EF9">
      <w:pPr>
        <w:pStyle w:val="doLijstnummering5"/>
        <w:numPr>
          <w:ilvl w:val="1"/>
          <w:numId w:val="9"/>
        </w:numPr>
        <w:rPr>
          <w:rFonts w:ascii="Arial" w:hAnsi="Arial" w:cs="Arial"/>
          <w:sz w:val="22"/>
          <w:szCs w:val="22"/>
        </w:rPr>
      </w:pPr>
      <w:r w:rsidRPr="009C1E6F">
        <w:rPr>
          <w:rFonts w:ascii="Arial" w:hAnsi="Arial"/>
          <w:sz w:val="22"/>
        </w:rPr>
        <w:t>kasutusele võetud küberturbemeetmed;</w:t>
      </w:r>
    </w:p>
    <w:p w14:paraId="4077ADA4" w14:textId="77777777" w:rsidR="00CE2EF9" w:rsidRPr="009C1E6F" w:rsidRDefault="00CE2EF9" w:rsidP="00CE2EF9">
      <w:pPr>
        <w:pStyle w:val="doLijstnummering5"/>
        <w:numPr>
          <w:ilvl w:val="0"/>
          <w:numId w:val="0"/>
        </w:numPr>
        <w:ind w:left="1702"/>
        <w:rPr>
          <w:rFonts w:ascii="Arial" w:hAnsi="Arial" w:cs="Arial"/>
          <w:sz w:val="22"/>
          <w:szCs w:val="22"/>
        </w:rPr>
      </w:pPr>
    </w:p>
    <w:p w14:paraId="4A4D3303" w14:textId="7AE1D309" w:rsidR="00CE2EF9" w:rsidRPr="009C1E6F" w:rsidRDefault="00052363" w:rsidP="00564A63">
      <w:pPr>
        <w:pStyle w:val="doLijstnummering5"/>
        <w:rPr>
          <w:rFonts w:ascii="Arial" w:hAnsi="Arial" w:cs="Arial"/>
          <w:sz w:val="22"/>
          <w:szCs w:val="22"/>
        </w:rPr>
      </w:pPr>
      <w:r w:rsidRPr="009C1E6F">
        <w:rPr>
          <w:rFonts w:ascii="Arial" w:hAnsi="Arial"/>
          <w:sz w:val="22"/>
        </w:rPr>
        <w:t>üksikasjalik teave tehisintellektisüsteemi seire, toimimise ja kontrollimise kohta, eeskätt seoses järgmisega: süsteemi funktsioonid ja toimimispiirangud, sh täpsusaste konkreetsete isikute või isikute rühmade puhul, kelle puhul tehisintellektisüsteemi kavatsetakse kasutada, ning üldine eeldatav täpsuse tase võrreldes selle sihtotstarbega; prognoositavad soovimatud tagajärjed ja riskiallikad seoses tervise ja ohutuse, põhiõiguste ja diskrimineerimisega, lähtudes tehisintellektisüsteemi sihtotstarbest;</w:t>
      </w:r>
    </w:p>
    <w:p w14:paraId="0EAACA0B" w14:textId="77777777" w:rsidR="00CE2EF9" w:rsidRPr="009C1E6F" w:rsidRDefault="00CE2EF9" w:rsidP="00CE2EF9">
      <w:pPr>
        <w:pStyle w:val="doLijstnummering5"/>
        <w:numPr>
          <w:ilvl w:val="0"/>
          <w:numId w:val="0"/>
        </w:numPr>
        <w:ind w:left="851"/>
        <w:rPr>
          <w:rFonts w:ascii="Arial" w:hAnsi="Arial" w:cs="Arial"/>
          <w:sz w:val="22"/>
          <w:szCs w:val="22"/>
        </w:rPr>
      </w:pPr>
    </w:p>
    <w:p w14:paraId="4915B434" w14:textId="1C009D58" w:rsidR="009B4B27" w:rsidRPr="009C1E6F" w:rsidRDefault="00052363" w:rsidP="00CE2EF9">
      <w:pPr>
        <w:pStyle w:val="doLijstnummering5"/>
        <w:rPr>
          <w:rFonts w:ascii="Arial" w:hAnsi="Arial" w:cs="Arial"/>
          <w:sz w:val="22"/>
          <w:szCs w:val="22"/>
        </w:rPr>
      </w:pPr>
      <w:r w:rsidRPr="009C1E6F">
        <w:rPr>
          <w:rFonts w:ascii="Arial" w:hAnsi="Arial"/>
          <w:sz w:val="22"/>
        </w:rPr>
        <w:t>tehisintellektisüsteemi toimivusnäitajate asjakohasuse kirjeldus;</w:t>
      </w:r>
    </w:p>
    <w:p w14:paraId="60AF0F2C" w14:textId="77777777" w:rsidR="009B4B27" w:rsidRPr="009C1E6F" w:rsidRDefault="009B4B27" w:rsidP="00564A63">
      <w:pPr>
        <w:pStyle w:val="doLijstnummering5"/>
        <w:numPr>
          <w:ilvl w:val="0"/>
          <w:numId w:val="0"/>
        </w:numPr>
        <w:ind w:left="851"/>
        <w:rPr>
          <w:rFonts w:ascii="Arial" w:hAnsi="Arial" w:cs="Arial"/>
          <w:sz w:val="22"/>
          <w:szCs w:val="22"/>
        </w:rPr>
      </w:pPr>
    </w:p>
    <w:p w14:paraId="36E5F47C" w14:textId="01DBF04B" w:rsidR="00CE2EF9" w:rsidRPr="009C1E6F" w:rsidRDefault="00052363" w:rsidP="00CE2EF9">
      <w:pPr>
        <w:pStyle w:val="doLijstnummering5"/>
        <w:rPr>
          <w:rFonts w:ascii="Arial" w:hAnsi="Arial" w:cs="Arial"/>
          <w:sz w:val="22"/>
          <w:szCs w:val="22"/>
        </w:rPr>
      </w:pPr>
      <w:r w:rsidRPr="009C1E6F">
        <w:rPr>
          <w:rFonts w:ascii="Arial" w:hAnsi="Arial"/>
          <w:sz w:val="22"/>
        </w:rPr>
        <w:t>riskijuhtimissüsteemi üksikasjalik kirjeldus vastavalt artiklile 2;</w:t>
      </w:r>
    </w:p>
    <w:p w14:paraId="2EE1094C" w14:textId="77777777" w:rsidR="00CE2EF9" w:rsidRPr="009C1E6F" w:rsidRDefault="00CE2EF9" w:rsidP="00CE2EF9">
      <w:pPr>
        <w:pStyle w:val="doLijstnummering5"/>
        <w:numPr>
          <w:ilvl w:val="0"/>
          <w:numId w:val="0"/>
        </w:numPr>
        <w:ind w:left="851"/>
        <w:rPr>
          <w:rFonts w:ascii="Arial" w:hAnsi="Arial" w:cs="Arial"/>
          <w:sz w:val="22"/>
          <w:szCs w:val="22"/>
        </w:rPr>
      </w:pPr>
    </w:p>
    <w:p w14:paraId="0A2E70B2" w14:textId="35CCEBD9" w:rsidR="001C5152" w:rsidRPr="009C1E6F" w:rsidRDefault="00052363" w:rsidP="001C5152">
      <w:pPr>
        <w:pStyle w:val="doLijstnummering5"/>
        <w:rPr>
          <w:rFonts w:ascii="Arial" w:hAnsi="Arial" w:cs="Arial"/>
          <w:sz w:val="22"/>
          <w:szCs w:val="22"/>
        </w:rPr>
      </w:pPr>
      <w:r w:rsidRPr="009C1E6F">
        <w:rPr>
          <w:rFonts w:ascii="Arial" w:hAnsi="Arial"/>
          <w:sz w:val="22"/>
        </w:rPr>
        <w:t>tarnija poolt süsteemis selle kasutusaja jooksul tehtud asjakohaste muudatuste kirjeldus.</w:t>
      </w:r>
      <w:r w:rsidRPr="009C1E6F">
        <w:rPr>
          <w:rFonts w:ascii="Arial" w:hAnsi="Arial"/>
          <w:sz w:val="22"/>
        </w:rPr>
        <w:br w:type="page"/>
      </w:r>
    </w:p>
    <w:p w14:paraId="32A6061A" w14:textId="77777777" w:rsidR="00CE2EF9" w:rsidRPr="009C1E6F" w:rsidRDefault="00CE2EF9" w:rsidP="00A74620">
      <w:pPr>
        <w:spacing w:after="360"/>
        <w:rPr>
          <w:rFonts w:ascii="Arial" w:hAnsi="Arial" w:cs="Arial"/>
          <w:b/>
          <w:sz w:val="26"/>
          <w:szCs w:val="26"/>
        </w:rPr>
      </w:pPr>
      <w:r w:rsidRPr="009C1E6F">
        <w:rPr>
          <w:rFonts w:ascii="Arial" w:hAnsi="Arial"/>
          <w:b/>
          <w:sz w:val="26"/>
        </w:rPr>
        <w:lastRenderedPageBreak/>
        <w:t>D lisa. Kasutusjuhend</w:t>
      </w:r>
    </w:p>
    <w:p w14:paraId="2644D815" w14:textId="77777777" w:rsidR="00CE2EF9" w:rsidRPr="009C1E6F" w:rsidRDefault="00CE2EF9" w:rsidP="00CE2EF9">
      <w:pPr>
        <w:spacing w:after="210"/>
        <w:jc w:val="both"/>
        <w:rPr>
          <w:rFonts w:ascii="Arial" w:hAnsi="Arial" w:cs="Arial"/>
          <w:sz w:val="22"/>
          <w:szCs w:val="22"/>
        </w:rPr>
      </w:pPr>
      <w:r w:rsidRPr="009C1E6F">
        <w:rPr>
          <w:rFonts w:ascii="Arial" w:hAnsi="Arial"/>
          <w:sz w:val="22"/>
        </w:rPr>
        <w:t>Kasutusjuhend peab sisaldama vähemalt järgmist teavet, kui see on asjaomase tehisintellektisüsteemi puhul kohaldatav.</w:t>
      </w:r>
    </w:p>
    <w:p w14:paraId="3A225FCB" w14:textId="77777777" w:rsidR="00CE2EF9" w:rsidRPr="009C1E6F" w:rsidRDefault="00CE2EF9" w:rsidP="00CE2EF9">
      <w:pPr>
        <w:pStyle w:val="doLijstnummering5"/>
        <w:numPr>
          <w:ilvl w:val="0"/>
          <w:numId w:val="10"/>
        </w:numPr>
        <w:rPr>
          <w:rFonts w:ascii="Arial" w:hAnsi="Arial" w:cs="Arial"/>
          <w:sz w:val="22"/>
          <w:szCs w:val="22"/>
        </w:rPr>
      </w:pPr>
      <w:r w:rsidRPr="009C1E6F">
        <w:rPr>
          <w:rFonts w:ascii="Arial" w:hAnsi="Arial"/>
          <w:sz w:val="22"/>
        </w:rPr>
        <w:t>Tarnija ja kohaldataval juhul tema volitatud esindajate nimed ja kontaktandmed.</w:t>
      </w:r>
    </w:p>
    <w:p w14:paraId="53C1B122" w14:textId="77777777" w:rsidR="00CE2EF9" w:rsidRPr="009C1E6F" w:rsidRDefault="00CE2EF9" w:rsidP="00CE2EF9">
      <w:pPr>
        <w:pStyle w:val="doLijstnummering5"/>
        <w:numPr>
          <w:ilvl w:val="0"/>
          <w:numId w:val="0"/>
        </w:numPr>
        <w:ind w:left="851"/>
        <w:rPr>
          <w:rFonts w:ascii="Arial" w:hAnsi="Arial" w:cs="Arial"/>
          <w:sz w:val="22"/>
          <w:szCs w:val="22"/>
        </w:rPr>
      </w:pPr>
    </w:p>
    <w:p w14:paraId="48B53CA5" w14:textId="77777777" w:rsidR="00CE2EF9" w:rsidRPr="009C1E6F" w:rsidRDefault="00CE2EF9" w:rsidP="00CE2EF9">
      <w:pPr>
        <w:pStyle w:val="doLijstnummering5"/>
        <w:numPr>
          <w:ilvl w:val="0"/>
          <w:numId w:val="10"/>
        </w:numPr>
        <w:rPr>
          <w:rFonts w:ascii="Arial" w:hAnsi="Arial" w:cs="Arial"/>
          <w:sz w:val="22"/>
          <w:szCs w:val="22"/>
        </w:rPr>
      </w:pPr>
      <w:r w:rsidRPr="009C1E6F">
        <w:rPr>
          <w:rFonts w:ascii="Arial" w:hAnsi="Arial"/>
          <w:sz w:val="22"/>
        </w:rPr>
        <w:t>Tehisintellektisüsteemi omadused, funktsioonid ja toimimispiirangud, sealhulgas vastavalt vajadusele:</w:t>
      </w:r>
    </w:p>
    <w:p w14:paraId="6BE450DE" w14:textId="77777777" w:rsidR="00CE2EF9" w:rsidRPr="009C1E6F" w:rsidRDefault="00CE2EF9" w:rsidP="00CE2EF9">
      <w:pPr>
        <w:pStyle w:val="doLijstnummering5"/>
        <w:numPr>
          <w:ilvl w:val="1"/>
          <w:numId w:val="10"/>
        </w:numPr>
        <w:rPr>
          <w:rFonts w:ascii="Arial" w:hAnsi="Arial" w:cs="Arial"/>
          <w:sz w:val="22"/>
          <w:szCs w:val="22"/>
        </w:rPr>
      </w:pPr>
      <w:r w:rsidRPr="009C1E6F">
        <w:rPr>
          <w:rFonts w:ascii="Arial" w:hAnsi="Arial"/>
          <w:sz w:val="22"/>
        </w:rPr>
        <w:t>sihtotstarve;</w:t>
      </w:r>
    </w:p>
    <w:p w14:paraId="30FF4711" w14:textId="452EB214" w:rsidR="00CE2EF9" w:rsidRPr="009C1E6F" w:rsidRDefault="00CE2EF9" w:rsidP="00CE2EF9">
      <w:pPr>
        <w:pStyle w:val="doLijstnummering5"/>
        <w:numPr>
          <w:ilvl w:val="1"/>
          <w:numId w:val="10"/>
        </w:numPr>
        <w:rPr>
          <w:rFonts w:ascii="Arial" w:hAnsi="Arial" w:cs="Arial"/>
          <w:sz w:val="22"/>
          <w:szCs w:val="22"/>
        </w:rPr>
      </w:pPr>
      <w:r w:rsidRPr="009C1E6F">
        <w:rPr>
          <w:rFonts w:ascii="Arial" w:hAnsi="Arial"/>
          <w:sz w:val="22"/>
        </w:rPr>
        <w:t>artiklis 8 osutatud täpsuse, sealhulgas selle parameetrite, stabiilsuse ja küberturvalisuse tase, mille suhtes tehisintellektisüsteemi on testitud ja see on valideeritud ning mida võib eeldada, ning võimalikud selgelt teadaolevad ja prognoositavad asjaolud, mis võivad seda eeldatavat täpsuse, stabiilsuse ja küberturvalisuse taset mõjutada;</w:t>
      </w:r>
    </w:p>
    <w:p w14:paraId="4C5618BD" w14:textId="401908F7" w:rsidR="00CE2EF9" w:rsidRPr="009C1E6F" w:rsidRDefault="00CE2EF9" w:rsidP="00CE2EF9">
      <w:pPr>
        <w:pStyle w:val="doLijstnummering5"/>
        <w:numPr>
          <w:ilvl w:val="1"/>
          <w:numId w:val="10"/>
        </w:numPr>
        <w:rPr>
          <w:rFonts w:ascii="Arial" w:hAnsi="Arial" w:cs="Arial"/>
          <w:sz w:val="22"/>
          <w:szCs w:val="22"/>
        </w:rPr>
      </w:pPr>
      <w:r w:rsidRPr="009C1E6F">
        <w:rPr>
          <w:rFonts w:ascii="Arial" w:hAnsi="Arial"/>
          <w:sz w:val="22"/>
        </w:rPr>
        <w:t>kõik teadaolevad või prognoositavad asjaolud, mis on seotud tehisintellektisüsteemi kasutamisega vastavalt selle sihtotstarbele või mõistlikult prognoositava väärkasutamise tingimustes ning mis võivad seada ohtu tervise ja ohutuse või põhiõigused;</w:t>
      </w:r>
    </w:p>
    <w:p w14:paraId="1DFFE207" w14:textId="1B79CC04" w:rsidR="00CE2EF9" w:rsidRPr="009C1E6F" w:rsidRDefault="00D3678A" w:rsidP="00D3678A">
      <w:pPr>
        <w:pStyle w:val="doLijstnummering5"/>
        <w:numPr>
          <w:ilvl w:val="1"/>
          <w:numId w:val="10"/>
        </w:numPr>
        <w:rPr>
          <w:rFonts w:ascii="Arial" w:hAnsi="Arial" w:cs="Arial"/>
          <w:sz w:val="22"/>
          <w:szCs w:val="22"/>
        </w:rPr>
      </w:pPr>
      <w:r w:rsidRPr="009C1E6F">
        <w:rPr>
          <w:rFonts w:ascii="Arial" w:hAnsi="Arial"/>
          <w:sz w:val="22"/>
        </w:rPr>
        <w:t>kui see on kohaldatav, siis tehisintellektisüsteemi tehniline võimekus ja omadused, et anda teavet, mis on oluline selle väljundi selgitamiseks;</w:t>
      </w:r>
      <w:r w:rsidRPr="009C1E6F">
        <w:rPr>
          <w:rFonts w:ascii="Arial" w:hAnsi="Arial"/>
          <w:sz w:val="22"/>
        </w:rPr>
        <w:cr/>
      </w:r>
    </w:p>
    <w:p w14:paraId="7C8EF870" w14:textId="2A947897" w:rsidR="00CE2EF9" w:rsidRPr="009C1E6F" w:rsidRDefault="00D3678A" w:rsidP="00D3678A">
      <w:pPr>
        <w:pStyle w:val="doLijstnummering5"/>
        <w:numPr>
          <w:ilvl w:val="1"/>
          <w:numId w:val="10"/>
        </w:numPr>
        <w:rPr>
          <w:rFonts w:ascii="Arial" w:hAnsi="Arial" w:cs="Arial"/>
          <w:sz w:val="22"/>
          <w:szCs w:val="22"/>
        </w:rPr>
      </w:pPr>
      <w:r w:rsidRPr="009C1E6F">
        <w:rPr>
          <w:rFonts w:ascii="Arial" w:hAnsi="Arial"/>
          <w:sz w:val="22"/>
        </w:rPr>
        <w:t>kui see on asjakohane, siis tehisintellektisüsteemi toimimine seoses konkreetsete isikute või isikute rühmadega, kelle puhul kavatsetakse süsteemi kasutada;</w:t>
      </w:r>
    </w:p>
    <w:p w14:paraId="154A99A7" w14:textId="77777777" w:rsidR="002F066E" w:rsidRPr="009C1E6F" w:rsidRDefault="00D3678A" w:rsidP="002F066E">
      <w:pPr>
        <w:pStyle w:val="doLijstnummering5"/>
        <w:numPr>
          <w:ilvl w:val="1"/>
          <w:numId w:val="10"/>
        </w:numPr>
        <w:rPr>
          <w:rFonts w:ascii="Arial" w:hAnsi="Arial" w:cs="Arial"/>
          <w:sz w:val="22"/>
          <w:szCs w:val="22"/>
        </w:rPr>
      </w:pPr>
      <w:r w:rsidRPr="009C1E6F">
        <w:rPr>
          <w:rFonts w:ascii="Arial" w:hAnsi="Arial"/>
          <w:sz w:val="22"/>
        </w:rPr>
        <w:t>kui see on asjakohane, siis sisendandmete spetsifikatsioonid või muu asjakohane teave kasutatud treenimis-, valideerimis- ja testimisandmestike kohta, võttes arvesse tehisintellektisüsteemi sihtotstarvet;</w:t>
      </w:r>
    </w:p>
    <w:p w14:paraId="5C4B93A6" w14:textId="6AE60494" w:rsidR="00CE2EF9" w:rsidRPr="009C1E6F" w:rsidRDefault="00D3678A" w:rsidP="002F066E">
      <w:pPr>
        <w:pStyle w:val="doLijstnummering5"/>
        <w:numPr>
          <w:ilvl w:val="1"/>
          <w:numId w:val="10"/>
        </w:numPr>
        <w:rPr>
          <w:rFonts w:ascii="Arial" w:hAnsi="Arial" w:cs="Arial"/>
          <w:sz w:val="22"/>
          <w:szCs w:val="22"/>
        </w:rPr>
      </w:pPr>
      <w:r w:rsidRPr="009C1E6F">
        <w:rPr>
          <w:rFonts w:ascii="Arial" w:hAnsi="Arial"/>
          <w:sz w:val="22"/>
        </w:rPr>
        <w:t>kui see on kohaldatav, siis teave, mis võimaldab avaliku sektori organisatsioonil tehisintellektisüsteemi väljundit tõlgendada ja seda asjakohaselt kasutada;</w:t>
      </w:r>
      <w:r w:rsidRPr="009C1E6F">
        <w:rPr>
          <w:rFonts w:ascii="Arial" w:hAnsi="Arial"/>
          <w:sz w:val="22"/>
        </w:rPr>
        <w:cr/>
      </w:r>
    </w:p>
    <w:p w14:paraId="5A6C2171" w14:textId="77777777" w:rsidR="00CE2EF9" w:rsidRPr="009C1E6F" w:rsidRDefault="00CE2EF9" w:rsidP="00CE2EF9">
      <w:pPr>
        <w:pStyle w:val="doLijstnummering5"/>
        <w:numPr>
          <w:ilvl w:val="0"/>
          <w:numId w:val="10"/>
        </w:numPr>
        <w:rPr>
          <w:rFonts w:ascii="Arial" w:hAnsi="Arial" w:cs="Arial"/>
          <w:sz w:val="22"/>
          <w:szCs w:val="22"/>
        </w:rPr>
      </w:pPr>
      <w:r w:rsidRPr="009C1E6F">
        <w:rPr>
          <w:rFonts w:ascii="Arial" w:hAnsi="Arial"/>
          <w:sz w:val="22"/>
        </w:rPr>
        <w:t xml:space="preserve">võimalikud muudatused tehisintellektisüsteemis ja selle toimimises, mille tarnija on eelnevalt kindlaks määranud; </w:t>
      </w:r>
    </w:p>
    <w:p w14:paraId="014BD99A" w14:textId="77777777" w:rsidR="00CE2EF9" w:rsidRPr="009C1E6F" w:rsidRDefault="00CE2EF9" w:rsidP="00CE2EF9">
      <w:pPr>
        <w:pStyle w:val="doLijstnummering5"/>
        <w:numPr>
          <w:ilvl w:val="0"/>
          <w:numId w:val="0"/>
        </w:numPr>
        <w:ind w:left="851"/>
        <w:rPr>
          <w:rFonts w:ascii="Arial" w:hAnsi="Arial" w:cs="Arial"/>
          <w:sz w:val="22"/>
          <w:szCs w:val="22"/>
        </w:rPr>
      </w:pPr>
    </w:p>
    <w:p w14:paraId="55E78B7C" w14:textId="77777777" w:rsidR="00CE2EF9" w:rsidRPr="009C1E6F" w:rsidRDefault="00CE2EF9" w:rsidP="00CE2EF9">
      <w:pPr>
        <w:pStyle w:val="doLijstnummering5"/>
        <w:numPr>
          <w:ilvl w:val="0"/>
          <w:numId w:val="10"/>
        </w:numPr>
        <w:rPr>
          <w:rFonts w:ascii="Arial" w:hAnsi="Arial" w:cs="Arial"/>
          <w:sz w:val="22"/>
          <w:szCs w:val="22"/>
        </w:rPr>
      </w:pPr>
      <w:bookmarkStart w:id="4" w:name="OpenAt"/>
      <w:r w:rsidRPr="009C1E6F">
        <w:t>artiklis</w:t>
      </w:r>
      <w:bookmarkEnd w:id="4"/>
      <w:r w:rsidRPr="009C1E6F">
        <w:t> </w:t>
      </w:r>
      <w:r w:rsidRPr="009C1E6F">
        <w:rPr>
          <w:rFonts w:ascii="Arial" w:hAnsi="Arial"/>
          <w:sz w:val="22"/>
        </w:rPr>
        <w:t>7 osutatud inimjärelevalve meetmed, sealhulgas tehnilised meetmed, mis on kehtestatud selleks, et hõlbustada tehisintellektisüsteemi väljundite tõlgendamist avaliku sektori organisatsiooni poolt;</w:t>
      </w:r>
    </w:p>
    <w:p w14:paraId="2EDF0A23" w14:textId="77777777" w:rsidR="00CE2EF9" w:rsidRPr="009C1E6F" w:rsidRDefault="00CE2EF9" w:rsidP="00CE2EF9">
      <w:pPr>
        <w:pStyle w:val="doLijstnummering5"/>
        <w:numPr>
          <w:ilvl w:val="0"/>
          <w:numId w:val="0"/>
        </w:numPr>
        <w:ind w:left="851"/>
        <w:rPr>
          <w:rFonts w:ascii="Arial" w:hAnsi="Arial" w:cs="Arial"/>
          <w:sz w:val="22"/>
          <w:szCs w:val="22"/>
        </w:rPr>
      </w:pPr>
    </w:p>
    <w:p w14:paraId="3D94A9D8" w14:textId="77777777" w:rsidR="00CE2EF9" w:rsidRPr="009C1E6F" w:rsidRDefault="00D3678A" w:rsidP="00D3678A">
      <w:pPr>
        <w:pStyle w:val="doLijstnummering5"/>
        <w:numPr>
          <w:ilvl w:val="0"/>
          <w:numId w:val="10"/>
        </w:numPr>
        <w:rPr>
          <w:rFonts w:ascii="Arial" w:hAnsi="Arial" w:cs="Arial"/>
          <w:sz w:val="22"/>
          <w:szCs w:val="22"/>
        </w:rPr>
      </w:pPr>
      <w:r w:rsidRPr="009C1E6F">
        <w:rPr>
          <w:rFonts w:ascii="Arial" w:hAnsi="Arial"/>
          <w:sz w:val="22"/>
        </w:rPr>
        <w:t>vajalikud arvutus- ja riistvararessursid, tehisintellektisüsteemi eeldatav eluiga ning mis tahes hooldus- ja järelevalvemeetmed, mis on vajalikud, et tagada tehisintellektisüsteemi tõrgeteta toimimine, muu hulgas tarkvarauuenduste vallas, ning nende meetmete sagedus;</w:t>
      </w:r>
    </w:p>
    <w:p w14:paraId="0B44A81A" w14:textId="77777777" w:rsidR="00CE2EF9" w:rsidRPr="009C1E6F" w:rsidRDefault="00CE2EF9" w:rsidP="00CE2EF9">
      <w:pPr>
        <w:pStyle w:val="doLijstnummering5"/>
        <w:numPr>
          <w:ilvl w:val="0"/>
          <w:numId w:val="0"/>
        </w:numPr>
        <w:ind w:left="851"/>
        <w:rPr>
          <w:rFonts w:ascii="Arial" w:hAnsi="Arial" w:cs="Arial"/>
          <w:sz w:val="22"/>
          <w:szCs w:val="22"/>
        </w:rPr>
      </w:pPr>
    </w:p>
    <w:p w14:paraId="4763F328" w14:textId="112987C6" w:rsidR="00CE2EF9" w:rsidRPr="009C1E6F" w:rsidRDefault="00D3678A" w:rsidP="00564A63">
      <w:pPr>
        <w:pStyle w:val="doLijstnummering5"/>
        <w:rPr>
          <w:b/>
        </w:rPr>
      </w:pPr>
      <w:r w:rsidRPr="009C1E6F">
        <w:rPr>
          <w:rFonts w:ascii="Arial" w:hAnsi="Arial"/>
          <w:sz w:val="22"/>
        </w:rPr>
        <w:t xml:space="preserve">kui see on asjakohane, selliste tehisintellektisüsteemi kuuluvate mehhanismide kirjeldus, mis võimaldavad avaliku sektori organisatsioonidel logisid nõuetekohaselt </w:t>
      </w:r>
      <w:r w:rsidRPr="009C1E6F">
        <w:rPr>
          <w:rFonts w:ascii="Arial" w:hAnsi="Arial"/>
          <w:sz w:val="22"/>
        </w:rPr>
        <w:lastRenderedPageBreak/>
        <w:t xml:space="preserve">koguda, salvestada ja tõlgendada vastavalt käesolevate suure riskiga tehisintellekti hankimise lepingu tüüptingimuste artiklile 5. </w:t>
      </w:r>
      <w:r w:rsidRPr="009C1E6F">
        <w:br w:type="page"/>
      </w:r>
    </w:p>
    <w:p w14:paraId="60742357" w14:textId="77777777" w:rsidR="00CE2EF9" w:rsidRPr="009C1E6F" w:rsidRDefault="00CE2EF9" w:rsidP="00A74620">
      <w:pPr>
        <w:spacing w:after="360"/>
        <w:jc w:val="both"/>
        <w:rPr>
          <w:rFonts w:ascii="Arial" w:hAnsi="Arial" w:cs="Arial"/>
          <w:b/>
          <w:sz w:val="26"/>
          <w:szCs w:val="26"/>
        </w:rPr>
      </w:pPr>
      <w:r w:rsidRPr="009C1E6F">
        <w:rPr>
          <w:rFonts w:ascii="Arial" w:hAnsi="Arial"/>
          <w:b/>
          <w:sz w:val="26"/>
        </w:rPr>
        <w:lastRenderedPageBreak/>
        <w:t>E lisa. Läbipaistvuse tagamise meetmed</w:t>
      </w:r>
    </w:p>
    <w:p w14:paraId="627CAA54" w14:textId="014A67DD" w:rsidR="00CE2EF9" w:rsidRPr="009C1E6F" w:rsidRDefault="00CE2EF9" w:rsidP="00CE2EF9">
      <w:pPr>
        <w:spacing w:after="210"/>
        <w:jc w:val="both"/>
        <w:rPr>
          <w:rFonts w:ascii="Arial" w:hAnsi="Arial" w:cs="Arial"/>
          <w:i/>
          <w:sz w:val="22"/>
          <w:szCs w:val="22"/>
        </w:rPr>
      </w:pPr>
      <w:r w:rsidRPr="009C1E6F">
        <w:rPr>
          <w:rFonts w:ascii="Arial" w:hAnsi="Arial"/>
          <w:i/>
          <w:sz w:val="22"/>
        </w:rPr>
        <w:t>Kirjeldage tehnilisi ja korralduslikke meetmeid, mida tarnija peab rakendama, et tagada läbipaistvus vastavalt suure riskiga tehisintellekti hankimise lepingu tüüptingimuste artiklile 6.</w:t>
      </w:r>
    </w:p>
    <w:p w14:paraId="639F3DAB" w14:textId="77777777" w:rsidR="00CE2EF9" w:rsidRPr="009C1E6F" w:rsidRDefault="00CE2EF9" w:rsidP="00CE2EF9">
      <w:pPr>
        <w:spacing w:after="210"/>
        <w:jc w:val="both"/>
        <w:rPr>
          <w:rFonts w:ascii="Arial" w:hAnsi="Arial" w:cs="Arial"/>
          <w:b/>
          <w:sz w:val="22"/>
          <w:szCs w:val="22"/>
        </w:rPr>
      </w:pPr>
      <w:r w:rsidRPr="009C1E6F">
        <w:br w:type="page"/>
      </w:r>
    </w:p>
    <w:p w14:paraId="6F0DAB33" w14:textId="77777777" w:rsidR="00CE2EF9" w:rsidRPr="009C1E6F" w:rsidRDefault="00CE2EF9" w:rsidP="00A74620">
      <w:pPr>
        <w:spacing w:after="360"/>
        <w:jc w:val="both"/>
        <w:rPr>
          <w:rFonts w:ascii="Arial" w:hAnsi="Arial" w:cs="Arial"/>
          <w:b/>
          <w:sz w:val="26"/>
          <w:szCs w:val="26"/>
        </w:rPr>
      </w:pPr>
      <w:r w:rsidRPr="009C1E6F">
        <w:rPr>
          <w:rFonts w:ascii="Arial" w:hAnsi="Arial"/>
          <w:b/>
          <w:sz w:val="26"/>
        </w:rPr>
        <w:lastRenderedPageBreak/>
        <w:t>F lisa. Inimjärelevalve tagamise meetmed</w:t>
      </w:r>
    </w:p>
    <w:p w14:paraId="7A6DBACF" w14:textId="1E7F2DDA" w:rsidR="00CE2EF9" w:rsidRPr="009C1E6F" w:rsidRDefault="00CE2EF9" w:rsidP="00CE2EF9">
      <w:pPr>
        <w:spacing w:after="210"/>
        <w:jc w:val="both"/>
        <w:rPr>
          <w:rFonts w:ascii="Arial" w:hAnsi="Arial" w:cs="Arial"/>
          <w:i/>
          <w:sz w:val="22"/>
          <w:szCs w:val="22"/>
        </w:rPr>
      </w:pPr>
      <w:r w:rsidRPr="009C1E6F">
        <w:rPr>
          <w:rFonts w:ascii="Arial" w:hAnsi="Arial"/>
          <w:i/>
          <w:sz w:val="22"/>
        </w:rPr>
        <w:t>Kirjeldage tehnilisi ja korralduslikke meetmeid, mida tarnija peab rakendama, et tagada inimjärelevalve vastavalt suure riskiga tehisintellekti hankimise lepingu tüüptingimuste artiklile 7.</w:t>
      </w:r>
    </w:p>
    <w:p w14:paraId="5EA49DFE" w14:textId="77777777" w:rsidR="00CE2EF9" w:rsidRPr="009C1E6F" w:rsidRDefault="00CE2EF9" w:rsidP="00CE2EF9">
      <w:pPr>
        <w:spacing w:after="210"/>
        <w:jc w:val="both"/>
        <w:rPr>
          <w:rFonts w:ascii="Arial" w:hAnsi="Arial" w:cs="Arial"/>
          <w:b/>
          <w:sz w:val="22"/>
          <w:szCs w:val="22"/>
        </w:rPr>
      </w:pPr>
      <w:r w:rsidRPr="009C1E6F">
        <w:br w:type="page"/>
      </w:r>
    </w:p>
    <w:p w14:paraId="6C4E10C8" w14:textId="77777777" w:rsidR="00CE2EF9" w:rsidRPr="009C1E6F" w:rsidRDefault="00CE2EF9" w:rsidP="00A74620">
      <w:pPr>
        <w:spacing w:after="360"/>
        <w:jc w:val="both"/>
        <w:rPr>
          <w:rFonts w:ascii="Arial" w:hAnsi="Arial" w:cs="Arial"/>
          <w:b/>
          <w:sz w:val="26"/>
          <w:szCs w:val="26"/>
        </w:rPr>
      </w:pPr>
      <w:r w:rsidRPr="009C1E6F">
        <w:rPr>
          <w:rFonts w:ascii="Arial" w:hAnsi="Arial"/>
          <w:b/>
          <w:sz w:val="26"/>
        </w:rPr>
        <w:lastRenderedPageBreak/>
        <w:t>G lisa. Täpsuse tasemed</w:t>
      </w:r>
    </w:p>
    <w:p w14:paraId="09E6BDFF" w14:textId="77777777" w:rsidR="00CE2EF9" w:rsidRPr="009C1E6F" w:rsidRDefault="00CE2EF9" w:rsidP="00CE2EF9">
      <w:pPr>
        <w:spacing w:after="210"/>
        <w:jc w:val="both"/>
        <w:rPr>
          <w:rFonts w:ascii="Arial" w:hAnsi="Arial" w:cs="Arial"/>
          <w:i/>
          <w:sz w:val="22"/>
          <w:szCs w:val="22"/>
        </w:rPr>
      </w:pPr>
      <w:r w:rsidRPr="009C1E6F">
        <w:rPr>
          <w:rFonts w:ascii="Arial" w:hAnsi="Arial"/>
          <w:i/>
          <w:sz w:val="22"/>
        </w:rPr>
        <w:t>Kirjeldage siin nõutavaid täpsuse tasemeid.</w:t>
      </w:r>
    </w:p>
    <w:p w14:paraId="7413A47E" w14:textId="77777777" w:rsidR="00CE2EF9" w:rsidRPr="009C1E6F" w:rsidRDefault="00CE2EF9" w:rsidP="00CE2EF9">
      <w:pPr>
        <w:spacing w:after="210"/>
        <w:jc w:val="both"/>
        <w:rPr>
          <w:rFonts w:ascii="Arial" w:hAnsi="Arial" w:cs="Arial"/>
          <w:i/>
          <w:sz w:val="22"/>
          <w:szCs w:val="22"/>
        </w:rPr>
      </w:pPr>
      <w:r w:rsidRPr="009C1E6F">
        <w:br w:type="page"/>
      </w:r>
    </w:p>
    <w:p w14:paraId="309A7334" w14:textId="77777777" w:rsidR="00CE2EF9" w:rsidRPr="009C1E6F" w:rsidRDefault="00CE2EF9" w:rsidP="00A74620">
      <w:pPr>
        <w:spacing w:after="360"/>
        <w:jc w:val="both"/>
        <w:rPr>
          <w:rFonts w:ascii="Arial" w:hAnsi="Arial" w:cs="Arial"/>
          <w:b/>
          <w:sz w:val="26"/>
          <w:szCs w:val="26"/>
        </w:rPr>
      </w:pPr>
      <w:r w:rsidRPr="009C1E6F">
        <w:rPr>
          <w:rFonts w:ascii="Arial" w:hAnsi="Arial"/>
          <w:b/>
          <w:sz w:val="26"/>
        </w:rPr>
        <w:lastRenderedPageBreak/>
        <w:t>H lisa. Asjakohasel tasemel stabiilsuse, ohutuse ja küberturvalisuse tagamise meetmed</w:t>
      </w:r>
    </w:p>
    <w:p w14:paraId="30426E6E" w14:textId="100ED041" w:rsidR="00CE2EF9" w:rsidRPr="009C1E6F" w:rsidRDefault="00CE2EF9" w:rsidP="00CE2EF9">
      <w:pPr>
        <w:spacing w:after="210"/>
        <w:jc w:val="both"/>
        <w:rPr>
          <w:rFonts w:ascii="Arial" w:hAnsi="Arial" w:cs="Arial"/>
          <w:i/>
          <w:sz w:val="22"/>
          <w:szCs w:val="22"/>
        </w:rPr>
      </w:pPr>
      <w:r w:rsidRPr="009C1E6F">
        <w:rPr>
          <w:rFonts w:ascii="Arial" w:hAnsi="Arial"/>
          <w:i/>
          <w:sz w:val="22"/>
        </w:rPr>
        <w:t>Kirjeldage tehnilisi ja korralduslikke meetmeid, mida tarnija peab rakendama, et tagada asjakohasel tasemel stabiilsus, ohutus ja küberturvalisus vastavalt suure riskiga tehisintellekti hankimise lepingu tüüptingimuste artiklile 8.</w:t>
      </w:r>
    </w:p>
    <w:p w14:paraId="7F9331F2" w14:textId="77777777" w:rsidR="00CE2EF9" w:rsidRPr="009C1E6F" w:rsidRDefault="00CE2EF9" w:rsidP="00CE2EF9">
      <w:pPr>
        <w:spacing w:after="210"/>
        <w:jc w:val="both"/>
        <w:rPr>
          <w:rFonts w:ascii="Arial" w:hAnsi="Arial" w:cs="Arial"/>
          <w:i/>
          <w:sz w:val="22"/>
          <w:szCs w:val="22"/>
        </w:rPr>
      </w:pPr>
      <w:r w:rsidRPr="009C1E6F">
        <w:rPr>
          <w:rFonts w:ascii="Arial" w:hAnsi="Arial"/>
          <w:i/>
          <w:sz w:val="22"/>
        </w:rPr>
        <w:t>Nende meetmetega tuleb tagada, et tehisintellektisüsteem on võimalikult vastupidav vigade, rikete või ebakõlade suhtes, mis võivad tekkida süsteemis või süsteemi töökeskkonnas, eelkõige süsteemi koostoime tõttu füüsiliste isikutega või muude süsteemidega.</w:t>
      </w:r>
    </w:p>
    <w:p w14:paraId="4CF015C3" w14:textId="3A128485" w:rsidR="00CE2EF9" w:rsidRPr="009C1E6F" w:rsidRDefault="00CE2EF9" w:rsidP="00CE2EF9">
      <w:pPr>
        <w:spacing w:after="210"/>
        <w:jc w:val="both"/>
        <w:rPr>
          <w:rFonts w:ascii="Arial" w:hAnsi="Arial" w:cs="Arial"/>
          <w:i/>
          <w:sz w:val="22"/>
          <w:szCs w:val="22"/>
        </w:rPr>
      </w:pPr>
      <w:r w:rsidRPr="009C1E6F">
        <w:rPr>
          <w:rFonts w:ascii="Arial" w:hAnsi="Arial"/>
          <w:i/>
          <w:sz w:val="22"/>
        </w:rPr>
        <w:t>Tehisintellektisüsteem peab vastu pidama volitamata kolmandate isikute katsetele muuta selle kasutamist, käitumist, väljundeid või toimimist, kasutades ära süsteemi nõrkusi. Tehisintellektile iseloomulike nõrkuste käsitlemiseks kasutatavad tehnilised lahendused võivad hõlmata olenevalt asjaoludest meetmeid, millega hoida ära, avastada, tõrjuda, lahendada ja kontrollida ründeid, millega püütakse manipuleerida treenimisandmestikku („andmemürgitus“) või treenimisel kasutatavaid eeltreenitud komponente („mudelimürgitus“), sisendeid, mille eesmärk on panna mudel viga tegema („vastandnäited“ või „mudelist kõrvalehoidumine“), konfidentsiaalsusründeid või mudelivigu, millega võib kaasneda kahjustav otsustusmenetlus.</w:t>
      </w:r>
    </w:p>
    <w:p w14:paraId="317FB5A1" w14:textId="77777777" w:rsidR="00CE2EF9" w:rsidRPr="009C1E6F" w:rsidRDefault="00CE2EF9" w:rsidP="00CE2EF9">
      <w:pPr>
        <w:spacing w:after="210"/>
        <w:jc w:val="both"/>
        <w:rPr>
          <w:rFonts w:ascii="Arial" w:hAnsi="Arial" w:cs="Arial"/>
          <w:i/>
          <w:sz w:val="22"/>
          <w:szCs w:val="22"/>
        </w:rPr>
      </w:pPr>
    </w:p>
    <w:p w14:paraId="0B67A886" w14:textId="77777777" w:rsidR="00CE2EF9" w:rsidRPr="009C1E6F" w:rsidRDefault="00CE2EF9" w:rsidP="00CE2EF9">
      <w:pPr>
        <w:spacing w:after="210"/>
        <w:jc w:val="both"/>
        <w:rPr>
          <w:rFonts w:ascii="Arial" w:hAnsi="Arial" w:cs="Arial"/>
          <w:b/>
          <w:sz w:val="22"/>
          <w:szCs w:val="22"/>
        </w:rPr>
      </w:pPr>
    </w:p>
    <w:p w14:paraId="22B8D7A6" w14:textId="77777777" w:rsidR="000F6F09" w:rsidRPr="009C1E6F" w:rsidRDefault="000F6F09" w:rsidP="000F6F09">
      <w:pPr>
        <w:rPr>
          <w:rFonts w:ascii="Arial" w:hAnsi="Arial" w:cs="Arial"/>
          <w:sz w:val="22"/>
          <w:szCs w:val="22"/>
          <w:lang w:eastAsia="en-GB"/>
        </w:rPr>
      </w:pPr>
    </w:p>
    <w:p w14:paraId="2835D346" w14:textId="77777777" w:rsidR="000F6F09" w:rsidRPr="009C1E6F" w:rsidRDefault="000F6F09" w:rsidP="000F6F09">
      <w:pPr>
        <w:rPr>
          <w:rFonts w:ascii="Arial" w:hAnsi="Arial" w:cs="Arial"/>
          <w:sz w:val="22"/>
          <w:szCs w:val="22"/>
          <w:lang w:eastAsia="en-GB"/>
        </w:rPr>
      </w:pPr>
    </w:p>
    <w:p w14:paraId="33F6E159" w14:textId="77777777" w:rsidR="000F6F09" w:rsidRPr="009C1E6F" w:rsidRDefault="000F6F09" w:rsidP="000F6F09">
      <w:pPr>
        <w:rPr>
          <w:rFonts w:ascii="Arial" w:hAnsi="Arial" w:cs="Arial"/>
          <w:sz w:val="22"/>
          <w:szCs w:val="22"/>
          <w:lang w:eastAsia="en-GB"/>
        </w:rPr>
      </w:pPr>
    </w:p>
    <w:sectPr w:rsidR="000F6F09" w:rsidRPr="009C1E6F" w:rsidSect="00C56C58">
      <w:headerReference w:type="even" r:id="rId13"/>
      <w:headerReference w:type="default" r:id="rId14"/>
      <w:footerReference w:type="even" r:id="rId15"/>
      <w:footerReference w:type="default" r:id="rId16"/>
      <w:headerReference w:type="first" r:id="rId17"/>
      <w:footerReference w:type="first" r:id="rId18"/>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B0583" w14:textId="77777777" w:rsidR="00C96A67" w:rsidRDefault="00C96A67" w:rsidP="000B1A35">
      <w:r>
        <w:separator/>
      </w:r>
    </w:p>
  </w:endnote>
  <w:endnote w:type="continuationSeparator" w:id="0">
    <w:p w14:paraId="5B3F3334" w14:textId="77777777" w:rsidR="00C96A67" w:rsidRDefault="00C96A67"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rFonts w:ascii="Arial" w:hAnsi="Arial" w:cs="Arial"/>
            <w:b/>
            <w:bCs/>
            <w:color w:val="104D54"/>
          </w:rPr>
        </w:pPr>
        <w:r>
          <w:rPr>
            <w:rStyle w:val="PageNumber"/>
            <w:rFonts w:ascii="Arial" w:hAnsi="Arial" w:cs="Arial"/>
            <w:b/>
            <w:color w:val="104D54"/>
          </w:rPr>
          <w:fldChar w:fldCharType="begin"/>
        </w:r>
        <w:r>
          <w:rPr>
            <w:rStyle w:val="PageNumber"/>
            <w:rFonts w:ascii="Arial" w:hAnsi="Arial" w:cs="Arial"/>
            <w:b/>
            <w:color w:val="104D54"/>
          </w:rPr>
          <w:instrText xml:space="preserve"> PAGE </w:instrText>
        </w:r>
        <w:r>
          <w:rPr>
            <w:rStyle w:val="PageNumber"/>
            <w:rFonts w:ascii="Arial" w:hAnsi="Arial" w:cs="Arial"/>
            <w:b/>
            <w:color w:val="104D54"/>
          </w:rPr>
          <w:fldChar w:fldCharType="separate"/>
        </w:r>
        <w:r>
          <w:rPr>
            <w:rStyle w:val="PageNumber"/>
            <w:rFonts w:ascii="Arial" w:hAnsi="Arial" w:cs="Arial"/>
            <w:b/>
            <w:color w:val="104D54"/>
          </w:rPr>
          <w:t>1</w:t>
        </w:r>
        <w:r>
          <w:rPr>
            <w:rStyle w:val="PageNumber"/>
            <w:rFonts w:ascii="Arial" w:hAnsi="Arial" w:cs="Arial"/>
            <w:b/>
            <w:color w:val="104D54"/>
          </w:rPr>
          <w:t>9</w:t>
        </w:r>
        <w:r>
          <w:rPr>
            <w:rStyle w:val="PageNumber"/>
            <w:rFonts w:ascii="Arial" w:hAnsi="Arial" w:cs="Arial"/>
            <w:b/>
            <w:color w:val="104D54"/>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A34B1" w14:textId="77777777" w:rsidR="00D0675A" w:rsidRDefault="00D067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905EA" w14:textId="77777777" w:rsidR="00C96A67" w:rsidRDefault="00C96A67" w:rsidP="000B1A35">
      <w:r>
        <w:separator/>
      </w:r>
    </w:p>
  </w:footnote>
  <w:footnote w:type="continuationSeparator" w:id="0">
    <w:p w14:paraId="20930B75" w14:textId="77777777" w:rsidR="00C96A67" w:rsidRDefault="00C96A67"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Pr>
            <w:rStyle w:val="Hyperlink"/>
          </w:rPr>
          <w:t>Komisjon avaldab suunised tehisintellektisüsteemi määratlemise kohta, et hõlbustada esimese tehisintellekti käsitleva õigusakti eeskirjade kohaldamist |</w:t>
        </w:r>
      </w:hyperlink>
      <w:hyperlink r:id="rId2" w:history="1">
        <w:r>
          <w:rPr>
            <w:rStyle w:val="Hyperlink"/>
          </w:rPr>
          <w:t xml:space="preserve"> Euroopa digituleviku kujundamine</w:t>
        </w:r>
      </w:hyperlink>
    </w:p>
  </w:footnote>
  <w:footnote w:id="2">
    <w:p w14:paraId="4500DEBA" w14:textId="4CEE3FD1" w:rsidR="003216B4" w:rsidRPr="00D33B49" w:rsidRDefault="003216B4" w:rsidP="00CE2EF9">
      <w:pPr>
        <w:pStyle w:val="FootnoteText"/>
        <w:rPr>
          <w:rFonts w:ascii="Arial" w:hAnsi="Arial" w:cs="Arial"/>
          <w:sz w:val="18"/>
          <w:szCs w:val="24"/>
        </w:rPr>
      </w:pPr>
      <w:r>
        <w:rPr>
          <w:rStyle w:val="FootnoteReference"/>
          <w:rFonts w:ascii="Arial" w:hAnsi="Arial" w:cs="Arial"/>
          <w:sz w:val="18"/>
          <w:szCs w:val="24"/>
        </w:rPr>
        <w:footnoteRef/>
      </w:r>
      <w:r>
        <w:rPr>
          <w:rFonts w:ascii="Arial" w:hAnsi="Arial"/>
          <w:sz w:val="18"/>
        </w:rPr>
        <w:t xml:space="preserve"> </w:t>
      </w:r>
      <w:r>
        <w:tab/>
      </w:r>
      <w:r>
        <w:rPr>
          <w:rFonts w:ascii="Arial" w:hAnsi="Arial"/>
          <w:sz w:val="18"/>
        </w:rPr>
        <w:t>Tarnija andmestike ja kolmandate isikute andmestike üleandmise kohustuse piiramine ei piira tarnija kohustusi, mis on sätestatud artiklites 6 ja 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3C77D" w14:textId="77777777" w:rsidR="00D0675A" w:rsidRDefault="00D067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465FBC69" w:rsidR="003216B4" w:rsidRPr="005A1B9E" w:rsidRDefault="003216B4">
    <w:pPr>
      <w:pStyle w:val="Header"/>
      <w:rPr>
        <w:rFonts w:ascii="Arial" w:hAnsi="Arial" w:cs="Arial"/>
        <w:b/>
        <w:bCs/>
        <w:color w:val="FFFFFF" w:themeColor="background1"/>
      </w:rPr>
    </w:pPr>
    <w:r>
      <w:rPr>
        <w:noProof/>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5" w:name="_Hlk189934907"/>
    <w:r w:rsidR="00100E89">
      <w:fldChar w:fldCharType="begin"/>
    </w:r>
    <w:r w:rsidR="00100E89">
      <w:instrText>HYPERLINK "https://public-buyers-community.ec.europa.eu/communities/procurement-ai"</w:instrText>
    </w:r>
    <w:r w:rsidR="00100E89">
      <w:fldChar w:fldCharType="separate"/>
    </w:r>
    <w:r>
      <w:rPr>
        <w:rStyle w:val="Hyperlink"/>
        <w:rFonts w:ascii="Arial" w:hAnsi="Arial"/>
        <w:color w:val="FFFFFF" w:themeColor="background1"/>
        <w:sz w:val="20"/>
      </w:rPr>
      <w:t>Tehisintellekti hanked |</w:t>
    </w:r>
    <w:r w:rsidR="00100E89">
      <w:rPr>
        <w:rStyle w:val="Hyperlink"/>
        <w:rFonts w:ascii="Arial" w:hAnsi="Arial"/>
        <w:color w:val="FFFFFF" w:themeColor="background1"/>
        <w:sz w:val="20"/>
      </w:rPr>
      <w:fldChar w:fldCharType="end"/>
    </w:r>
    <w:hyperlink r:id="rId2" w:history="1">
      <w:r>
        <w:rPr>
          <w:rStyle w:val="Hyperlink"/>
          <w:rFonts w:ascii="Arial" w:hAnsi="Arial"/>
          <w:color w:val="FFFFFF" w:themeColor="background1"/>
          <w:sz w:val="20"/>
        </w:rPr>
        <w:t xml:space="preserve"> Avaliku sektori hankijad</w:t>
      </w:r>
    </w:hyperlink>
    <w:bookmarkEnd w:id="5"/>
    <w:r>
      <w:tab/>
    </w:r>
    <w:r>
      <w:rPr>
        <w:rFonts w:ascii="Arial" w:hAnsi="Arial"/>
        <w:color w:val="FFFFFF" w:themeColor="background1"/>
      </w:rPr>
      <w:t xml:space="preserve"> </w:t>
    </w:r>
    <w:r>
      <w:tab/>
    </w:r>
    <w:r>
      <w:rPr>
        <w:rFonts w:ascii="Arial" w:hAnsi="Arial"/>
        <w:b/>
        <w:color w:val="FFFFFF" w:themeColor="background1"/>
      </w:rPr>
      <w:t xml:space="preserve">Suure riskiga tehisintellekti hankimise lepingu tüüptingimused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rPr>
        <w:noProof/>
      </w:rP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D5025FC4"/>
    <w:lvl w:ilvl="0">
      <w:start w:val="1"/>
      <w:numFmt w:val="decimal"/>
      <w:pStyle w:val="doLijstnummering7"/>
      <w:lvlText w:val="Artikkel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822F8"/>
    <w:rsid w:val="00094BB7"/>
    <w:rsid w:val="000B1A35"/>
    <w:rsid w:val="000D2464"/>
    <w:rsid w:val="000D2CCC"/>
    <w:rsid w:val="000D7C70"/>
    <w:rsid w:val="000E3EA0"/>
    <w:rsid w:val="000E6BB9"/>
    <w:rsid w:val="000F39AD"/>
    <w:rsid w:val="000F5C89"/>
    <w:rsid w:val="000F6F09"/>
    <w:rsid w:val="00100543"/>
    <w:rsid w:val="00100E89"/>
    <w:rsid w:val="00115AFB"/>
    <w:rsid w:val="00124648"/>
    <w:rsid w:val="0012712E"/>
    <w:rsid w:val="00137BC0"/>
    <w:rsid w:val="00145DBC"/>
    <w:rsid w:val="00157CE2"/>
    <w:rsid w:val="00166C6F"/>
    <w:rsid w:val="00172B4F"/>
    <w:rsid w:val="00173B57"/>
    <w:rsid w:val="00176170"/>
    <w:rsid w:val="00176E68"/>
    <w:rsid w:val="001908A2"/>
    <w:rsid w:val="001C026D"/>
    <w:rsid w:val="001C1C2C"/>
    <w:rsid w:val="001C369D"/>
    <w:rsid w:val="001C5152"/>
    <w:rsid w:val="001D0478"/>
    <w:rsid w:val="001D0885"/>
    <w:rsid w:val="001D0F97"/>
    <w:rsid w:val="001D5BD8"/>
    <w:rsid w:val="001E207C"/>
    <w:rsid w:val="002240A8"/>
    <w:rsid w:val="002356D6"/>
    <w:rsid w:val="00241911"/>
    <w:rsid w:val="00250DE3"/>
    <w:rsid w:val="002521BB"/>
    <w:rsid w:val="002532EE"/>
    <w:rsid w:val="00257095"/>
    <w:rsid w:val="00260A93"/>
    <w:rsid w:val="0026274B"/>
    <w:rsid w:val="0027316C"/>
    <w:rsid w:val="0028697D"/>
    <w:rsid w:val="002920C6"/>
    <w:rsid w:val="002974E8"/>
    <w:rsid w:val="002B3169"/>
    <w:rsid w:val="002B6F1F"/>
    <w:rsid w:val="002C7FA3"/>
    <w:rsid w:val="002D5D9E"/>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255F"/>
    <w:rsid w:val="004B6414"/>
    <w:rsid w:val="004C37ED"/>
    <w:rsid w:val="004C4F77"/>
    <w:rsid w:val="004C6E67"/>
    <w:rsid w:val="004D3081"/>
    <w:rsid w:val="004D3DB3"/>
    <w:rsid w:val="004D4A5B"/>
    <w:rsid w:val="004E436F"/>
    <w:rsid w:val="004E48B6"/>
    <w:rsid w:val="004E4B13"/>
    <w:rsid w:val="00500EF9"/>
    <w:rsid w:val="00514B73"/>
    <w:rsid w:val="005328F9"/>
    <w:rsid w:val="00544ECB"/>
    <w:rsid w:val="0054518D"/>
    <w:rsid w:val="0056368F"/>
    <w:rsid w:val="00564A63"/>
    <w:rsid w:val="00574E15"/>
    <w:rsid w:val="00592734"/>
    <w:rsid w:val="005944BF"/>
    <w:rsid w:val="00595C68"/>
    <w:rsid w:val="005A1B9E"/>
    <w:rsid w:val="005A3D5D"/>
    <w:rsid w:val="005A49B9"/>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64A87"/>
    <w:rsid w:val="006818EB"/>
    <w:rsid w:val="0069290B"/>
    <w:rsid w:val="0069530D"/>
    <w:rsid w:val="0069571E"/>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5D3E"/>
    <w:rsid w:val="007872D1"/>
    <w:rsid w:val="00795109"/>
    <w:rsid w:val="007B4344"/>
    <w:rsid w:val="007B79BA"/>
    <w:rsid w:val="007B7C42"/>
    <w:rsid w:val="007C13FB"/>
    <w:rsid w:val="007C7792"/>
    <w:rsid w:val="007E4829"/>
    <w:rsid w:val="007F08ED"/>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C1E6F"/>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304D"/>
    <w:rsid w:val="00AD1C65"/>
    <w:rsid w:val="00AE662B"/>
    <w:rsid w:val="00B01103"/>
    <w:rsid w:val="00B170E8"/>
    <w:rsid w:val="00B3405F"/>
    <w:rsid w:val="00B35164"/>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7C3E"/>
    <w:rsid w:val="00C94B15"/>
    <w:rsid w:val="00C96A67"/>
    <w:rsid w:val="00CA3D74"/>
    <w:rsid w:val="00CD6D58"/>
    <w:rsid w:val="00CE2EF9"/>
    <w:rsid w:val="00CE54A9"/>
    <w:rsid w:val="00CE7205"/>
    <w:rsid w:val="00CF1790"/>
    <w:rsid w:val="00CF3257"/>
    <w:rsid w:val="00CF5A67"/>
    <w:rsid w:val="00CF6657"/>
    <w:rsid w:val="00D0675A"/>
    <w:rsid w:val="00D170E9"/>
    <w:rsid w:val="00D228EB"/>
    <w:rsid w:val="00D33B49"/>
    <w:rsid w:val="00D35373"/>
    <w:rsid w:val="00D3678A"/>
    <w:rsid w:val="00D52D57"/>
    <w:rsid w:val="00D573E8"/>
    <w:rsid w:val="00D663FA"/>
    <w:rsid w:val="00D7180C"/>
    <w:rsid w:val="00D74FE9"/>
    <w:rsid w:val="00D81335"/>
    <w:rsid w:val="00D837B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6F3"/>
    <w:rsid w:val="00F5778B"/>
    <w:rsid w:val="00F671D7"/>
    <w:rsid w:val="00F77A72"/>
    <w:rsid w:val="00F80072"/>
    <w:rsid w:val="00F87ADD"/>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t-EE"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et-EE"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et-EE"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et-EE"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et-EE"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et-EE"/>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ublic-buyers-community.ec.europa.eu/communities/procurement-ai"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s://digital-strategy.ec.europa.eu/et/library/commission-publishes-guidelines-ai-system-definition-facilitate-first-ai-acts-rules-application" TargetMode="External"/><Relationship Id="rId1" Type="http://schemas.openxmlformats.org/officeDocument/2006/relationships/hyperlink" Target="https://digital-strategy.ec.europa.eu/et/library/commission-publishes-guidelines-ai-system-definition-facilitate-first-ai-acts-rules-application" TargetMode="External"/></Relationships>
</file>

<file path=word/_rels/header2.xml.rels><?xml version="1.0" encoding="UTF-8" standalone="yes"?>
<Relationships xmlns="http://schemas.openxmlformats.org/package/2006/relationships"><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3.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customXml/itemProps4.xml><?xml version="1.0" encoding="utf-8"?>
<ds:datastoreItem xmlns:ds="http://schemas.openxmlformats.org/officeDocument/2006/customXml" ds:itemID="{2A11DF03-4E2F-4055-B76C-DF3D6E4F605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24</Pages>
  <Words>4333</Words>
  <Characters>35321</Characters>
  <Application>Microsoft Office Word</Application>
  <DocSecurity>0</DocSecurity>
  <Lines>735</Lines>
  <Paragraphs>249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DE MEERSMAN Viive (DGT)</cp:lastModifiedBy>
  <cp:revision>4</cp:revision>
  <dcterms:created xsi:type="dcterms:W3CDTF">2025-05-21T14:43:00Z</dcterms:created>
  <dcterms:modified xsi:type="dcterms:W3CDTF">2025-05-26T10:10:00Z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