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E16382" w:rsidP="005A1B9E">
      <w:pPr>
        <w:pStyle w:val="COMMUNITY"/>
        <w:rPr>
          <w:rStyle w:val="Hyperlink"/>
          <w:color w:val="104D54"/>
          <w:u w:val="none"/>
        </w:rPr>
      </w:pPr>
      <w:hyperlink r:id="rId11" w:history="1">
        <w:r>
          <w:rPr>
            <w:rStyle w:val="Hyperlink"/>
            <w:color w:val="104D54"/>
            <w:u w:val="none"/>
          </w:rPr>
          <w:t>Zajednica</w:t>
        </w:r>
        <w:r>
          <w:rPr>
            <w:rStyle w:val="Hyperlink"/>
            <w:color w:val="104D54"/>
            <w:u w:val="none"/>
          </w:rPr>
          <w:br/>
        </w:r>
      </w:hyperlink>
      <w:hyperlink r:id="rId12" w:history="1">
        <w:r>
          <w:rPr>
            <w:rStyle w:val="Hyperlink"/>
            <w:color w:val="104D54"/>
            <w:u w:val="none"/>
          </w:rPr>
          <w:t>za javnu nabavu umjetne inteligencije</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Ogledne ugovorne klauzule za javnu nabavu visokorizične umjetne inteligencije </w:t>
      </w:r>
      <w:bookmarkEnd w:id="0"/>
      <w:r>
        <w:t>(„klauzule MCC-AI-High-Risk”)</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2500D0" w:rsidRDefault="003216B4" w:rsidP="00E16661">
                            <w:pPr>
                              <w:spacing w:line="360" w:lineRule="auto"/>
                              <w:rPr>
                                <w:rFonts w:ascii="Arial" w:hAnsi="Arial" w:cs="Arial"/>
                                <w:color w:val="104D55"/>
                                <w:sz w:val="28"/>
                                <w:szCs w:val="28"/>
                              </w:rPr>
                            </w:pPr>
                            <w:r w:rsidRPr="002500D0">
                              <w:rPr>
                                <w:rFonts w:ascii="Arial" w:hAnsi="Arial"/>
                                <w:color w:val="104D55"/>
                                <w:sz w:val="28"/>
                                <w:szCs w:val="28"/>
                              </w:rPr>
                              <w:t xml:space="preserve">Verzija iz veljače 2025. – Javna nabava visokorizične umjetne inteligencije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2500D0" w:rsidRDefault="003216B4" w:rsidP="00E16661">
                      <w:pPr>
                        <w:spacing w:line="360" w:lineRule="auto"/>
                        <w:rPr>
                          <w:rFonts w:ascii="Arial" w:hAnsi="Arial" w:cs="Arial"/>
                          <w:color w:val="104D55"/>
                          <w:sz w:val="28"/>
                          <w:szCs w:val="28"/>
                        </w:rPr>
                      </w:pPr>
                      <w:r w:rsidRPr="002500D0">
                        <w:rPr>
                          <w:rFonts w:ascii="Arial" w:hAnsi="Arial"/>
                          <w:color w:val="104D55"/>
                          <w:sz w:val="28"/>
                          <w:szCs w:val="28"/>
                        </w:rPr>
                        <w:t xml:space="preserve">Verzija iz veljače 2025. – Javna nabava visokorizične umjetne inteligencije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IZJAVA O ODRICANJU OD ODGOVORNOSTI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Ovaj radni dokument izradila je Europska komisija kako bi podržala zajednicu prakse za javnu nabavu umjetne inteligencije u zadaći usmjeravanja javnih uprava pri nabavi rješenja koja se temelje na umjetnoj inteligenciji. Ovo nije konačna verzija radnog dokumenta niti odražava službeno stajalište Europske komisije.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Dionici koji se odluče služiti ovim radnim dokumentom isključivo su odgovorni za njegovu uporabu u kontekstu javne nabave.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Predložene ogledne ugovorne klauzule za javnu nabavu visokorizične umjetne inteligencije ne dovode u pitanje zahtjeve koji proizlaze iz Akta o umjetnoj inteligenciji.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IZJAVA O ODRICANJU OD ODGOVORNOSTI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Ovaj radni dokument izradila je Europska komisija kako bi podržala zajednicu prakse za javnu nabavu umjetne inteligencije u zadaći usmjeravanja javnih uprava pri nabavi rješenja koja se temelje na umjetnoj inteligenciji. Ovo nije konačna verzija radnog dokumenta niti odražava službeno stajalište Europske komisije.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Dionici koji se odluče služiti ovim radnim dokumentom isključivo su odgovorni za njegovu uporabu u kontekstu javne nabave.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Predložene ogledne ugovorne klauzule za javnu nabavu visokorizične umjetne inteligencije ne dovode u pitanje zahtjeve koji proizlaze iz Akta o umjetnoj inteligenciji.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Odjeljak A– Definicije</w:t>
      </w:r>
    </w:p>
    <w:p w14:paraId="6A99E349" w14:textId="2D951991" w:rsidR="000F6F09" w:rsidRPr="00E16382" w:rsidRDefault="000F6F09" w:rsidP="00E16382">
      <w:pPr>
        <w:pStyle w:val="doLijstnummering7"/>
        <w:rPr>
          <w:rFonts w:ascii="Arial" w:eastAsia="Calibri" w:hAnsi="Arial" w:cs="Arial"/>
          <w:sz w:val="22"/>
          <w:szCs w:val="22"/>
        </w:rPr>
      </w:pPr>
      <w:r w:rsidRPr="00E16382">
        <w:rPr>
          <w:rFonts w:ascii="Arial" w:hAnsi="Arial" w:cs="Arial"/>
          <w:sz w:val="22"/>
          <w:szCs w:val="22"/>
        </w:rPr>
        <w:t>Definicije: pojmovi navedeni velikim početnim slovom u ovim klauzulama MCC-AI-High-Risk imaju značenje koje je određeno u ovom članku</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Ugovor:</w:t>
      </w:r>
      <w:r>
        <w:rPr>
          <w:rFonts w:ascii="Arial" w:hAnsi="Arial"/>
          <w:color w:val="3B3838" w:themeColor="background2" w:themeShade="40"/>
          <w:sz w:val="22"/>
        </w:rPr>
        <w:t xml:space="preserve"> </w:t>
      </w:r>
      <w:r>
        <w:rPr>
          <w:rFonts w:ascii="Arial" w:hAnsi="Arial"/>
          <w:sz w:val="22"/>
        </w:rPr>
        <w:t>cjelokupan ugovor koji sadržava klauzule MCC-AI-High-Risk kao dodatak</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UI sustav:</w:t>
      </w:r>
      <w:r>
        <w:rPr>
          <w:rFonts w:ascii="Arial" w:hAnsi="Arial"/>
          <w:sz w:val="22"/>
        </w:rPr>
        <w:t xml:space="preserve"> strojni sustav dizajniran za rad s promjenjivim razinama autonomije i koji nakon uvođenja može pokazati prilagodljivost te koji za eksplicitne ili implicitne ciljeve iz ulaznih vrijednosti koje prima zaključuje kako generirati izlazne rezultate kao što su predviđanja, sadržaj, preporuke ili odluke koji mogu utjecati na fizička ili virtualna okruženja, kako je dodatno opisano u </w:t>
      </w:r>
      <w:r>
        <w:rPr>
          <w:rFonts w:ascii="Arial" w:hAnsi="Arial"/>
          <w:b/>
          <w:sz w:val="22"/>
        </w:rPr>
        <w:t>Prilogu A</w:t>
      </w:r>
      <w:r>
        <w:rPr>
          <w:rFonts w:ascii="Arial" w:hAnsi="Arial"/>
          <w:sz w:val="22"/>
        </w:rPr>
        <w:t>, uključujući njegove eventualne nove verzije</w:t>
      </w:r>
      <w:r w:rsidR="00A81582" w:rsidRPr="00F973AB">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MCC-AI-High-Risk</w:t>
      </w:r>
      <w:r>
        <w:rPr>
          <w:rFonts w:ascii="Arial" w:hAnsi="Arial"/>
          <w:sz w:val="22"/>
        </w:rPr>
        <w:t>: ove ugovorne klauzule za javnu nabavu visokorizične umjetne inteligencije koju provode javne organizacije</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Skupovi podataka Javne organizacije</w:t>
      </w:r>
      <w:r>
        <w:rPr>
          <w:rFonts w:ascii="Arial" w:hAnsi="Arial"/>
          <w:sz w:val="22"/>
        </w:rPr>
        <w:t>: Skupovi podataka (ili njihovi dijelovi) i. koje je Javna organizacija dostavila Dobavljaču na temelju Ugovora ili ii. koji će se izraditi ili prikupiti u okviru Ugovora, uključujući sve izmijenjene ili proširene verzije Skupova podataka iz točaka i. i ii. (na primjer zbog obilježavanja, označivanja, čišćenja, obogaćivanja ili agregiranja)</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Skupovi podataka</w:t>
      </w:r>
      <w:r>
        <w:rPr>
          <w:rFonts w:ascii="Arial" w:hAnsi="Arial"/>
          <w:sz w:val="22"/>
        </w:rPr>
        <w:t xml:space="preserve">: svi skupovi podataka koji se koriste u razvoju UI sustava, uključujući skup podataka ili skupove podataka kako su opisani u </w:t>
      </w:r>
      <w:r>
        <w:rPr>
          <w:rFonts w:ascii="Arial" w:hAnsi="Arial"/>
          <w:b/>
          <w:sz w:val="22"/>
        </w:rPr>
        <w:t>Prilogu B</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Isporuka:</w:t>
      </w:r>
      <w:r>
        <w:rPr>
          <w:rFonts w:ascii="Arial" w:hAnsi="Arial"/>
          <w:sz w:val="22"/>
        </w:rPr>
        <w:t xml:space="preserve"> trenutak u kojem Dobavljač obavijesti Javnu organizaciju da UI sustav ispunjava sve dogovorene uvjete i da je spreman za korištenje</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Namjena:</w:t>
      </w:r>
      <w:r>
        <w:rPr>
          <w:rFonts w:ascii="Arial" w:hAnsi="Arial"/>
          <w:sz w:val="22"/>
        </w:rPr>
        <w:t xml:space="preserve"> korištenje za koje je Javna organizacija namijenila UI sustav, uključujući specifični kontekst i uvjete korištenja, kako je određena u Prilogu B, informacijama koje je Dobavljač naveo u uputama za korištenje, promotivnim ili prodajnim materijalima i izjavama te u tehničkoj dokumentaciji</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Razumno predvidljiva pogrešna upotreba:</w:t>
      </w:r>
      <w:r>
        <w:rPr>
          <w:rFonts w:ascii="Arial" w:hAnsi="Arial"/>
          <w:color w:val="000000"/>
          <w:sz w:val="22"/>
          <w:shd w:val="clear" w:color="auto" w:fill="FFFFFF"/>
        </w:rPr>
        <w:t xml:space="preserve"> korištenje UI sustava na način koji nije u skladu s njegovom Namjenom, ali može biti posljedica razumno predvidljivog čovjekova ponašanja ili interakcije s drugim sustavima, uključujući druge UI sustave</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lastRenderedPageBreak/>
        <w:t>Bitna izmjena</w:t>
      </w:r>
      <w:r>
        <w:rPr>
          <w:rFonts w:ascii="Arial" w:hAnsi="Arial"/>
          <w:sz w:val="22"/>
        </w:rPr>
        <w:t>: promjena UI sustava nakon Isporuke koja nije predviđena ili planirana u okviru početnog ocjenjivanja sukladnosti koje je proveo Dobavljač i koja utječe na usklađenost UI sustava sa zahtjevima utvrđenima u ovim klauzulama MCC-AI-High-Risk (ne dovodeći u pitanje poglavlje III. odjeljak 2. Akta o UI-ju) ili koja prouzroči izmjenu Namjene prema kojoj je UI sustav bio ocijenjen</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Dobavljač</w:t>
      </w:r>
      <w:r>
        <w:rPr>
          <w:rFonts w:ascii="Arial" w:hAnsi="Arial"/>
          <w:sz w:val="22"/>
        </w:rPr>
        <w:t xml:space="preserve">: </w:t>
      </w:r>
      <w:r>
        <w:rPr>
          <w:rFonts w:ascii="Arial" w:hAnsi="Arial"/>
          <w:color w:val="000000"/>
          <w:sz w:val="22"/>
          <w:shd w:val="clear" w:color="auto" w:fill="FFFFFF"/>
        </w:rPr>
        <w:t>fizička ili pravna osoba, tijelo javne vlasti, agencija ili drugo tijelo koje isporučuje UI sustav Javnoj organizaciji u skladu s Ugovorom</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Skupovi podataka Dobavljača i Skupovi podataka treće strane</w:t>
      </w:r>
      <w:r>
        <w:rPr>
          <w:rFonts w:ascii="Arial" w:hAnsi="Arial"/>
          <w:sz w:val="22"/>
        </w:rPr>
        <w:t>: Skupovi podataka (ili njihovi dijelovi) koji se ne smatraju Skupovima podataka Javne organizacije.</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Odjeljak B – Temeljni zahtjevi za UI sustav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Sustav upravljanja rizicima</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Dobavljač je dužan pobrinuti se da se prije Isporuke UI sustava uspostavi, uvede, dokumentira i</w:t>
      </w:r>
      <w:r>
        <w:rPr>
          <w:rFonts w:ascii="Arial" w:hAnsi="Arial"/>
          <w:color w:val="000000"/>
          <w:sz w:val="22"/>
          <w:shd w:val="clear" w:color="auto" w:fill="FFFFFF"/>
        </w:rPr>
        <w:t xml:space="preserve"> održava sustav upravljanja rizicima za UI sustav</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Sustav upravljanja rizicima obuhvaća barem sljedeće postupke:</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utvrđivanje, procjenu i evaluaciju poznatih i razumno predvidljivih rizika koje UI sustav može predstavljati za zdravlje, sigurnost ili temeljna prava kad se upotrebljava u skladu sa svojom Namjenom;</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procjenjivanje i evaluaciju rizika koji mogu nastati pri korištenju UI sustava u skladu s njegovom Namjenom i u uvjetima Razumno predvidljive pogrešne upotrebe;</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evaluaciju drugih potencijalnih rizika na temelju analize podataka prikupljenih sustavom praćenja nakon stavljanja na tržište;</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donošenje odgovarajućih i ciljanih mjera upravljanja rizicima osmišljenih za otklanjanje rizika utvrđenih na temelju točke (a) ovog stavka u skladu s odredbama sljedećih stavaka.</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Rizici iz ovog članka odnose se samo na one rizike koji se mogu razumno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ublažiti ili ukloniti razvojem ili dizajnom UI sustava ili pružanjem adekvatnih tehničkih informacija.</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U okviru rizika iz ovog članka na odgovarajući se način uzimaju u obzir učinci i moguća interakcija koji proizlaze iz kombinirane primjene zahtjeva utvrđenih u odjeljku B kako bi se rizici djelotvorno sveli na najmanju moguću mjeru i pritom postigla odgovarajuća ravnoteža u provedbi mjera za ispunjavanje tih zahtjeva.</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Mjere upravljanja rizicima iz stavka 2.2. točke (d) takve su da Dobavljač može procijeniti da su relevantni preostali rizici povezani sa svakom pojedinom opasnošću te cjelokupni preostali rizik UI sustava prihvatljivi, pod uvjetom da se UI sustav koristi u skladu sa svojom Namjenom ili u uvjetima Razumno predvidljive pogrešne upotrebe.</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Pri utvrđivanju najprikladnijih mjera upravljanja rizicima iz stavka 2.2. točke (d) osigurava se sljedeće:</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uklanjanje ili smanjenje rizika utvrđenih i evaluiranih na temelju stavka 2.2. u mjeri u kojoj je to tehnički izvedivo putem adekvatnog dizajna i razvoja UI sustava;</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provedba adekvatnih mjera za ublažavanje i kontrolu rizika koji se ne mogu ukloniti, ako je to potrebno;</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pružanje odgovarajućih informacija Javnoj organizaciji i, prema potrebi, osposobljavanje za subjekte koji uvode sustav.</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Dobavljač osigurava da se prije Isporuke UI sustav testira kako bi se provjerilo je li u skladu s klauzulama MCC-AI-High-Risk i jesu li mjere upravljanja rizicima iz stavka 2.2. točke (d) djelotvorne s obzirom na Namjenu i Razumno predvidljivu pogrešnu upotrebu. Ako to zatraži Javna organizacija, Dobavljač je obvezan testirati UI sustav u njezinu okruženju.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UI sustav testira se prema potrebi u bilo kojem trenutku razvojnog procesa, a u svakom slučaju prije Isporuke. Testiranje se provodi u odnosu na prethodno definirane parametre i probabilističke pragove koji su primjereni za Namjenu UI sustava.</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Sve utvrđene rizike, poduzete mjere i testiranja provedena radi postizanja usklađenosti s ovim člankom Dobavljač mora evidentirati. Dobavljač tu dokumentaciju mora staviti na raspolaganje Javnoj organizaciji najkasnije u trenutku Isporuke UI sustava. Ta dokumentacija može biti dio tehničke dokumentacije i/ili uputa za korištenje.</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Sustav upravljanja rizicima kontinuiran je i iterativni proces koji se planira i provodi za vrijeme cijelog trajanja Ugovora. Nakon Isporuke UI sustava Dobavljač stoga mora:</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redovito preispitivati i ažurirati postupak upravljanja rizicima kako bi stalno bio djelotvoran;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rPr>
        <w:t xml:space="preserve">ažurirati dokumentaciju opisanu u </w:t>
      </w:r>
      <w:r>
        <w:rPr>
          <w:rFonts w:ascii="Arial" w:hAnsi="Arial"/>
          <w:sz w:val="22"/>
          <w:bdr w:val="none" w:sz="0" w:space="0" w:color="auto" w:frame="1"/>
        </w:rPr>
        <w:t>članku 2.7.</w:t>
      </w:r>
      <w:r>
        <w:rPr>
          <w:rFonts w:ascii="Arial" w:hAnsi="Arial"/>
          <w:sz w:val="22"/>
        </w:rPr>
        <w:t>;</w:t>
      </w:r>
      <w:r>
        <w:rPr>
          <w:rFonts w:ascii="Arial" w:hAnsi="Arial"/>
          <w:sz w:val="22"/>
          <w:bdr w:val="none" w:sz="0" w:space="0" w:color="auto" w:frame="1"/>
        </w:rPr>
        <w:t xml:space="preserve"> kao i</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bez odgode staviti na raspolaganje Javnoj organizaciji svaku novu verziju dokumentacije opisane u članku 2.7.</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Ako je to razumno potrebno kako bi Dobavljač pravilno provodio sustav upravljanja rizicima, Javna organizacija će na zahtjev dostaviti Dobavljaču informacije koje nisu povjerljive.</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&lt;neobvezno&gt;</w:t>
      </w:r>
      <w:r>
        <w:rPr>
          <w:rFonts w:ascii="Arial" w:hAnsi="Arial"/>
          <w:sz w:val="22"/>
          <w:bdr w:val="none" w:sz="0" w:space="0" w:color="auto" w:frame="1"/>
        </w:rPr>
        <w:t xml:space="preserve"> Ako Javna organizacija nastavlja s korištenjem UI sustava i nakon isteka Ugovora, Dobavljač joj po isteku Ugovora dostavlja informacije potrebne za samostalno održavanje sustava upravljanja rizicima.</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&lt;Članak 3. primjenjuje se samo za UI sustave koji koriste tehnike s treniranjem modelâ pomoću podataka. U članku 3. pretpostavlja se da Dobavljač ili njegovi podugovaratelji imaju potpun pristup Skupovima podataka. Ako Skupove podataka posjeduje isključivo Javna organizacija, potrebno je pronaći druga rješenja.&gt;</w:t>
      </w:r>
      <w:r>
        <w:rPr>
          <w:rFonts w:ascii="Arial" w:hAnsi="Arial"/>
          <w:sz w:val="22"/>
        </w:rPr>
        <w:t xml:space="preserve"> Podaci i upravljanje podacima</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Dobavljač osigurava da Skupovi podataka koji se koriste u razvoju UI sustava, uključujući treniranje, validaciju i testiranje, u svakom trenutku podliježu praksama upravljanja i rukovanja podacima primjerenima Namjeni UI sustava. Te mjere odnose se posebno na:</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relevantne odluke o organizaciji podataka</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procese prikupljanja podataka i podrijetlo podataka te, u slučaju osobnih podataka, izvornu svrhu prikupljanja podataka;</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relevantne postupke pripreme podataka za obradu, kao što su obilježavanje, označivanje, čišćenje, ažuriranje, obogaćivanje i agregiranje;</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formuliranje pretpostavki s obzirom na informacije koje bi podaci trebali mjeriti i predstavljati;</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procjenu raspoloživosti, količine i prikladnosti potrebnih skupova podataka;</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ispitivanje s obzirom na moguće pristranosti koje bi mogle utjecati na zdravlje i sigurnost osoba, imati negativan utjecaj na temeljna prava ili dovesti do diskriminacije zabranjene pravom Unije, posebno ako izlazni rezultati utječu na ulazne podatke za buduće operacije;</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lastRenderedPageBreak/>
        <w:t>odgovarajuće mjere za otkrivanje, sprečavanje i ublažavanje mogućih pristranosti utvrđenih u skladu s točkom (f);</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utvrđivanje relevantnih nepotpunosti ili nedostataka podataka zbog kojih se ne može postići usklađenost s ovim klauzulama MCC-AI-High-Risk te način na koji se te nepotpunosti i nedostaci mogu otkloniti.</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Dobavljač osigurava da su Skupovi podataka koji se koriste u razvoju UI sustava relevantni, dovoljno reprezentativni i u najvećoj mogućoj mjeri bez pogrešaka te da su potpuni s obzirom na svoju Namjenu.</w:t>
      </w:r>
      <w:r>
        <w:rPr>
          <w:rFonts w:ascii="Arial" w:hAnsi="Arial"/>
          <w:sz w:val="22"/>
          <w:bdr w:val="none" w:sz="0" w:space="0" w:color="auto" w:frame="1"/>
        </w:rPr>
        <w:t xml:space="preserve"> Dobavljač osigurava da Skupovi podataka imaju odgovarajuća statistička svojstva, prema potrebi i u odnosu na osobe ili skupine osoba za koje se UI sustav namjerava koristiti. Te se karakteristike Skupova podataka mogu postići na razini pojedinačnih skupova podataka ili njihove kombinacije.</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Dobavljač osigurava da se u Skupovima podataka koji se koriste u razvoju UI sustava u obzir uzimaju, u mjeri u kojoj to iziskuje Namjena ili Razumno predvidljiva pogrešna upotreba, karakteristike ili elementi specifični za geografsko, kontekstualno, bihevioralno ili radno okruženje u kojem se UI sustav namjerava upotrebljavati.</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Obveze iz ovog članka ne primjenjuju se samo na razvoj UI sustava prije Isporuke, nego i na svako Dobavljačevo korištenje Skupova podataka koje može utjecati na funkcioniranje UI sustava u bilo kojem drugom trenutku tijekom trajanja Ugovora.</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Tehnička dokumentacija i upute za korištenje</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Dobavljačeva Isporuka UI sustava uključuje dostavu tehničke dokumentacije i uputa za korištenje.</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Tehnička dokumentacija mora omogućiti Javnoj organizaciji ili trećoj strani da ocijeni usklađenost UI sustava s odredbama zahtjeva utvrđenih u ovim klauzulama MCC-AI-High-Risk i mora ispunjavati barem uvjete opisane u </w:t>
      </w:r>
      <w:r>
        <w:rPr>
          <w:rFonts w:ascii="Arial" w:hAnsi="Arial"/>
          <w:b/>
          <w:sz w:val="22"/>
        </w:rPr>
        <w:t>Prilogu C</w:t>
      </w:r>
      <w:r>
        <w:rPr>
          <w:rFonts w:ascii="Arial" w:hAnsi="Arial"/>
          <w:sz w:val="22"/>
        </w:rPr>
        <w:t xml:space="preserve">.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Upute za korištenje uključuju </w:t>
      </w:r>
      <w:r>
        <w:rPr>
          <w:rFonts w:ascii="Arial" w:hAnsi="Arial"/>
          <w:color w:val="000000"/>
          <w:sz w:val="22"/>
          <w:shd w:val="clear" w:color="auto" w:fill="FFFFFF"/>
        </w:rPr>
        <w:t>sažete, potpune, točne i jasne informacije koje su relevantne, dostupne i razumljive Javnoj organizaciji</w:t>
      </w:r>
      <w:r>
        <w:rPr>
          <w:rFonts w:ascii="Arial" w:hAnsi="Arial"/>
          <w:sz w:val="22"/>
        </w:rPr>
        <w:t>.</w:t>
      </w:r>
      <w:r>
        <w:rPr>
          <w:rFonts w:ascii="Arial" w:hAnsi="Arial"/>
          <w:color w:val="000000"/>
          <w:sz w:val="22"/>
          <w:shd w:val="clear" w:color="auto" w:fill="FFFFFF"/>
        </w:rPr>
        <w:t xml:space="preserve"> Upute za korištenje moraju ispunjavati barem uvjete opisane u </w:t>
      </w:r>
      <w:r>
        <w:rPr>
          <w:rFonts w:ascii="Arial" w:hAnsi="Arial"/>
          <w:b/>
          <w:color w:val="000000"/>
          <w:sz w:val="22"/>
          <w:shd w:val="clear" w:color="auto" w:fill="FFFFFF"/>
        </w:rPr>
        <w:t>Prilogu D</w:t>
      </w:r>
      <w:r>
        <w:rPr>
          <w:rFonts w:ascii="Arial" w:hAnsi="Arial"/>
          <w:sz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Dobavljač tu dokumentaciju mora ažurirati barem nakon svake Bitne izmjene tijekom trajanja Ugovora, a zatim je staviti na raspolaganje Javnoj organizaciji.</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Tehnička dokumentacija i upute za korištenje moraju biti sastavljene na engleskom jeziku.</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Javna organizacija ima pravo izraditi preslike tehničke dokumentacije i uputa za korištenje u količini potrebnoj za interno korištenje unutar Javne organizacije, ne dovodeći u pitanje odredbe članaka 6. i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Čuvanje evidencije</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Dobavljač je dužan osigurati tehničku mogućnost automatskog evidentiranja događaja („evidencija”) u okviru UI sustava tijekom njegova cijelog životnog ciklusa.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Funkcije bilježenja događaja moraju omogućiti razinu sljedivosti UI sustava koja je primjerena njegovoj Namjeni i Razumno predvidljivoj pogrešnoj upotrebi. Njima se posebno omogućuje evidentiranje događaja relevantnih za utvrđivanje situacija koje mogu: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dovesti do toga da UI sustav predstavlja rizik za zdravlje ili sigurnost ili za zaštitu temeljnih prava osoba ili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dovesti do Bitne izmjene.</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Dobavljač će omogućiti Javnoj organizaciji pristup dnevnicima događaja koje UI sustav automatski generira u stvarnom vremenu.</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Dobavljač tijekom trajanja Ugovora čuva dnevnike događaja koje automatski generira UI sustav ako su na temelju Ugovora takvi dnevnici pod njegovom kontrolom. Po isteku trajanja Ugovora Dobavljač će bez odgode te dnevnike događaja dostaviti Javnoj organizaciji.</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Transparentnost UI sustava</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Dobavljač </w:t>
      </w:r>
      <w:r>
        <w:rPr>
          <w:rFonts w:ascii="Arial" w:hAnsi="Arial"/>
          <w:sz w:val="22"/>
        </w:rPr>
        <w:t>osigurava da se UI sustav projektira i razvija te da će se projektirati i razvijati tako da je njegov rad dovoljno transparentan da Javna organizacija može tumačiti izlazne rezultate sustava i primjereno ga koristiti</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Kako bi se osigurala odgovarajuća transparentnost, Dobavljač prije Isporuke UI sustava provodi barem tehničke i organizacijske mjere opisane u </w:t>
      </w:r>
      <w:r>
        <w:rPr>
          <w:rFonts w:ascii="Arial" w:hAnsi="Arial"/>
          <w:b/>
          <w:sz w:val="22"/>
        </w:rPr>
        <w:t>Prilogu E</w:t>
      </w:r>
      <w:r>
        <w:rPr>
          <w:rFonts w:ascii="Arial" w:hAnsi="Arial"/>
          <w:sz w:val="22"/>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Ljudski nadzor</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Dobavljač osigurava da se UI sustav projektira i razvija te da će se projektirati i razvijati, među ostalim ugrađujući odgovarajuće alate u korisničko sučelje, tako da ga fizičke osobe mogu djelotvorno nadzirati tijekom korištenja.</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Cilj je ljudskog nadzora spriječiti ili što više smanjiti rizike za zdravlje, sigurnost ili temeljna prava koji se mogu pojaviti tijekom korištenja UI sustava u skladu s njegovom Namjenom ili u uvjetima Razumno predvidljive pogrešne upotrebe ako takvi rizici i dalje postoje unatoč primjeni drugih zahtjeva utvrđenih u ovom odjeljku.</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Mjere nadzora razmjerne su rizicima, razini autonomije i kontekstu korištenja UI sustava, a osiguravaju se barem jednom od sljedećih vrsta mjera:</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Dobavljač osigurava da se prije Isporuke u UI sustav ugrade odgovarajuće mjere i da se one poduzimaju kako bi se osigurao ljudski nadzor. Te mjere fizičkim osobama zaduženima za ljudski nadzor omogućuju, ako je to potrebno i razmjerno: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da pravilno razumiju relevantne kapacitete i ograničenja UI sustava te da mogu na odgovarajući način pratiti njegov rad, među ostalim radi otkrivanja i uklanjanja nepravilnosti, disfunkcija i neočekivanih rezultata;</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da budu svjesne moguće tendencije automatskog ili pretjeranog oslanjanja na izlazne rezultate UI sustava („automatizacijska pristranost”), osobito UI sustava koji se upotrebljavaju za davanje informacija ili preporuka na temelju kojih odluke donose fizičke osobe;</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da točno protumače izlazni rezultat UI sustava, primjerice uzimajući u obzir karakteristike sustava te dostupne alate i metode za tumačenje;</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da u bilo kojoj situaciji odustanu od korištenja UI sustava ili drukčije zanemare, zaobiđu ili ponište njegov izlazni rezultat;</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da interveniraju u rad ili prekinu rad UI sustava pritiskom gumba za zaustavljanje ili sličnim postupkom koji omogućuje sigurno zaustavljanje sustava.</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Kako bi se osigurao odgovarajući ljudski nadzor, Dobavljač prije Isporuke UI sustava provodi barem tehničke i organizacijske mjere opisane u </w:t>
      </w:r>
      <w:r>
        <w:rPr>
          <w:rFonts w:ascii="Arial" w:hAnsi="Arial"/>
          <w:b/>
          <w:sz w:val="22"/>
        </w:rPr>
        <w:t>Prilogu F</w:t>
      </w:r>
      <w:r>
        <w:rPr>
          <w:rFonts w:ascii="Arial" w:hAnsi="Arial"/>
          <w:sz w:val="22"/>
        </w:rPr>
        <w:t>.</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Točnost, otpornost i kibernetička sigurnost</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Dobavljač osigurava da se UI sustav projektira i razvija te da će se projektirati i razvijati tako da postiže odgovarajuću razinu točnosti, otpornosti, sigurnosti i kibernetičke sigurnosti te da u tim aspektima ima ujednačen radni učinak.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Razine točnosti i relevantni parametri točnosti UI sustava opisani su u </w:t>
      </w:r>
      <w:r>
        <w:rPr>
          <w:rFonts w:ascii="Arial" w:hAnsi="Arial"/>
          <w:b/>
          <w:sz w:val="22"/>
          <w:bdr w:val="none" w:sz="0" w:space="0" w:color="auto" w:frame="1"/>
        </w:rPr>
        <w:t>Prilogu G</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Kako bi se osigurala odgovarajuća razina otpornosti, sigurnosti i kibernetičke sigurnosti, Dobavljač prije Isporuke UI sustava provodi barem tehničke i organizacijske mjere opisane u </w:t>
      </w:r>
      <w:r>
        <w:rPr>
          <w:rFonts w:ascii="Arial" w:hAnsi="Arial"/>
          <w:b/>
          <w:sz w:val="22"/>
        </w:rPr>
        <w:t>Prilogu H</w:t>
      </w:r>
      <w:r>
        <w:rPr>
          <w:rFonts w:ascii="Arial" w:hAnsi="Arial"/>
          <w:sz w:val="22"/>
        </w:rPr>
        <w:t xml:space="preserve">.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Taj zahtjev ne dovodi u pitanje zahtjeve koji proizlaze iz članka 15. Akta u umjetnoj inteligenciji.</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Odjeljak C – Obveze Dobavljača u odnosu na UI sustav</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Usklađenost s odjeljkom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Dobavljač mora osigurati da od Isporuke UI sustava do isteka Ugovora UI sustav ispunjava zahtjeve utvrđene u odjeljku B ovih klauzula MCC-AI-High-Risk.</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Sustav upravljanja kvalitetom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 xml:space="preserve">Prije Isporuke UI sustava Dobavljač je dužan uspostaviti sustav upravljanja kvalitetom kojim se osigurava usklađenost s ovim klauzulama MCC-AI-High-Risk.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O tom se sustavu na sustavan i uredan način mora sastaviti dokumentacija u obliku pisanih politika, postupaka i uputa, koja obuhvaća barem sljedeće aspekte:</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strategiju regulatorne usklađenosti</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tehnike, postupke i sustavne aktivnosti koje treba provoditi u projektiranju te nadzoru i provjeri projektiranja UI sustava</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tehnike, postupke i sustavne aktivnosti koje treba provoditi u razvoju te kontroli kvalitete i osiguranju kvalitete UI sustava</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postupke pregleda, testiranja i validacije koje treba provesti prije, tijekom i poslije razvoja UI sustava te učestalost kojom se oni moraju provoditi</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rPr>
        <w:lastRenderedPageBreak/>
        <w:t>tehničke specifikacije, uključujući norme, koje treba primijeniti i, ako relevantne usklađene norme nisu u cijelosti primjenjive ili ne obuhvaćaju sve relevantne zahtjeve, sredstva kojima treba osigurati usklađenost UI sustava sa zahtjevima iz poglavlja B ovih klauzula MCC-AI-High-Risk</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sustave i postupke za upravljanje podacima, uključujući prikupljanje, pribavljanje, analizu, označivanje, pohranu, filtriranje, rudarenje, agregiranje i zadržavanje podataka te sve druge operacije koje se odnose na podatke i koje se obavljaju prije Isporuke UI sustava</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sustav upravljanja rizicima iz članka 2.</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postupke za prijavljivanje ozbiljnih incidenata</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postupke komunikacije s nacionalnim nadležnim tijelima, drugim relevantnim tijelima, uključujući tijela za pružanje ili olakšavanje pristupa podacima, prijavljenim tijelima, drugim operaterima, klijentima ili drugim zainteresiranim stranama</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sustave i postupke za evidentiranje sve važne dokumentacije i svih važnih informacija</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upravljanje resursima, uključujući mjere koje se odnose na sigurnost opskrbe</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okvir za odgovornost kojim se utvrđuju odgovornosti uprave i drugog osoblja za sve aspekte navedene u ovom stavku.</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Tijekom trajanja Ugovora Dobavljač mora voditi dokumentaciju o dostupnom sustavu upravljanja kvalitetom. Na prvi zahtjev Javne organizacije Dobavljač će joj dostaviti najnoviju verziju dokumentacije o sustavu upravljanja kvalitetom.</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Ocjenjivanje sukladnosti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Dobavljač osigurava da prije Isporuke UI sustav prođe postupak ocjenjivanja sukladnosti:</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Dobavljač provjerava je li uvedeni sustav upravljanja kvalitetom u skladu sa zahtjevima iz članka 10.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Dobavljač pregledava informacije iz tehničke dokumentacije kako bi ocijenio usklađenost UI sustava s relevantnim temeljnim zahtjevima iz odjeljka B ovih klauzula MCC-AI-High-Risk.</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Dobavljač provjerava i jesu li postupak projektiranja i razvoja UI sustava u skladu s tehničkom dokumentacijom.</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Dobavljač osigurava da se za UI sustav provede novi postupak ocjenjivanja sukladnosti kad god Dobavljač bitno izmijeni UI sustav tijekom trajanja Ugovora.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&lt;neobvezno&gt;</w:t>
      </w:r>
      <w:r>
        <w:rPr>
          <w:rFonts w:ascii="Arial" w:hAnsi="Arial"/>
          <w:sz w:val="22"/>
        </w:rPr>
        <w:t xml:space="preserve"> Procjena učinka na temeljna prava</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&lt;neobvezno&gt;</w:t>
      </w:r>
      <w:r>
        <w:rPr>
          <w:rFonts w:ascii="Arial" w:hAnsi="Arial"/>
          <w:sz w:val="22"/>
        </w:rPr>
        <w:t xml:space="preserve"> Na prvi zahtjev Javne organizacije Dobavljač je dužan surađivati u njezinoj procjeni učinka koji bi korištenje UI sustava moglo imati na temeljna prava.</w:t>
      </w:r>
    </w:p>
    <w:p w14:paraId="0977EE3D" w14:textId="77777777" w:rsidR="002C7FA3" w:rsidRPr="002500D0" w:rsidRDefault="002C7FA3" w:rsidP="00564A63">
      <w:pPr>
        <w:pStyle w:val="doLijstnummering7"/>
        <w:numPr>
          <w:ilvl w:val="0"/>
          <w:numId w:val="0"/>
        </w:numPr>
        <w:ind w:left="851" w:hanging="851"/>
        <w:rPr>
          <w:rFonts w:ascii="Arial" w:hAnsi="Arial" w:cs="Arial"/>
          <w:noProof/>
          <w:sz w:val="22"/>
          <w:szCs w:val="22"/>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Korektivne mjere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lastRenderedPageBreak/>
        <w:t>Ako tijekom trajanja ugovora Dobavljač smatra ili ima razloga smatrati da UI sustav nije u skladu s ovim klauzulama MCC-AI-High-Risk, primjerice kao odgovor na primjedbu Javne organizacije, odmah poduzima potrebne korektivne mjere za postizanje sukladnosti tog sustava. Dobavljač o tome obavještava Javnu organizaciju.</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&lt;neobvezno&gt;</w:t>
      </w:r>
      <w:r>
        <w:rPr>
          <w:rFonts w:ascii="Arial" w:hAnsi="Arial"/>
          <w:sz w:val="22"/>
        </w:rPr>
        <w:t xml:space="preserve"> Obveza objašnjenja donošenja pojedinačnih odluka</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Osim obveza opisanih u članku 6. Dobavljač je dužan Javnoj organizaciji na njezin prvi zahtjev jasno i smisleno objasniti ulogu UI sustava u postupku donošenja odluka. To bi se smisleno objašnjenje trebalo posebno (ali ne isključivo) odnositi na glavne elemente odluke donesene na temelju izlaznih rezultata UI sustava u odnosu na osobu koja je predmet odluke Javne organizacije.</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Obveza iz članka 14.1. sastoji se od pružanja Javnoj organizaciji svih tehničkih i drugih informacija koje su joj potrebne kako bi objasnila kako je UI sustav došao do određenog izlaznog rezultata te kako bi pogođenim osobama omogućila da provjere način na koji je UI sustav došao do tog izlaznog rezultata. Dobavljač Javnoj organizaciji daje pravo da koristi, dijeli i otkrije te informacije kako bi na odgovarajući način obavijestila pogođene osobe ako je to nužno i u mjeri u kojoj je nužno.</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Obveze iz članaka 14.1. i 14.2. uključuju izvorni kôd UI sustava, tehničke specifikacije koje se koriste za razvoj UI sustava, Skupove podataka, tehničke informacije o načinu dobivanja i uređivanja Skupova podataka korištenih u razvoju UI sustava, informacije o korištenoj metodi razvoja i poduzetom razvojnom procesu, potkrepljivanje odabira određenog modela i njegovih parametara te informacije o učinkovitosti UI sustava.</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Odjeljak D – Prava korištenja Skupova podataka</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Prava na Skupove podataka Javne organizacije</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Sva prava, uključujući sva prava intelektualnog vlasništva, koja se odnose na Skupove podataka Javne organizacije, pripadaju Javnoj organizaciji ili trećoj strani koju je odredila Javna organizacija.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Dobavljač nema pravo koristiti se Skupovima podataka Javne organizacije ni u koju drugu svrhu osim za izvršenje Ugovora, osim ako je drukčije predviđeno u Prilogu B.</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Na prvi zahtjev Javne organizacije Dobavljač mora uništiti njezine Skupove podataka, osim ako je drukčije utvrđeno u Prilogu B. Ako to zatraži Javna organizacija, Dobavljač mora predočiti razumne dokaze da je uništio njezine Skupove podataka.</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Prava na Skupove podataka Dobavljača i Skupove podataka treće strane</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Sva prava, uključujući sva prava intelektualnog vlasništva, koja se odnose na Skupove podataka Dobavljača i Skupove podataka treće strane, pripadaju Dobavljaču ili trećoj strani.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Dobavljač daje Javnoj organizaciji neisključivo pravo korištenja Skupova podataka Dobavljača i Skupova podataka treće strane koje je u svakom slučaju dovoljno za izvršenje odredaba Ugovora, uključujući klauzule MCC-AI-High-Risk, osim ako je drukčije predviđeno u Prilogu B.</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&lt;neobvezno&gt;</w:t>
      </w:r>
      <w:r>
        <w:rPr>
          <w:rFonts w:ascii="Arial" w:hAnsi="Arial"/>
          <w:sz w:val="22"/>
        </w:rPr>
        <w:t xml:space="preserve"> Pravo korištenja iz članka 16.2. uključuje pravo Javne organizacije ili treće strane da koriste Skupove podataka Dobavljača i Skupove podataka trećih strana za daljnji razvoj UI sustava, uključujući sve njegove nove verzije.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Dostava Skupova podataka</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Na prvi zahtjev Javne organizacije Dobavljač će joj dostaviti najnoviju verziju Skupova podataka Javne organizacije.</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Na prvi zahtjev Javne organizacije Dobavljač će joj dostaviti najnoviju verziju Skupova podataka Dobavljača i Skupova podataka treće strane, osim ako je drukčije predviđeno u Prilogu B.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Skupove podataka Dobavljač mora dostaviti Javnoj organizaciji u uobičajenom formatu datoteke koji određuje Javna organizacija. </w:t>
      </w:r>
      <w:r>
        <w:rPr>
          <w:rFonts w:ascii="Arial" w:hAnsi="Arial"/>
          <w:b/>
          <w:sz w:val="22"/>
        </w:rPr>
        <w:t>&lt;neobvezno&gt; Skupovi podataka vraćaju se na sljedeći način: [format datoteke].</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Naknade štete</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Dobavljač je dužan Javnoj organizaciji nadoknaditi štetu nastalu zbog potraživanja trećih strana, uključujući nadzornike, koja proizlaze iz eventualne povrede prava intelektualnog vlasništva, prava na zaštitu podataka ili jednakovrijednih prava do koje je došlo jer je Javna organizacije koristila UI sustav, Skupove podataka Dobavljača i/ili Skupove podataka treće strane.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Javna organizacija dužna je Dobavljaču nadoknaditi štetu nastalu zbog potraživanja trećih strana, uključujući nadzornike, koja proizlaze iz povrede njihovih prava intelektualnog vlasništva, prava na zaštitu podataka ili jednakovrijednih prava zbog korištenja Skupova podataka Javne organizacije.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Odjeljak E – Registar sustava umjetne inteligencije i revizija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&lt;Neobvezno&gt;</w:t>
      </w:r>
      <w:r>
        <w:rPr>
          <w:rFonts w:ascii="Arial" w:hAnsi="Arial"/>
          <w:sz w:val="22"/>
        </w:rPr>
        <w:t xml:space="preserve"> Registar sustava umjetne inteligencije</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Na prvi zahtjev Javne organizacije Dobavljač će joj dostaviti najnoviju verziju informacija opisanih u prilozima C i D.</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Javna organizacija imat će pravo dijeliti informacije iz članka 19.1. s trećim stranama i objaviti ih, primjerice u registru UI sustava.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Ako Javna organizacija to zatraži, Dobavljač će joj pomoći upisati UI sustave u bilo koji relevantni registar.</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Usklađenost i revizija</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Na prvi zahtjev Javne organizacije Dobavljači joj moraju staviti na raspolaganje sve informacije potrebne za dokazivanje usklađenosti s ovim klauzulama MCC-AI-High-Risk.</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Dobavljač je dužan surađivati u reviziji ili drugoj vrsti inspekcije koju provodi Javna organizacija ili koja se provodi u njezino ime kako bi se procijenilo ispunjava li Dobavljač u svakom trenutku svoje obveze utvrđene u ovim klauzulama MCC-AI-High-Risk. Takva suradnja uključivat će pružanje svih informacija koje zahtijeva Javna organizacija, omogućivanje uvida u primijenjeni sustav upravljanja rizicima, stavljanje osoblja Dobavljača na raspolaganje za razgovore i omogućivanje pristupa lokacijama Dobavljača.</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Javna organizacija priprema ili naručuje pripremu izvješća u kojem se evidentiraju zaključci revizije. U izvješću Javna organizacija evidentira u kojoj mjeri Dobavljač ispunjava obveze iz Ugovora. Ako Javna organizacija utvrdi da Dobavljač ne ispunjava obveze iz ovog članka, Dobavljač će biti dužan otkloniti nedostatke koje je utvrdila Javna organizacija u razumnom roku koji je ona odredila u izvješću. Ako Dobavljač ne otkloni nedostatke koje je utvrdila Javna organizacija u roku određenom u izvješću za otklanjanje takvih nedostataka, po sili zakona smatrat će se da Dobavljač ne ispunjava ugovorne obveze.</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Javna organizacija imat će pravo objaviti zaključke izvješća iz članka 20.3.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Javna organizacija imat će pravo provoditi ili naložiti provođenje revizije jednom u kalendarskoj godini ili u vezi s bilo kojom Bitnom izmjenom.</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Javna organizacija može odlučiti da reviziju u cijelosti ili djelomično provede neovisni revizor.</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Javna organizacija snosi eventualne troškove revizora kojeg angažira. Javna organizacija će platiti Dobavljaču razumnu naknadu za sve troškove koje je imao za potrebe revizije. Spor oko iznosa takve naknade Dobavljaču ni u kojem slučaju ne daje pravo da obustavi izvršenje svojih obveza u skladu s ovim klauzulama MCC-AI-High-Risk. Javna organizacija ne mora platiti takvu naknadu ako se revizijom utvrdi da Dobavljač nije ispunio svoje obveze u skladu s ovim klauzulama MCC-AI-High-Risk.</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Odjeljak F – Troškovi</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Troškovi</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Osim ako se stranke drukčije dogovore ili ako je izričito drukčije određeno u ovim klauzulama MCC-AI-High-Risk, Javna organizacija nije dužna platiti dodatnu naknadu Dobavljaču za rad koji proizlazi iz ovih klauzula MCC-AI-High-Risk.</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Prilog A – UI sustav i njegova Namjena</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Opis UI sustava</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Područjem primjene ovih klauzula MCC-AI-High-Risk obuhvaćeni su sljedeći sustavi ili sastavni dijelovi sustava: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Opišite UI sustav ili sustave. To može biti i algoritamski sustav koji se ne smatra UI sustavom u skladu s Aktom o umjetnoj inteligenciji.</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Namjena</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Opišite za što je UI sustav namijenjen.</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Prilog B – Skupovi podataka</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Opišite Skupove podataka korištene za </w:t>
      </w:r>
      <w:r>
        <w:rPr>
          <w:rFonts w:ascii="Arial" w:hAnsi="Arial"/>
          <w:i/>
          <w:color w:val="000000"/>
          <w:sz w:val="22"/>
          <w:shd w:val="clear" w:color="auto" w:fill="FFFFFF"/>
        </w:rPr>
        <w:t>treniranje (ako je primjenjivo), validaciju i testiranje UI sustava</w:t>
      </w:r>
      <w:r>
        <w:rPr>
          <w:rFonts w:ascii="Arial" w:hAnsi="Arial"/>
          <w:i/>
          <w:sz w:val="22"/>
        </w:rPr>
        <w:t>.</w:t>
      </w:r>
      <w:r>
        <w:rPr>
          <w:rFonts w:ascii="Arial" w:hAnsi="Arial"/>
          <w:i/>
          <w:color w:val="000000"/>
          <w:sz w:val="22"/>
          <w:shd w:val="clear" w:color="auto" w:fill="FFFFFF"/>
        </w:rPr>
        <w:t xml:space="preserve"> Utvrdite razliku između Skupova podataka Javne organizacije te Skupova podataka Dobavljača i Skupova podataka treće strane. Kad je riječ o Skupovima podataka Javne organizacije, opišite svrhe za koje Dobavljač može koristiti Skupove podataka (osim izvršenja Ugovora) i je li Dobavljač dužan uništiti Skup podataka po isteku Ugovora. Kad je riječ o Skupovima podataka Dobavljača i Skupovima podataka treće strane, opišite svrhe za koje Javna organizacija može koristiti Skupove podataka i je li Dobavljač obvezan dostaviti Skupove podataka.</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Skupovi podataka Javne organizacije</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Sljedeće Skupove podataka Javna organizacija dostavlja Dobavljaču u skladu s Ugovorom ili će oni biti stvoreni ili prikupljeni u okviru Ugovora: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Opis Skupa podataka</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Prava korištenja Dobavljača</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Obveza uništavanja Skupa podataka po isteku Ugovora</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Da/Ne</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Skupovi podataka Dobavljača i Skupovi podataka treće strane</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Sljedeći Skupovi podataka Dobavljača i Skupovi podataka treće strane koristit će se ili su se koristili za treniranje (ako je primjenjivo), validaciju i testiranje UI sustava:</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Opis Skupa podataka</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Prava korištenja Javne organizacije</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Obveza dostave</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Da/Ne</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Prilog C – Tehnička dokumentacija</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Tehnička dokumentacija sadržava barem sljedeće informacije, ovisno o tome što je primjenjivo na UI sustav:</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općeniti opis UI sustava, uključujući:</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njegovu namjenu, ime Dobavljača i verziju sustava koja odražava njegovu povezanost s prethodnim verzijama;</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ako je primjenjivo, način na koji UI sustav može biti u interakciji ili se može koristiti kako bi bio u interakciji s hardverom ili softverom, među ostalim s drugim UI sustavima, koji nije dio samog UI sustava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verzije relevantnog softvera ili integriranog softvera i sve zahtjeve povezane s ažuriranjem verzija</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opis hardvera na kojem bi UI sustav trebao raditi</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ako je UI sustav sastavni dio proizvoda, fotografije ili ilustracije koje prikazuju vanjske značajke, oznake i unutarnju konstrukciju tih proizvoda</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osnovni opis korisničkog sučelja koje se stavlja na raspolaganje Javnoj organizaciji</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upute za korištenje namijenjene subjektu koji uvodi sustav i osnovni opis korisničkog sučelja, ako je primjenjivo;</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detaljan opis elemenata UI sustava i postupka njegova razvoja, uključujući:</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metode i korake provedene u razvoju UI sustava, uključujući, prema potrebi, korištenje prethodno treniranih sustava ili alata trećih strana te način na koji ih je Dobavljač koristio, integrirao ili izmijenio, uključujući opis svih ugovora o licenciranju ili drugih ugovornih odredbi povezanih s takvim ulaznim podacima trećih strana</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projektne specifikacije sustava, odnosno opću logiku UI sustava i algoritama; najvažnije projektne odabire, uključujući razloge i pretpostavke za njih, među ostalim u vezi s osobama ili skupinama osoba za koje je sustav namijenjen; glavna primijenjena klasifikacijska rješenja; informacije o tome što bi sustav trebao optimizirati te relevantnost različitih parametara; opis očekivanih izlaznih rezultata sustava i njihove kvalitete; odluke o eventualnim kompromisima u tehničkim rješenjima koje su donesene radi poštovanja zahtjeva iz ovih klauzula MCC-AI-High-Risk;</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opis arhitekture sustava s objašnjenjem kako se softverske komponente međusobno nadopunjuju ili potpomažu te kako su uključene u cjelokupnu obradu; računalne resurse korištene za razvoj, treniranje, testiranje i validaciju UI sustava</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ako je primjenjivo, potrebne podatke u smislu tablica s opisom metodologija i tehnika treniranja te skupova podataka korištenih za treniranje, uključujući općeniti opis tih Skupova podataka te informacije u njihovu podrijetlu, sadržaju i glavnim karakteristikama; način na koji su podaci dobiveni i odabrani; postupke označivanja (npr. za nadzirano učenje), metodologije čišćenja podataka (npr. otkrivanje netipičnih vrijednosti)</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lastRenderedPageBreak/>
        <w:t>procjenu mjera ljudskog nadzora potrebnih u skladu s ovim klauzulama MCC-AI-High-Risk, uključujući procjenu tehničkih mjera potrebnih kako bi se Javnoj organizaciji olakšalo tumačenje izlaznih rezultata UI sustava;</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prema potrebi, detaljan opis unaprijed određenih promjena UI sustava i njegove učinkovitosti, zajedno sa svim relevantnim informacijama o tehničkim rješenjima primijenjenima radi stalne usklađenosti UI sustava s relevantnim zahtjevima iz ovih klauzula MCC-AI-High-Risk;</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primijenjene postupke validacije i testiranja, uključujući informacije o podacima korištenima za validaciju i testiranje te njihovim glavnim karakteristikama; parametre za mjerenje točnosti, otpornosti i usklađenosti s drugim relevantnim zahtjevima iz ovih klauzula MCC-AI-High-Risk, kao i potencijalnih diskriminirajućih učinaka; dnevnike događaja tijekom testiranja i sva izvješća o testiranju s datumom i potpisom odgovornih osoba, među ostalim u vezi s unaprijed određenim promjenama iz točke 2.5.</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uspostavljene mjere kibernetičke sigurnosti.</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detaljne informacije o praćenju, funkcioniranju i kontroli UI sustava, posebno u pogledu: njegovih mogućnosti i ograničenja u radu, uključujući stupnjeve točnosti za konkretne osobe ili skupine osoba na kojima se sustav namjerava koristiti te ukupnu očekivanu razinu točnosti u odnosu na namjenu sustava; predvidljivih neplaniranih krajnjih ishoda i izvora rizika za zdravlje i sigurnost, temeljna prava i diskriminaciju s obzirom na Namjenu UI sustava</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opis primjerenosti parametara učinkovitosti za UI sustav</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detaljan opis sustava upravljanja rizicima u skladu s člankom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opis svih relevantnih promjena koje je Dobavljač izvršio na sustavu tijekom njegova životnog ciklusa.</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Prilog D – Upute za korištenje</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Upute za korištenje sadržavaju barem sljedeće informacije, ovisno o tome što je primjenjivo na UI sustav:</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identitet i podatke za kontakt Dobavljača i, prema potrebi, njegova ovlaštenog zastupnika</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karakteristike, mogućnosti i ograničenja učinkovitosti UI sustava, uključujući, prema potrebi:</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njegovu Namjenu</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razinu točnosti, uključujući njezine parametre, te razinu otpornosti i kibernetičke sigurnosti iz članka 8. u odnosu na koju je UI sustav testiran i validiran i koja se može očekivati te sve poznate i predvidljive okolnosti koje mogu utjecati na tu očekivanu razinu točnosti, stabilnosti i kibernetičke sigurnosti</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sve poznate ili predvidljive okolnosti povezane s uporabom UI sustava u skladu s njegovom Namjenom ili u uvjetima Razumno predvidljive pogrešne upotrebe koje mogu prouzročiti rizike za zdravlje i sigurnost ili temeljna prava</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ako je primjenjivo, tehničke mogućnosti i karakteristike UI sustava za pružanje informacija koje su relevantne za objašnjenje njegovih izlaznih rezultata</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prema potrebi, učinkovitost sustava u odnosu na konkretne osobe ili skupine osoba na kojima se sustav namjerava koristiti</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prema potrebi, specifikacije ulaznih podataka ili sve druge važne informacije o korištenim skupovima podataka za treniranje, validaciju i testiranje, uzimajući u obzir namjenu UI sustava</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ako je primjenjivo, informacije koje Javnoj organizaciji omogućuju tumačenje izlaznih rezultata UI sustava i njihovu prikladnu uporabu</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promjene UI sustava i njegove učinkovitosti koje je Dobavljač unaprijed odredio, ako ih ima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mjere ljudskog nadzora iz </w:t>
      </w:r>
      <w:bookmarkStart w:id="4" w:name="OpenAt"/>
      <w:r>
        <w:rPr>
          <w:rFonts w:ascii="Arial" w:hAnsi="Arial"/>
          <w:sz w:val="22"/>
        </w:rPr>
        <w:t>članka</w:t>
      </w:r>
      <w:bookmarkEnd w:id="4"/>
      <w:r>
        <w:rPr>
          <w:rFonts w:ascii="Arial" w:hAnsi="Arial"/>
          <w:sz w:val="22"/>
        </w:rPr>
        <w:t> 7., uključujući tehničke mjere uvedene kako bi se Javnoj organizaciji olakšalo tumačenje izlaznih rezultata UI sustava</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potrebne računalne i hardverske resurse, očekivani životni ciklus UI sustava i sve potrebne mjere održavanja i brige, uključujući njihovu učestalost, kako bi se osiguralo pravilno funkcioniranje tog UI sustava, što se odnosi i na softverska ažuriranja;</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t xml:space="preserve">prema potrebi, opis mehanizama uključenih u UI sustav koji Javnoj organizaciji omogućuje da pravilno prikuplja, pohranjuje i tumači evidenciju u skladu s člankom 5. ovih klauzula MCC-AI-High-Risk.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Prilog E – Mjere za osiguravanje transparentnosti</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Ovdje opišite tehničke i organizacijske mjere koje Dobavljač treba poduzeti kako bi osigurao transparentnost u skladu s člankom 6. klauzula MCC-AI-High-Risk.</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Prilog F – Mjere za osiguravanje ljudskog nadzora</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Ovdje opišite tehničke i organizacijske mjere koje Dobavljač treba poduzeti kako bi osigurao ljudski nadzor u skladu s člankom 7. klauzula MCC-AI-High-Risk.</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Prilog G – Razine točnosti</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Ovdje opišite potrebne razine točnosti.</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Prilog H – Mjere za osiguravanje odgovarajuće razine otpornosti, sigurnosti i kibernetičke sigurnosti</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Ovdje opišite tehničke i organizacijske mjere koje Dobavljač treba poduzeti kako bi osigurao odgovarajuće razine otpornosti, sigurnosti i kibernetičke sigurnosti u skladu s člankom 8. klauzula MCC-AI-High-Risk.</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Tim se mjerama mora osigurati da UI sustav bude što otporniji na greške, kvarove ili nedosljednosti koje se mogu dogoditi unutar sustava ili okruženja u kojem sustav radi, osobito zbog njihove interakcije s pojedincima ili drugim sustavima.</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UI sustav mora biti otporan na pokušaje neovlaštenih trećih strana da mu izmijene uporabu, ponašanje, izlazne rezultate ili učinkovitost iskorištavanjem slabih točaka sustava. Tehnička rješenja za prevladavanje specifičnih slabih točaka umjetne inteligencije mogu, prema potrebi, uključivati mjere za sprečavanje, otkrivanje, odgovor, rješavanje i kontrolu napada čiji je cilj manipuliranje skupom podataka za treniranje („trovanje podataka”), prethodno treniranim komponentama koje se koriste za treniranje („trovanje modela”) ili ulaznim podacima kako bi model napravio pogrešku („neprijateljski primjeri” ili „zaobilaženje modela”) te napada na povjerljivost ili nedostataka modela koji bi mogli dovesti do štetnog donošenja odluka.</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A06133">
          <w:rPr>
            <w:rStyle w:val="PageNumber"/>
            <w:rFonts w:ascii="Arial" w:hAnsi="Arial" w:cs="Arial"/>
            <w:b/>
            <w:color w:val="104D54"/>
          </w:rPr>
          <w:t>19</w:t>
        </w:r>
        <w:r w:rsidRPr="00B55AC3">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E9207" w14:textId="77777777" w:rsidR="00AC1B99" w:rsidRDefault="00AC1B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Komisija objavljuje smjernice o definiciji UI sustava kako bi olakšala primjenu pravila iz prvog Akta o umjetnoj inteligenciji |</w:t>
        </w:r>
      </w:hyperlink>
      <w:hyperlink r:id="rId2" w:history="1">
        <w:r>
          <w:rPr>
            <w:rStyle w:val="Hyperlink"/>
          </w:rPr>
          <w:t>Izgradnja digitalne budućnosti Europe</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rPr>
          <w:rFonts w:ascii="Arial" w:hAnsi="Arial"/>
          <w:sz w:val="18"/>
        </w:rPr>
        <w:tab/>
        <w:t>Ograničenjem obveze dostave Skupova podataka Dobavljača i Skupova podataka treće strane ne ograničavaju se obveze Dobavljača opisane u člancima 6. i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33E13" w14:textId="77777777" w:rsidR="00AC1B99" w:rsidRDefault="00AC1B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3E271D19"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Javna nabava umjetne inteligencije |</w:t>
      </w:r>
    </w:hyperlink>
    <w:hyperlink r:id="rId3" w:history="1">
      <w:r>
        <w:rPr>
          <w:rStyle w:val="Hyperlink"/>
          <w:rFonts w:ascii="Arial" w:hAnsi="Arial"/>
          <w:color w:val="FFFFFF" w:themeColor="background1"/>
          <w:sz w:val="20"/>
        </w:rPr>
        <w:t xml:space="preserve"> Zajednica javnih naručitelja</w:t>
      </w:r>
    </w:hyperlink>
    <w:bookmarkEnd w:id="5"/>
    <w:r>
      <w:rPr>
        <w:rFonts w:ascii="Arial" w:hAnsi="Arial"/>
        <w:color w:val="FFFFFF" w:themeColor="background1"/>
      </w:rPr>
      <w:tab/>
      <w:t xml:space="preserve"> </w:t>
    </w:r>
    <w:r>
      <w:rPr>
        <w:rFonts w:ascii="Arial" w:hAnsi="Arial"/>
        <w:b/>
        <w:color w:val="FFFFFF" w:themeColor="background1"/>
      </w:rPr>
      <w:t xml:space="preserve">MCC-AI-High-Risk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1F764B6C"/>
    <w:lvl w:ilvl="0">
      <w:start w:val="1"/>
      <w:numFmt w:val="decimal"/>
      <w:pStyle w:val="doLijstnummering7"/>
      <w:lvlText w:val="Članak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0D0"/>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A2552"/>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1B99"/>
    <w:rsid w:val="00AC304D"/>
    <w:rsid w:val="00AD1C65"/>
    <w:rsid w:val="00AE662B"/>
    <w:rsid w:val="00B00A68"/>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382"/>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hr-HR"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hr-HR"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hr-HR"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hr-HR"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hr-HR"/>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hr/library/commission-publishes-guidelines-ai-system-definition-facilitate-first-ai-acts-rules-application" TargetMode="External"/><Relationship Id="rId1" Type="http://schemas.openxmlformats.org/officeDocument/2006/relationships/hyperlink" Target="https://digital-strategy.ec.europa.eu/hr/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4.xml><?xml version="1.0" encoding="utf-8"?>
<ds:datastoreItem xmlns:ds="http://schemas.openxmlformats.org/officeDocument/2006/customXml" ds:itemID="{2A11DF03-4E2F-4055-B76C-DF3D6E4F60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4989</Words>
  <Characters>30686</Characters>
  <Application>Microsoft Office Word</Application>
  <DocSecurity>0</DocSecurity>
  <Lines>697</Lines>
  <Paragraphs>256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VUKUSIC Marin (DGT)</cp:lastModifiedBy>
  <cp:revision>5</cp:revision>
  <dcterms:created xsi:type="dcterms:W3CDTF">2025-05-21T14:43:00Z</dcterms:created>
  <dcterms:modified xsi:type="dcterms:W3CDTF">2025-05-23T08:56:00Z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