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76A9B" w14:textId="77777777" w:rsidR="00592734" w:rsidRPr="002F066E" w:rsidRDefault="00592734"/>
    <w:p w14:paraId="6E71A489" w14:textId="77777777" w:rsidR="000B1A35" w:rsidRPr="00F973AB" w:rsidRDefault="000B1A35" w:rsidP="000B1A35"/>
    <w:p w14:paraId="18C1FFA7" w14:textId="77777777" w:rsidR="000B1A35" w:rsidRPr="00F973AB" w:rsidRDefault="000B1A35" w:rsidP="000B1A35"/>
    <w:p w14:paraId="65796216" w14:textId="77777777" w:rsidR="000B1A35" w:rsidRPr="00F973AB" w:rsidRDefault="000B1A35" w:rsidP="000B1A35"/>
    <w:p w14:paraId="7CB4DD93" w14:textId="77777777" w:rsidR="000B1A35" w:rsidRPr="00F973AB" w:rsidRDefault="000B1A35" w:rsidP="000B1A35"/>
    <w:p w14:paraId="41A54CB5" w14:textId="77777777" w:rsidR="000B1A35" w:rsidRPr="00F973AB" w:rsidRDefault="000B1A35" w:rsidP="000B1A35"/>
    <w:p w14:paraId="7D7CA2C7" w14:textId="77777777" w:rsidR="000B1A35" w:rsidRPr="00F973AB" w:rsidRDefault="000B1A35" w:rsidP="000B1A35"/>
    <w:p w14:paraId="317DA321" w14:textId="77777777" w:rsidR="000B1A35" w:rsidRPr="00F973AB" w:rsidRDefault="000B1A35" w:rsidP="000B1A35"/>
    <w:p w14:paraId="3BE80620" w14:textId="77777777" w:rsidR="000B1A35" w:rsidRPr="00F973AB" w:rsidRDefault="000B1A35" w:rsidP="000B1A35"/>
    <w:p w14:paraId="4F3FCAFF" w14:textId="77777777" w:rsidR="000B1A35" w:rsidRPr="00F973AB" w:rsidRDefault="000B1A35" w:rsidP="000B1A35"/>
    <w:p w14:paraId="5D5B7C84" w14:textId="77777777" w:rsidR="000B1A35" w:rsidRPr="00F973AB" w:rsidRDefault="000B1A35" w:rsidP="000B1A35"/>
    <w:p w14:paraId="19C4B2AA" w14:textId="77777777" w:rsidR="000B1A35" w:rsidRPr="00F973AB" w:rsidRDefault="000B1A35" w:rsidP="000B1A35"/>
    <w:p w14:paraId="2A06EE03" w14:textId="77777777" w:rsidR="000B1A35" w:rsidRPr="00F973AB" w:rsidRDefault="000B1A35" w:rsidP="000B1A35"/>
    <w:p w14:paraId="66E5C327" w14:textId="77777777" w:rsidR="000B1A35" w:rsidRPr="00F973AB" w:rsidRDefault="000B1A35" w:rsidP="000B1A35"/>
    <w:p w14:paraId="177C95BF" w14:textId="77777777" w:rsidR="000B1A35" w:rsidRPr="00F973AB" w:rsidRDefault="000B1A35" w:rsidP="000B1A35"/>
    <w:p w14:paraId="21898D6A" w14:textId="77777777" w:rsidR="000B1A35" w:rsidRPr="00F973AB" w:rsidRDefault="000B1A35" w:rsidP="000B1A35"/>
    <w:p w14:paraId="3502EADC" w14:textId="77777777" w:rsidR="000B1A35" w:rsidRPr="00F973AB" w:rsidRDefault="000B1A35" w:rsidP="000B1A35"/>
    <w:p w14:paraId="4BF8BB1C" w14:textId="77777777" w:rsidR="000B1A35" w:rsidRPr="00F973AB" w:rsidRDefault="000B1A35" w:rsidP="000B1A35"/>
    <w:p w14:paraId="202EFC10" w14:textId="77777777" w:rsidR="000B1A35" w:rsidRPr="00F973AB" w:rsidRDefault="000B1A35" w:rsidP="000B1A35"/>
    <w:p w14:paraId="4588B1F3" w14:textId="77777777" w:rsidR="000B1A35" w:rsidRPr="00F973AB" w:rsidRDefault="000B1A35" w:rsidP="000B1A35"/>
    <w:p w14:paraId="281FA3B3" w14:textId="77777777" w:rsidR="000B1A35" w:rsidRPr="00F973AB" w:rsidRDefault="000B1A35" w:rsidP="000B1A35"/>
    <w:p w14:paraId="60D7DD7F" w14:textId="77777777" w:rsidR="000B1A35" w:rsidRPr="00F973AB" w:rsidRDefault="000B1A35" w:rsidP="000B1A35"/>
    <w:p w14:paraId="54593850" w14:textId="77777777" w:rsidR="000B1A35" w:rsidRPr="00F973AB" w:rsidRDefault="000B1A35" w:rsidP="000B1A35"/>
    <w:p w14:paraId="7DD23378" w14:textId="77777777" w:rsidR="000B1A35" w:rsidRPr="00F973AB" w:rsidRDefault="000B1A35" w:rsidP="000B1A35"/>
    <w:p w14:paraId="040D7DB4" w14:textId="77777777" w:rsidR="000B1A35" w:rsidRPr="00F973AB" w:rsidRDefault="000B1A35" w:rsidP="000B1A35"/>
    <w:p w14:paraId="149C26A7" w14:textId="77777777" w:rsidR="00E16661" w:rsidRPr="00F973AB" w:rsidRDefault="00E16661"/>
    <w:p w14:paraId="45839A5A" w14:textId="77777777" w:rsidR="00E16661" w:rsidRPr="00F973AB" w:rsidRDefault="00E16661"/>
    <w:p w14:paraId="64C545AF" w14:textId="77777777" w:rsidR="00E16661" w:rsidRPr="00F973AB" w:rsidRDefault="00E16661"/>
    <w:p w14:paraId="7F0F465A" w14:textId="77777777" w:rsidR="00E16661" w:rsidRPr="00F973AB" w:rsidRDefault="00E16661"/>
    <w:p w14:paraId="080AED99" w14:textId="77777777" w:rsidR="00E16661" w:rsidRPr="00F973AB" w:rsidRDefault="00000000" w:rsidP="005A1B9E">
      <w:pPr>
        <w:pStyle w:val="COMMUNITY"/>
        <w:rPr>
          <w:rStyle w:val="Hyperlink"/>
          <w:color w:val="104D54"/>
          <w:u w:val="none"/>
        </w:rPr>
      </w:pPr>
      <w:hyperlink r:id="rId11" w:history="1">
        <w:r>
          <w:rPr>
            <w:rStyle w:val="Hyperlink"/>
            <w:rStyle w:val="Hyperlink"/>
            <w:color w:val="104D54"/>
            <w:u w:val="none"/>
          </w:rPr>
          <w:t xml:space="preserve">Comunità in materia di</w:t>
        </w:r>
        <w:r>
          <w:rPr>
            <w:rStyle w:val="Hyperlink"/>
          </w:rPr>
          <w:t xml:space="preserve"> </w:t>
        </w:r>
        <w:r>
          <w:rPr>
            <w:rStyle w:val="Hyperlink"/>
          </w:rPr>
          <w:br/>
        </w:r>
      </w:hyperlink>
      <w:hyperlink r:id="rId11" w:history="1">
        <w:r>
          <w:rPr>
            <w:rStyle w:val="Hyperlink"/>
            <w:rStyle w:val="Hyperlink"/>
            <w:color w:val="104D54"/>
            <w:u w:val="none"/>
          </w:rPr>
          <w:t xml:space="preserve">acquisto di IA</w:t>
        </w:r>
      </w:hyperlink>
    </w:p>
    <w:p w14:paraId="2649C6A6" w14:textId="77777777" w:rsidR="00E16661" w:rsidRPr="00F973AB" w:rsidRDefault="00E16661">
      <w:pPr>
        <w:rPr>
          <w:rStyle w:val="Hyperlink"/>
          <w:rFonts w:ascii="Arial" w:hAnsi="Arial" w:cs="Arial"/>
          <w:b/>
          <w:bCs/>
          <w:sz w:val="44"/>
          <w:szCs w:val="44"/>
        </w:rPr>
      </w:pPr>
    </w:p>
    <w:p w14:paraId="77568D64" w14:textId="77777777" w:rsidR="00E16661" w:rsidRPr="00F973AB" w:rsidRDefault="00E16661">
      <w:pPr>
        <w:rPr>
          <w:rStyle w:val="Hyperlink"/>
          <w:rFonts w:ascii="Arial" w:hAnsi="Arial" w:cs="Arial"/>
          <w:b/>
          <w:bCs/>
          <w:sz w:val="44"/>
          <w:szCs w:val="44"/>
        </w:rPr>
      </w:pPr>
    </w:p>
    <w:p w14:paraId="4E7B3348" w14:textId="77777777" w:rsidR="00E16661" w:rsidRPr="00F973AB" w:rsidRDefault="00E16661">
      <w:pPr>
        <w:rPr>
          <w:rStyle w:val="Hyperlink"/>
          <w:rFonts w:ascii="Arial" w:hAnsi="Arial" w:cs="Arial"/>
          <w:b/>
          <w:bCs/>
          <w:sz w:val="44"/>
          <w:szCs w:val="44"/>
        </w:rPr>
      </w:pPr>
    </w:p>
    <w:p w14:paraId="676B3808" w14:textId="6C8CC332" w:rsidR="00E16661" w:rsidRPr="00F973AB" w:rsidRDefault="00FF13F0" w:rsidP="00E16661">
      <w:pPr>
        <w:pStyle w:val="TITLEStyle"/>
      </w:pPr>
      <w:bookmarkStart w:id="0" w:name="_Hlk189829106"/>
      <w:bookmarkStart w:id="1" w:name="_Hlk189934741"/>
      <w:r>
        <w:t xml:space="preserve">Clausole contrattuali tipo per gli appalti pubblici di IA ad alto rischio </w:t>
      </w:r>
      <w:bookmarkEnd w:id="0"/>
      <w:r>
        <w:t xml:space="preserve">("CCT-IA-Alto-Rischio")</w:t>
      </w:r>
    </w:p>
    <w:bookmarkEnd w:id="1"/>
    <w:p w14:paraId="175173CF" w14:textId="77777777" w:rsidR="000B1A35" w:rsidRPr="00F973AB" w:rsidRDefault="00E16661">
      <w:r>
        <mc:AlternateContent>
          <mc:Choice Requires="wps">
            <w:drawing>
              <wp:anchor distT="0" distB="0" distL="114300" distR="114300" simplePos="0" relativeHeight="251668480" behindDoc="0" locked="1" layoutInCell="1" allowOverlap="1" wp14:anchorId="212FE0A9" wp14:editId="44CA7841">
                <wp:simplePos x="0" y="0"/>
                <wp:positionH relativeFrom="margin">
                  <wp:posOffset>-59055</wp:posOffset>
                </wp:positionH>
                <wp:positionV relativeFrom="page">
                  <wp:posOffset>9125585</wp:posOffset>
                </wp:positionV>
                <wp:extent cx="6477000" cy="38100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381000"/>
                        </a:xfrm>
                        <a:prstGeom prst="rect">
                          <a:avLst/>
                        </a:prstGeom>
                        <a:noFill/>
                        <a:ln w="6350">
                          <a:noFill/>
                        </a:ln>
                      </wps:spPr>
                      <wps:txbx>
                        <w:txbxContent>
                          <w:p w14:paraId="77DDF1B8" w14:textId="40D653B6" w:rsidR="003216B4" w:rsidRPr="00C758CB" w:rsidRDefault="003216B4" w:rsidP="00E16661">
                            <w:pPr>
                              <w:spacing w:line="360" w:lineRule="auto"/>
                              <w:rPr>
                                <w:color w:val="104D55"/>
                                <w:sz w:val="36"/>
                                <w:szCs w:val="36"/>
                                <w:rFonts w:ascii="Arial" w:hAnsi="Arial" w:cs="Arial"/>
                              </w:rPr>
                            </w:pPr>
                            <w:r>
                              <w:rPr>
                                <w:color w:val="104D55"/>
                                <w:sz w:val="36"/>
                                <w:rFonts w:ascii="Arial" w:hAnsi="Arial"/>
                              </w:rPr>
                              <w:t xml:space="preserve">Versione febbraio 2025 — Acquisto di IA ad alto rischio</w:t>
                            </w:r>
                            <w:r>
                              <w:rPr>
                                <w:color w:val="104D55"/>
                                <w:sz w:val="36"/>
                                <w:rFonts w:ascii="Arial" w:hAnsi="Arial"/>
                              </w:rPr>
                              <w:t xml:space="preserve"> </w:t>
                            </w:r>
                          </w:p>
                          <w:p w14:paraId="188F1615" w14:textId="77777777" w:rsidR="003216B4" w:rsidRPr="00CF3CDB" w:rsidRDefault="003216B4" w:rsidP="00E16661">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2FE0A9" id="_x0000_t202" coordsize="21600,21600" o:spt="202" path="m,l,21600r21600,l21600,xe">
                <v:stroke joinstyle="miter"/>
                <v:path gradientshapeok="t" o:connecttype="rect"/>
              </v:shapetype>
              <v:shape id="Text Box 1144621298" o:spid="_x0000_s1026" type="#_x0000_t202" style="position:absolute;margin-left:-4.65pt;margin-top:718.55pt;width:510pt;height:30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" filled="f" stroked="f" strokeweight=".5pt">
                <v:textbox>
                  <w:txbxContent>
                    <w:p w14:paraId="77DDF1B8" w14:textId="40D653B6" w:rsidR="003216B4" w:rsidRPr="00C758CB" w:rsidRDefault="003216B4" w:rsidP="00E16661">
                      <w:pPr>
                        <w:spacing w:line="360" w:lineRule="auto"/>
                        <w:rPr>
                          <w:color w:val="104D55"/>
                          <w:sz w:val="36"/>
                          <w:szCs w:val="36"/>
                          <w:rFonts w:ascii="Arial" w:hAnsi="Arial" w:cs="Arial"/>
                        </w:rPr>
                      </w:pPr>
                      <w:r>
                        <w:rPr>
                          <w:color w:val="104D55"/>
                          <w:sz w:val="36"/>
                          <w:rFonts w:ascii="Arial" w:hAnsi="Arial"/>
                        </w:rPr>
                        <w:t xml:space="preserve">Versione febbraio 2025 — Acquisto di IA ad alto rischio</w:t>
                      </w:r>
                      <w:r>
                        <w:rPr>
                          <w:color w:val="104D55"/>
                          <w:sz w:val="36"/>
                          <w:rFonts w:ascii="Arial" w:hAnsi="Arial"/>
                        </w:rPr>
                        <w:t xml:space="preserve"> </w:t>
                      </w:r>
                    </w:p>
                    <w:p w14:paraId="188F1615" w14:textId="77777777" w:rsidR="003216B4" w:rsidRPr="00CF3CDB" w:rsidRDefault="003216B4" w:rsidP="00E16661">
                      <w:pPr>
                        <w:rPr>
                          <w:rFonts w:ascii="Arial" w:hAnsi="Arial" w:cs="Arial"/>
                          <w:b/>
                          <w:bCs/>
                          <w:color w:val="104D54"/>
                          <w:sz w:val="44"/>
                          <w:szCs w:val="44"/>
                        </w:rPr>
                      </w:pPr>
                    </w:p>
                  </w:txbxContent>
                </v:textbox>
                <w10:wrap anchorx="margin" anchory="page"/>
                <w10:anchorlock/>
              </v:shape>
            </w:pict>
          </mc:Fallback>
        </mc:AlternateContent>
      </w:r>
      <w:r>
        <w:br w:type="page"/>
      </w:r>
    </w:p>
    <w:p w14:paraId="2AD48B11" w14:textId="77777777" w:rsidR="00172B4F" w:rsidRPr="00F973AB" w:rsidRDefault="00172B4F" w:rsidP="000F6F09">
      <w:pPr>
        <w:rPr>
          <w:b/>
        </w:rPr>
      </w:pPr>
      <w:r>
        <w:rPr>
          <w:color w:val="FFFFFF" w:themeColor="background1"/>
          <w:sz w:val="22"/>
          <w:rFonts w:ascii="Arial" w:hAnsi="Arial"/>
        </w:rPr>
        <mc:AlternateContent>
          <mc:Choice Requires="wps">
            <w:drawing>
              <wp:anchor distT="45720" distB="45720" distL="114300" distR="114300" simplePos="0" relativeHeight="251666432" behindDoc="0" locked="0" layoutInCell="1" allowOverlap="1" wp14:anchorId="26742CAF" wp14:editId="34CFB32F">
                <wp:simplePos x="0" y="0"/>
                <wp:positionH relativeFrom="margin">
                  <wp:posOffset>-165100</wp:posOffset>
                </wp:positionH>
                <wp:positionV relativeFrom="paragraph">
                  <wp:posOffset>3338830</wp:posOffset>
                </wp:positionV>
                <wp:extent cx="6057900" cy="3035300"/>
                <wp:effectExtent l="0" t="0" r="19050" b="12700"/>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035300"/>
                        </a:xfrm>
                        <a:prstGeom prst="rect">
                          <a:avLst/>
                        </a:prstGeom>
                        <a:noFill/>
                        <a:ln w="9525">
                          <a:solidFill>
                            <a:schemeClr val="bg2">
                              <a:lumMod val="50000"/>
                            </a:schemeClr>
                          </a:solidFill>
                          <a:miter lim="800000"/>
                          <a:headEnd/>
                          <a:tailEnd/>
                        </a:ln>
                      </wps:spPr>
                      <wps:txbx>
                        <w:txbxContent>
                          <w:p w14:paraId="23424E95" w14:textId="77777777" w:rsidR="003216B4" w:rsidRPr="00172B4F" w:rsidRDefault="003216B4" w:rsidP="00172B4F">
                            <w:pPr>
                              <w:spacing w:line="360" w:lineRule="auto"/>
                              <w:rPr>
                                <w:b/>
                                <w:bCs/>
                                <w:color w:val="3B3838" w:themeColor="background2" w:themeShade="40"/>
                                <w:sz w:val="22"/>
                                <w:szCs w:val="22"/>
                                <w:rFonts w:ascii="Arial" w:hAnsi="Arial" w:cs="Arial"/>
                              </w:rPr>
                            </w:pPr>
                            <w:r>
                              <w:rPr>
                                <w:b/>
                                <w:color w:val="3B3838" w:themeColor="background2" w:themeShade="40"/>
                                <w:sz w:val="22"/>
                                <w:rFonts w:ascii="Arial" w:hAnsi="Arial"/>
                              </w:rPr>
                              <w:t xml:space="preserve">CLAUSOLA DI ESCLUSIONE DI RESPONSABILITÀ</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b/>
                                <w:bCs/>
                                <w:color w:val="3B3838" w:themeColor="background2" w:themeShade="40"/>
                                <w:sz w:val="20"/>
                                <w:szCs w:val="20"/>
                                <w:rFonts w:ascii="Arial" w:hAnsi="Arial" w:cs="Arial"/>
                              </w:rPr>
                            </w:pPr>
                            <w:bookmarkStart w:id="2" w:name="_Hlk189935014"/>
                            <w:r>
                              <w:rPr>
                                <w:b/>
                                <w:color w:val="3B3838" w:themeColor="background2" w:themeShade="40"/>
                                <w:sz w:val="20"/>
                                <w:rFonts w:ascii="Arial" w:hAnsi="Arial"/>
                              </w:rPr>
                              <w:t xml:space="preserve">Il presente documento di lavoro è stato redatto dalla Commissione europea a sostegno della comunità di pratiche in materia di acquisto di IA, al fine di orientare le pubbliche amministrazioni nell'acquisto di soluzioni di IA.</w:t>
                            </w:r>
                            <w:r>
                              <w:rPr>
                                <w:b/>
                                <w:color w:val="3B3838" w:themeColor="background2" w:themeShade="40"/>
                                <w:sz w:val="20"/>
                                <w:rFonts w:ascii="Arial" w:hAnsi="Arial"/>
                              </w:rPr>
                              <w:t xml:space="preserve"> </w:t>
                            </w:r>
                            <w:r>
                              <w:rPr>
                                <w:b/>
                                <w:color w:val="3B3838" w:themeColor="background2" w:themeShade="40"/>
                                <w:sz w:val="20"/>
                                <w:rFonts w:ascii="Arial" w:hAnsi="Arial"/>
                              </w:rPr>
                              <w:t xml:space="preserve">Il documento è in corso di elaborazione e non esprime una posizione ufficiale della Commissione europea.</w:t>
                            </w:r>
                            <w:r>
                              <w:rPr>
                                <w:b/>
                                <w:color w:val="3B3838" w:themeColor="background2" w:themeShade="40"/>
                                <w:sz w:val="20"/>
                                <w:rFonts w:ascii="Arial" w:hAnsi="Arial"/>
                              </w:rPr>
                              <w:t xml:space="preserve">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Gli attori che decidono di avvalersi del presente documento di lavoro si assumono la piena responsabilità del suo utilizzo negli appalti pubblici.</w:t>
                            </w:r>
                            <w:r>
                              <w:rPr>
                                <w:b/>
                                <w:color w:val="3B3838" w:themeColor="background2" w:themeShade="40"/>
                                <w:sz w:val="20"/>
                                <w:rFonts w:ascii="Arial" w:hAnsi="Arial"/>
                              </w:rPr>
                              <w:t xml:space="preserve">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Le presenti clausole tipo per l'IA ad alto rischio lasciano impregiudicati i requisiti derivanti dalla legge sull'IA.</w:t>
                            </w:r>
                            <w:r>
                              <w:rPr>
                                <w:b/>
                                <w:color w:val="3B3838" w:themeColor="background2" w:themeShade="40"/>
                                <w:sz w:val="20"/>
                                <w:rFonts w:ascii="Arial" w:hAnsi="Arial"/>
                              </w:rPr>
                              <w:t xml:space="preserve">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2"/>
                          <w:p w14:paraId="79AE5C4B" w14:textId="77777777" w:rsidR="003216B4" w:rsidRPr="00172B4F" w:rsidRDefault="003216B4" w:rsidP="00172B4F">
                            <w:pPr>
                              <w:rPr>
                                <w:color w:val="3B3838" w:themeColor="background2" w:themeShade="40"/>
                                <w:sz w:val="20"/>
                                <w:szCs w:val="20"/>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6742CAF" id="Text Box 2" o:spid="_x0000_s1027" type="#_x0000_t202" style="position:absolute;margin-left:-13pt;margin-top:262.9pt;width:477pt;height:23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" filled="f" strokecolor="#747070 [1614]">
                <v:textbox>
                  <w:txbxContent>
                    <w:p w14:paraId="23424E95" w14:textId="77777777" w:rsidR="003216B4" w:rsidRPr="00172B4F" w:rsidRDefault="003216B4" w:rsidP="00172B4F">
                      <w:pPr>
                        <w:spacing w:line="360" w:lineRule="auto"/>
                        <w:rPr>
                          <w:b/>
                          <w:bCs/>
                          <w:color w:val="3B3838" w:themeColor="background2" w:themeShade="40"/>
                          <w:sz w:val="22"/>
                          <w:szCs w:val="22"/>
                          <w:rFonts w:ascii="Arial" w:hAnsi="Arial" w:cs="Arial"/>
                        </w:rPr>
                      </w:pPr>
                      <w:r>
                        <w:rPr>
                          <w:b/>
                          <w:color w:val="3B3838" w:themeColor="background2" w:themeShade="40"/>
                          <w:sz w:val="22"/>
                          <w:rFonts w:ascii="Arial" w:hAnsi="Arial"/>
                        </w:rPr>
                        <w:t xml:space="preserve">CLAUSOLA DI ESCLUSIONE DI RESPONSABILITÀ</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b/>
                          <w:bCs/>
                          <w:color w:val="3B3838" w:themeColor="background2" w:themeShade="40"/>
                          <w:sz w:val="20"/>
                          <w:szCs w:val="20"/>
                          <w:rFonts w:ascii="Arial" w:hAnsi="Arial" w:cs="Arial"/>
                        </w:rPr>
                      </w:pPr>
                      <w:bookmarkStart w:id="3" w:name="_Hlk189935014"/>
                      <w:r>
                        <w:rPr>
                          <w:b/>
                          <w:color w:val="3B3838" w:themeColor="background2" w:themeShade="40"/>
                          <w:sz w:val="20"/>
                          <w:rFonts w:ascii="Arial" w:hAnsi="Arial"/>
                        </w:rPr>
                        <w:t xml:space="preserve">Il presente documento di lavoro è stato redatto dalla Commissione europea a sostegno della comunità di pratiche in materia di acquisto di IA, al fine di orientare le pubbliche amministrazioni nell'acquisto di soluzioni di IA.</w:t>
                      </w:r>
                      <w:r>
                        <w:rPr>
                          <w:b/>
                          <w:color w:val="3B3838" w:themeColor="background2" w:themeShade="40"/>
                          <w:sz w:val="20"/>
                          <w:rFonts w:ascii="Arial" w:hAnsi="Arial"/>
                        </w:rPr>
                        <w:t xml:space="preserve"> </w:t>
                      </w:r>
                      <w:r>
                        <w:rPr>
                          <w:b/>
                          <w:color w:val="3B3838" w:themeColor="background2" w:themeShade="40"/>
                          <w:sz w:val="20"/>
                          <w:rFonts w:ascii="Arial" w:hAnsi="Arial"/>
                        </w:rPr>
                        <w:t xml:space="preserve">Il documento è in corso di elaborazione e non esprime una posizione ufficiale della Commissione europea.</w:t>
                      </w:r>
                      <w:r>
                        <w:rPr>
                          <w:b/>
                          <w:color w:val="3B3838" w:themeColor="background2" w:themeShade="40"/>
                          <w:sz w:val="20"/>
                          <w:rFonts w:ascii="Arial" w:hAnsi="Arial"/>
                        </w:rPr>
                        <w:t xml:space="preserve">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Gli attori che decidono di avvalersi del presente documento di lavoro si assumono la piena responsabilità del suo utilizzo negli appalti pubblici.</w:t>
                      </w:r>
                      <w:r>
                        <w:rPr>
                          <w:b/>
                          <w:color w:val="3B3838" w:themeColor="background2" w:themeShade="40"/>
                          <w:sz w:val="20"/>
                          <w:rFonts w:ascii="Arial" w:hAnsi="Arial"/>
                        </w:rPr>
                        <w:t xml:space="preserve">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Le presenti clausole tipo per l'IA ad alto rischio lasciano impregiudicati i requisiti derivanti dalla legge sull'IA.</w:t>
                      </w:r>
                      <w:r>
                        <w:rPr>
                          <w:b/>
                          <w:color w:val="3B3838" w:themeColor="background2" w:themeShade="40"/>
                          <w:sz w:val="20"/>
                          <w:rFonts w:ascii="Arial" w:hAnsi="Arial"/>
                        </w:rPr>
                        <w:t xml:space="preserve">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3"/>
                    <w:p w14:paraId="79AE5C4B" w14:textId="77777777" w:rsidR="003216B4" w:rsidRPr="00172B4F" w:rsidRDefault="003216B4" w:rsidP="00172B4F">
                      <w:pPr>
                        <w:rPr>
                          <w:color w:val="3B3838" w:themeColor="background2" w:themeShade="40"/>
                          <w:sz w:val="20"/>
                          <w:szCs w:val="20"/>
                        </w:rPr>
                      </w:pPr>
                    </w:p>
                  </w:txbxContent>
                </v:textbox>
                <w10:wrap type="square" anchorx="margin"/>
              </v:shape>
            </w:pict>
          </mc:Fallback>
        </mc:AlternateContent>
      </w:r>
      <w:r>
        <w:br w:type="page"/>
      </w:r>
    </w:p>
    <w:p w14:paraId="75D16415" w14:textId="0A75DA7D" w:rsidR="00260A93" w:rsidRPr="00F973AB" w:rsidRDefault="00260A93" w:rsidP="00260A93">
      <w:pPr>
        <w:rPr>
          <w:sz w:val="22"/>
          <w:szCs w:val="22"/>
          <w:rFonts w:ascii="Arial" w:hAnsi="Arial" w:cs="Arial"/>
        </w:rPr>
      </w:pPr>
      <w:r>
        <w:rPr>
          <w:sz w:val="22"/>
          <w:rFonts w:ascii="Arial" w:hAnsi="Arial"/>
        </w:rPr>
        <w:t xml:space="preserve"> </w:t>
      </w:r>
    </w:p>
    <w:p w14:paraId="7CF980CC" w14:textId="77777777" w:rsidR="00260A93" w:rsidRPr="00F973AB" w:rsidRDefault="00260A93" w:rsidP="00260A93">
      <w:pPr>
        <w:rPr>
          <w:rFonts w:ascii="Arial" w:hAnsi="Arial" w:cs="Arial"/>
          <w:sz w:val="22"/>
          <w:szCs w:val="22"/>
        </w:rPr>
      </w:pPr>
    </w:p>
    <w:p w14:paraId="11551097" w14:textId="1F2DE0C7" w:rsidR="00260A93" w:rsidRPr="00F973AB" w:rsidRDefault="00260A93">
      <w:pPr>
        <w:rPr>
          <w:b/>
        </w:rPr>
      </w:pPr>
    </w:p>
    <w:p w14:paraId="076A3DF6" w14:textId="77777777" w:rsidR="000F6F09" w:rsidRPr="00F973AB" w:rsidRDefault="000F6F09" w:rsidP="000F6F09">
      <w:pPr>
        <w:rPr>
          <w:b/>
        </w:rPr>
      </w:pPr>
    </w:p>
    <w:p w14:paraId="11D7B653" w14:textId="77777777" w:rsidR="000F6F09" w:rsidRPr="00F973AB" w:rsidRDefault="000F6F09" w:rsidP="00A74620">
      <w:pPr>
        <w:spacing w:after="360"/>
        <w:rPr>
          <w:b/>
          <w:bCs/>
          <w:sz w:val="26"/>
          <w:szCs w:val="26"/>
          <w:rFonts w:ascii="Arial" w:hAnsi="Arial" w:cs="Arial"/>
        </w:rPr>
      </w:pPr>
      <w:r>
        <w:rPr>
          <w:b/>
          <w:sz w:val="26"/>
          <w:rFonts w:ascii="Arial" w:hAnsi="Arial"/>
        </w:rPr>
        <w:t xml:space="preserve">Sezione A – Definizioni</w:t>
      </w:r>
    </w:p>
    <w:p w14:paraId="6A99E349" w14:textId="2D951991" w:rsidR="000F6F09" w:rsidRPr="00F973AB" w:rsidRDefault="000F6F09" w:rsidP="006F3E34">
      <w:pPr>
        <w:pStyle w:val="doLijstnummering7"/>
        <w:rPr>
          <w:color w:val="3B3838" w:themeColor="background2" w:themeShade="40"/>
          <w:sz w:val="22"/>
          <w:szCs w:val="22"/>
          <w:rFonts w:ascii="Arial" w:eastAsia="Calibri" w:hAnsi="Arial" w:cs="Arial"/>
        </w:rPr>
      </w:pPr>
      <w:r>
        <w:rPr>
          <w:color w:val="3B3838" w:themeColor="background2" w:themeShade="40"/>
          <w:sz w:val="22"/>
          <w:rFonts w:ascii="Arial" w:hAnsi="Arial"/>
        </w:rPr>
        <w:t xml:space="preserve">Definizioni</w:t>
      </w:r>
      <w:r>
        <w:rPr>
          <w:color w:val="3B3838" w:themeColor="background2" w:themeShade="40"/>
          <w:sz w:val="22"/>
          <w:rFonts w:ascii="Arial" w:hAnsi="Arial"/>
        </w:rPr>
        <w:t xml:space="preserve"> </w:t>
      </w:r>
      <w:r>
        <w:rPr>
          <w:color w:val="3B3838" w:themeColor="background2" w:themeShade="40"/>
          <w:sz w:val="22"/>
          <w:rFonts w:ascii="Arial" w:hAnsi="Arial"/>
        </w:rPr>
        <w:t xml:space="preserve">I termini utilizzati nelle presenti CCT-IA-Alto-Rischio hanno il significato indicato nel presente articolo.</w:t>
      </w:r>
    </w:p>
    <w:p w14:paraId="2CB165B3" w14:textId="77777777" w:rsidR="000F6F09" w:rsidRPr="00F973AB" w:rsidRDefault="000F6F09" w:rsidP="000F6F09">
      <w:pPr>
        <w:pStyle w:val="doLijstnummering7"/>
        <w:numPr>
          <w:ilvl w:val="0"/>
          <w:numId w:val="0"/>
        </w:numPr>
        <w:ind w:left="851" w:hanging="851"/>
        <w:rPr>
          <w:rFonts w:ascii="Arial" w:eastAsia="Calibri" w:hAnsi="Arial" w:cs="Arial"/>
          <w:color w:val="3B3838" w:themeColor="background2" w:themeShade="40"/>
          <w:sz w:val="22"/>
          <w:szCs w:val="22"/>
          <w:lang w:eastAsia="en-US"/>
        </w:rPr>
      </w:pPr>
    </w:p>
    <w:p w14:paraId="2C97595F" w14:textId="7752FF49" w:rsidR="000F6F09" w:rsidRPr="00F973AB" w:rsidRDefault="000F6F09" w:rsidP="00DE20B9">
      <w:pPr>
        <w:pStyle w:val="doBullets1"/>
        <w:numPr>
          <w:ilvl w:val="0"/>
          <w:numId w:val="0"/>
        </w:numPr>
        <w:ind w:left="851" w:hanging="851"/>
        <w:rPr>
          <w:sz w:val="22"/>
          <w:szCs w:val="22"/>
          <w:rFonts w:ascii="Arial" w:hAnsi="Arial" w:cs="Arial"/>
        </w:rPr>
      </w:pPr>
      <w:r>
        <w:rPr>
          <w:sz w:val="22"/>
          <w:color w:val="3B3838" w:themeColor="background2" w:themeShade="40"/>
          <w:u w:val="single"/>
          <w:rFonts w:ascii="Arial" w:hAnsi="Arial"/>
        </w:rPr>
        <w:t xml:space="preserve">Accordo</w:t>
      </w:r>
      <w:r>
        <w:rPr>
          <w:sz w:val="22"/>
          <w:color w:val="3B3838" w:themeColor="background2" w:themeShade="40"/>
          <w:rFonts w:ascii="Arial" w:hAnsi="Arial"/>
        </w:rPr>
        <w:t xml:space="preserve">:</w:t>
      </w:r>
      <w:r>
        <w:rPr>
          <w:sz w:val="22"/>
          <w:color w:val="3B3838" w:themeColor="background2" w:themeShade="40"/>
          <w:rFonts w:ascii="Arial" w:hAnsi="Arial"/>
        </w:rPr>
        <w:t xml:space="preserve"> </w:t>
      </w:r>
      <w:r>
        <w:rPr>
          <w:sz w:val="22"/>
          <w:color w:val="3B3838" w:themeColor="background2" w:themeShade="40"/>
          <w:rFonts w:ascii="Arial" w:hAnsi="Arial"/>
        </w:rPr>
        <w:t xml:space="preserve">l'intero accordo</w:t>
      </w:r>
      <w:r>
        <w:rPr>
          <w:sz w:val="22"/>
          <w:rFonts w:ascii="Arial" w:hAnsi="Arial"/>
        </w:rPr>
        <w:t xml:space="preserve"> di cui le CCT-IA-Alto-Rischio, sotto forma di allegato, costituiscono parte integrante.</w:t>
      </w:r>
    </w:p>
    <w:p w14:paraId="5CC80148" w14:textId="77777777" w:rsidR="00DE20B9" w:rsidRPr="00F973AB" w:rsidRDefault="00DE20B9" w:rsidP="00564A63">
      <w:pPr>
        <w:pStyle w:val="doBullets1"/>
        <w:numPr>
          <w:ilvl w:val="0"/>
          <w:numId w:val="0"/>
        </w:numPr>
        <w:ind w:left="851" w:hanging="851"/>
        <w:rPr>
          <w:rFonts w:ascii="Arial" w:hAnsi="Arial" w:cs="Arial"/>
          <w:sz w:val="22"/>
          <w:szCs w:val="22"/>
        </w:rPr>
      </w:pPr>
    </w:p>
    <w:p w14:paraId="454C6714" w14:textId="2FE1BC34"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Sistema di IA</w:t>
      </w:r>
      <w:r>
        <w:rPr>
          <w:sz w:val="22"/>
          <w:rFonts w:ascii="Arial" w:hAnsi="Arial"/>
        </w:rPr>
        <w:t xml:space="preserve">:</w:t>
      </w:r>
      <w:r>
        <w:rPr>
          <w:sz w:val="22"/>
          <w:rFonts w:ascii="Arial" w:hAnsi="Arial"/>
        </w:rPr>
        <w:t xml:space="preserve"> </w:t>
      </w:r>
      <w:r>
        <w:rPr>
          <w:sz w:val="22"/>
          <w:rFonts w:ascii="Arial" w:hAnsi="Arial"/>
        </w:rPr>
        <w:t xml:space="preserve">il/i sistema/i automatizzato/i progettato/i per funzionare con livelli di autonomia variabili e che può/possono presentare adattabilità dopo la diffusione e che, per obiettivi espliciti o impliciti, deduce/deducono dall'input ricevuto come generare output quali previsioni, contenuti, raccomandazioni o decisioni che possono influenzare ambienti fisici o virtuali, ulteriormente specificato/i e descritto/i nell'</w:t>
      </w:r>
      <w:r>
        <w:rPr>
          <w:sz w:val="22"/>
          <w:b/>
          <w:rFonts w:ascii="Arial" w:hAnsi="Arial"/>
        </w:rPr>
        <w:t xml:space="preserve">allegato A</w:t>
      </w:r>
      <w:r>
        <w:rPr>
          <w:sz w:val="22"/>
          <w:rFonts w:ascii="Arial" w:hAnsi="Arial"/>
        </w:rPr>
        <w:t xml:space="preserve">, comprese eventuali nuove versioni</w:t>
      </w:r>
      <w:r>
        <w:rPr>
          <w:rStyle w:val="FootnoteReference"/>
          <w:rFonts w:ascii="Arial" w:hAnsi="Arial" w:cs="Arial"/>
          <w:sz w:val="22"/>
          <w:szCs w:val="22"/>
        </w:rPr>
        <w:footnoteReference w:id="1"/>
      </w:r>
      <w:r>
        <w:rPr>
          <w:sz w:val="22"/>
          <w:rFonts w:ascii="Arial" w:hAnsi="Arial"/>
        </w:rPr>
        <w:t xml:space="preserve">;</w:t>
      </w:r>
      <w:r>
        <w:rPr>
          <w:sz w:val="22"/>
          <w:rFonts w:ascii="Arial" w:hAnsi="Arial"/>
        </w:rPr>
        <w:t xml:space="preserve"> </w:t>
      </w:r>
    </w:p>
    <w:p w14:paraId="75C084B9" w14:textId="77777777" w:rsidR="00DE20B9" w:rsidRPr="00F973AB" w:rsidRDefault="00DE20B9" w:rsidP="00564A63">
      <w:pPr>
        <w:pStyle w:val="doBullets1"/>
        <w:numPr>
          <w:ilvl w:val="0"/>
          <w:numId w:val="0"/>
        </w:numPr>
        <w:ind w:left="851" w:hanging="851"/>
        <w:rPr>
          <w:rFonts w:ascii="Arial" w:hAnsi="Arial" w:cs="Arial"/>
          <w:sz w:val="22"/>
          <w:szCs w:val="22"/>
        </w:rPr>
      </w:pPr>
    </w:p>
    <w:p w14:paraId="1F1B54BE" w14:textId="7BBAE7D3" w:rsidR="000F6F09" w:rsidRPr="00F973AB" w:rsidRDefault="00A81582" w:rsidP="00DE20B9">
      <w:pPr>
        <w:pStyle w:val="doBullets1"/>
        <w:numPr>
          <w:ilvl w:val="0"/>
          <w:numId w:val="0"/>
        </w:numPr>
        <w:ind w:left="851" w:hanging="851"/>
        <w:rPr>
          <w:sz w:val="22"/>
          <w:szCs w:val="22"/>
          <w:rFonts w:ascii="Arial" w:hAnsi="Arial" w:cs="Arial"/>
        </w:rPr>
      </w:pPr>
      <w:r>
        <w:rPr>
          <w:sz w:val="22"/>
          <w:u w:val="single"/>
          <w:rFonts w:ascii="Arial" w:hAnsi="Arial"/>
        </w:rPr>
        <w:t xml:space="preserve">CCT-IA-Alto-Rischio</w:t>
      </w:r>
      <w:r>
        <w:rPr>
          <w:sz w:val="22"/>
          <w:rFonts w:ascii="Arial" w:hAnsi="Arial"/>
        </w:rPr>
        <w:t xml:space="preserve">:</w:t>
      </w:r>
      <w:r>
        <w:rPr>
          <w:sz w:val="22"/>
          <w:rFonts w:ascii="Arial" w:hAnsi="Arial"/>
        </w:rPr>
        <w:t xml:space="preserve"> </w:t>
      </w:r>
      <w:r>
        <w:rPr>
          <w:sz w:val="22"/>
          <w:rFonts w:ascii="Arial" w:hAnsi="Arial"/>
        </w:rPr>
        <w:t xml:space="preserve">le presenti clausole contrattuali per gli appalti pubblici di IA ad alto rischio da parte di organizzazioni pubbliche.</w:t>
      </w:r>
    </w:p>
    <w:p w14:paraId="75B5B41E"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768EB4C4" w14:textId="77777777"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Set di dati di organizzazioni pubbliche</w:t>
      </w:r>
      <w:r>
        <w:rPr>
          <w:sz w:val="22"/>
          <w:rFonts w:ascii="Arial" w:hAnsi="Arial"/>
        </w:rPr>
        <w:t xml:space="preserve">:</w:t>
      </w:r>
      <w:r>
        <w:rPr>
          <w:sz w:val="22"/>
          <w:rFonts w:ascii="Arial" w:hAnsi="Arial"/>
        </w:rPr>
        <w:t xml:space="preserve"> </w:t>
      </w:r>
      <w:r>
        <w:rPr>
          <w:sz w:val="22"/>
          <w:rFonts w:ascii="Arial" w:hAnsi="Arial"/>
        </w:rPr>
        <w:t xml:space="preserve">set di dati (o parti di essi) i) forniti dall'organizzazione pubblica al fornitore in virtù dell'accordo o ii) da creare o raccogliere nel quadro dell'accordo, comprese eventuali versioni modificate o estese dei set di dati di cui ai punti i) e ii) (ad esempio a causa di annotazione, etichettatura, pulizia, arricchimento o aggregazione).</w:t>
      </w:r>
    </w:p>
    <w:p w14:paraId="6E76D7F6"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BB9C8CD" w14:textId="77777777"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Set di dati</w:t>
      </w:r>
      <w:r>
        <w:rPr>
          <w:sz w:val="22"/>
          <w:rFonts w:ascii="Arial" w:hAnsi="Arial"/>
        </w:rPr>
        <w:t xml:space="preserve">:</w:t>
      </w:r>
      <w:r>
        <w:rPr>
          <w:sz w:val="22"/>
          <w:rFonts w:ascii="Arial" w:hAnsi="Arial"/>
        </w:rPr>
        <w:t xml:space="preserve"> </w:t>
      </w:r>
      <w:r>
        <w:rPr>
          <w:sz w:val="22"/>
          <w:rFonts w:ascii="Arial" w:hAnsi="Arial"/>
        </w:rPr>
        <w:t xml:space="preserve">tutti i set di dati utilizzati nello sviluppo del sistema di IA, compresi il set o i set di dati di cui all'</w:t>
      </w:r>
      <w:r>
        <w:rPr>
          <w:sz w:val="22"/>
          <w:b/>
          <w:rFonts w:ascii="Arial" w:hAnsi="Arial"/>
        </w:rPr>
        <w:t xml:space="preserve">allegato B</w:t>
      </w:r>
      <w:r>
        <w:rPr>
          <w:sz w:val="22"/>
          <w:rFonts w:ascii="Arial" w:hAnsi="Arial"/>
        </w:rPr>
        <w:t xml:space="preserve">.</w:t>
      </w:r>
    </w:p>
    <w:p w14:paraId="7C67D984"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1593539" w14:textId="77777777"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Consegna</w:t>
      </w:r>
      <w:r>
        <w:rPr>
          <w:sz w:val="22"/>
          <w:rFonts w:ascii="Arial" w:hAnsi="Arial"/>
        </w:rPr>
        <w:t xml:space="preserve">:</w:t>
      </w:r>
      <w:r>
        <w:rPr>
          <w:sz w:val="22"/>
          <w:rFonts w:ascii="Arial" w:hAnsi="Arial"/>
        </w:rPr>
        <w:t xml:space="preserve"> </w:t>
      </w:r>
      <w:r>
        <w:rPr>
          <w:sz w:val="22"/>
          <w:rFonts w:ascii="Arial" w:hAnsi="Arial"/>
        </w:rPr>
        <w:t xml:space="preserve">il momento in cui il fornitore informa l'organizzazione pubblica che il sistema di IA soddisfa tutte le condizioni concordate ed è pronto per l'uso.</w:t>
      </w:r>
    </w:p>
    <w:p w14:paraId="573B7690"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65B6987" w14:textId="77777777"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Finalità prevista</w:t>
      </w:r>
      <w:r>
        <w:rPr>
          <w:sz w:val="22"/>
          <w:rFonts w:ascii="Arial" w:hAnsi="Arial"/>
        </w:rPr>
        <w:t xml:space="preserve">:</w:t>
      </w:r>
      <w:r>
        <w:rPr>
          <w:sz w:val="22"/>
          <w:rFonts w:ascii="Arial" w:hAnsi="Arial"/>
        </w:rPr>
        <w:t xml:space="preserve"> </w:t>
      </w:r>
      <w:r>
        <w:rPr>
          <w:sz w:val="22"/>
          <w:rFonts w:ascii="Arial" w:hAnsi="Arial"/>
        </w:rPr>
        <w:t xml:space="preserve">l'uso di un sistema di IA previsto dall'organizzazione pubblica, compresi il contesto e le condizioni d'uso specifici, come precisati nell'allegato B, le informazioni comunicate dal fornitore nelle istruzioni per l'uso, nel materiale promozionale o di vendita e nelle dichiarazioni, nonché nella documentazione tecnica.</w:t>
      </w:r>
    </w:p>
    <w:p w14:paraId="10C49FB2"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BEC4520" w14:textId="77777777" w:rsidR="000F6F09" w:rsidRPr="00F973AB" w:rsidRDefault="000F6F09" w:rsidP="00DE20B9">
      <w:pPr>
        <w:pStyle w:val="doBullets1"/>
        <w:numPr>
          <w:ilvl w:val="0"/>
          <w:numId w:val="0"/>
        </w:numPr>
        <w:ind w:left="851" w:hanging="851"/>
        <w:rPr>
          <w:color w:val="000000"/>
          <w:sz w:val="22"/>
          <w:szCs w:val="22"/>
          <w:shd w:val="clear" w:color="auto" w:fill="FFFFFF"/>
          <w:rFonts w:ascii="Arial" w:hAnsi="Arial" w:cs="Arial"/>
        </w:rPr>
      </w:pPr>
      <w:r>
        <w:rPr>
          <w:color w:val="000000"/>
          <w:sz w:val="22"/>
          <w:shd w:val="clear" w:color="auto" w:fill="FFFFFF"/>
          <w:u w:val="single"/>
          <w:rFonts w:ascii="Arial" w:hAnsi="Arial"/>
        </w:rPr>
        <w:t xml:space="preserve">Uso improprio ragionevolmente prevedibile</w:t>
      </w:r>
      <w:r>
        <w:rPr>
          <w:color w:val="000000"/>
          <w:sz w:val="22"/>
          <w:shd w:val="clear" w:color="auto" w:fill="FFFFFF"/>
          <w:rFonts w:ascii="Arial" w:hAnsi="Arial"/>
        </w:rPr>
        <w:t xml:space="preserve">:</w:t>
      </w:r>
      <w:r>
        <w:rPr>
          <w:color w:val="000000"/>
          <w:sz w:val="22"/>
          <w:shd w:val="clear" w:color="auto" w:fill="FFFFFF"/>
          <w:rFonts w:ascii="Arial" w:hAnsi="Arial"/>
        </w:rPr>
        <w:t xml:space="preserve"> </w:t>
      </w:r>
      <w:r>
        <w:rPr>
          <w:color w:val="000000"/>
          <w:sz w:val="22"/>
          <w:shd w:val="clear" w:color="auto" w:fill="FFFFFF"/>
          <w:rFonts w:ascii="Arial" w:hAnsi="Arial"/>
        </w:rPr>
        <w:t xml:space="preserve">l'uso di un sistema di IA in un modo non conforme alla sua finalità prevista, ma che può derivare da un comportamento umano o da un'interazione ragionevolmente prevedibile con altri sistemi, compresi altri sistemi di IA.</w:t>
      </w:r>
    </w:p>
    <w:p w14:paraId="276D3C65"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2249CD8" w14:textId="59695DDE"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Modifica sostanziale</w:t>
      </w:r>
      <w:r>
        <w:rPr>
          <w:sz w:val="22"/>
          <w:rFonts w:ascii="Arial" w:hAnsi="Arial"/>
        </w:rPr>
        <w:t xml:space="preserve">:</w:t>
      </w:r>
      <w:r>
        <w:rPr>
          <w:sz w:val="22"/>
          <w:rFonts w:ascii="Arial" w:hAnsi="Arial"/>
        </w:rPr>
        <w:t xml:space="preserve"> </w:t>
      </w:r>
      <w:r>
        <w:rPr>
          <w:sz w:val="22"/>
          <w:rFonts w:ascii="Arial" w:hAnsi="Arial"/>
        </w:rPr>
        <w:t xml:space="preserve">una modifica del sistema di IA a seguito della consegna che non è prevista o programmata nella valutazione iniziale della conformità effettuata dal fornitore e che ha l'effetto di incidere sulla conformità del sistema di IA ai requisiti di cui alle presenti CCT-IA-Alto-Rischio (fatto salvo il capo III, sezione 2, della legge sull'IA) o comporta una modifica della finalità prevista per la quale il sistema di IA è stato valutato;</w:t>
      </w:r>
    </w:p>
    <w:p w14:paraId="6DF917D7"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1A1B122" w14:textId="77777777" w:rsidR="000F6F09" w:rsidRPr="00F973AB" w:rsidRDefault="000F6F09" w:rsidP="00DE20B9">
      <w:pPr>
        <w:pStyle w:val="doBullets1"/>
        <w:numPr>
          <w:ilvl w:val="0"/>
          <w:numId w:val="0"/>
        </w:numPr>
        <w:ind w:left="851" w:hanging="851"/>
        <w:rPr>
          <w:color w:val="000000"/>
          <w:sz w:val="22"/>
          <w:szCs w:val="22"/>
          <w:shd w:val="clear" w:color="auto" w:fill="FFFFFF"/>
          <w:rFonts w:ascii="Arial" w:hAnsi="Arial" w:cs="Arial"/>
        </w:rPr>
      </w:pPr>
      <w:r>
        <w:rPr>
          <w:sz w:val="22"/>
          <w:u w:val="single"/>
          <w:rFonts w:ascii="Arial" w:hAnsi="Arial"/>
        </w:rPr>
        <w:t xml:space="preserve">Fornitore</w:t>
      </w:r>
      <w:r>
        <w:rPr>
          <w:sz w:val="22"/>
          <w:rFonts w:ascii="Arial" w:hAnsi="Arial"/>
        </w:rPr>
        <w:t xml:space="preserve">:</w:t>
      </w:r>
      <w:r>
        <w:rPr>
          <w:sz w:val="22"/>
          <w:rFonts w:ascii="Arial" w:hAnsi="Arial"/>
        </w:rPr>
        <w:t xml:space="preserve"> </w:t>
      </w:r>
      <w:r>
        <w:rPr>
          <w:sz w:val="22"/>
          <w:rFonts w:ascii="Arial" w:hAnsi="Arial"/>
        </w:rPr>
        <w:t xml:space="preserve">la </w:t>
      </w:r>
      <w:r>
        <w:rPr>
          <w:sz w:val="22"/>
          <w:color w:val="000000"/>
          <w:shd w:val="clear" w:color="auto" w:fill="FFFFFF"/>
          <w:rFonts w:ascii="Arial" w:hAnsi="Arial"/>
        </w:rPr>
        <w:t xml:space="preserve">persona fisica o giuridica, l'autorità pubblica, l'agenzia o altro organismo che fornisce il sistema di IA all'organizzazione pubblica a norma dell'accordo.</w:t>
      </w:r>
    </w:p>
    <w:p w14:paraId="453964DB" w14:textId="77777777" w:rsidR="00DE20B9" w:rsidRPr="00F973AB" w:rsidRDefault="00DE20B9" w:rsidP="00564A63">
      <w:pPr>
        <w:pStyle w:val="doBullets1"/>
        <w:numPr>
          <w:ilvl w:val="0"/>
          <w:numId w:val="0"/>
        </w:numPr>
        <w:ind w:left="851" w:hanging="851"/>
        <w:rPr>
          <w:rFonts w:ascii="Arial" w:hAnsi="Arial" w:cs="Arial"/>
          <w:sz w:val="22"/>
          <w:szCs w:val="22"/>
        </w:rPr>
      </w:pPr>
    </w:p>
    <w:p w14:paraId="431534B4" w14:textId="3A42F86C" w:rsidR="000F6F09" w:rsidRPr="00F973AB" w:rsidRDefault="000F6F09" w:rsidP="00564A63">
      <w:pPr>
        <w:pStyle w:val="doBullets1"/>
        <w:numPr>
          <w:ilvl w:val="0"/>
          <w:numId w:val="0"/>
        </w:numPr>
        <w:ind w:left="851" w:hanging="851"/>
        <w:rPr>
          <w:sz w:val="22"/>
          <w:szCs w:val="22"/>
          <w:rFonts w:ascii="Arial" w:hAnsi="Arial" w:cs="Arial"/>
        </w:rPr>
      </w:pPr>
      <w:r>
        <w:rPr>
          <w:sz w:val="22"/>
          <w:u w:val="single"/>
          <w:rFonts w:ascii="Arial" w:hAnsi="Arial"/>
        </w:rPr>
        <w:t xml:space="preserve">Set di dati del fornitore e di terzi</w:t>
      </w:r>
      <w:r>
        <w:rPr>
          <w:sz w:val="22"/>
          <w:rFonts w:ascii="Arial" w:hAnsi="Arial"/>
        </w:rPr>
        <w:t xml:space="preserve">:</w:t>
      </w:r>
      <w:r>
        <w:rPr>
          <w:sz w:val="22"/>
          <w:rFonts w:ascii="Arial" w:hAnsi="Arial"/>
        </w:rPr>
        <w:t xml:space="preserve"> </w:t>
      </w:r>
      <w:r>
        <w:rPr>
          <w:sz w:val="22"/>
          <w:rFonts w:ascii="Arial" w:hAnsi="Arial"/>
        </w:rPr>
        <w:t xml:space="preserve">set di dati (o parti di essi) che non possono considerarsi set di dati di organizzazioni pubbliche.</w:t>
      </w:r>
    </w:p>
    <w:p w14:paraId="1F93B595" w14:textId="77777777" w:rsidR="00176170" w:rsidRPr="00F973AB" w:rsidRDefault="00176170" w:rsidP="000F6F09">
      <w:pPr>
        <w:rPr>
          <w:b/>
          <w:bCs/>
          <w:sz w:val="26"/>
          <w:szCs w:val="26"/>
          <w:rFonts w:ascii="Arial" w:hAnsi="Arial" w:cs="Arial"/>
        </w:rPr>
      </w:pPr>
      <w:r>
        <w:br w:type="page"/>
      </w:r>
    </w:p>
    <w:p w14:paraId="00A9E6F4" w14:textId="77777777" w:rsidR="000F6F09" w:rsidRPr="00F973AB" w:rsidRDefault="000F6F09" w:rsidP="00A74620">
      <w:pPr>
        <w:spacing w:after="360"/>
        <w:rPr>
          <w:b/>
          <w:bCs/>
          <w:sz w:val="26"/>
          <w:szCs w:val="26"/>
          <w:rFonts w:ascii="Arial" w:hAnsi="Arial" w:cs="Arial"/>
        </w:rPr>
      </w:pPr>
      <w:r>
        <w:rPr>
          <w:b/>
          <w:sz w:val="26"/>
          <w:rFonts w:ascii="Arial" w:hAnsi="Arial"/>
        </w:rPr>
        <w:t xml:space="preserve">Sezione B – Requisiti essenziali in relazione al sistema di IA</w:t>
      </w:r>
      <w:r>
        <w:rPr>
          <w:b/>
          <w:sz w:val="26"/>
          <w:rFonts w:ascii="Arial" w:hAnsi="Arial"/>
        </w:rPr>
        <w:t xml:space="preserve"> </w:t>
      </w:r>
    </w:p>
    <w:p w14:paraId="110DDF9B" w14:textId="77777777" w:rsidR="000F6F09" w:rsidRPr="00F973AB" w:rsidRDefault="000F6F09" w:rsidP="000F6F09">
      <w:pPr>
        <w:pStyle w:val="doLijstnummering7"/>
        <w:rPr>
          <w:sz w:val="22"/>
          <w:szCs w:val="22"/>
          <w:rFonts w:ascii="Arial" w:hAnsi="Arial" w:cs="Arial"/>
        </w:rPr>
      </w:pPr>
      <w:r>
        <w:rPr>
          <w:sz w:val="22"/>
          <w:rFonts w:ascii="Arial" w:hAnsi="Arial"/>
        </w:rPr>
        <w:t xml:space="preserve">Sistema di gestione dei rischi</w:t>
      </w:r>
    </w:p>
    <w:p w14:paraId="5C48034B" w14:textId="77777777" w:rsidR="000F6F09" w:rsidRPr="00F973AB" w:rsidRDefault="000F6F09" w:rsidP="000F6F09">
      <w:pPr>
        <w:rPr>
          <w:rFonts w:ascii="Arial" w:hAnsi="Arial" w:cs="Arial"/>
          <w:b/>
          <w:i/>
          <w:sz w:val="22"/>
          <w:szCs w:val="22"/>
        </w:rPr>
      </w:pPr>
    </w:p>
    <w:p w14:paraId="51B32C40" w14:textId="36411ADB" w:rsidR="000F6F09" w:rsidRPr="00F973AB" w:rsidRDefault="000F6F09" w:rsidP="000F6F09">
      <w:pPr>
        <w:pStyle w:val="doLijstnummering7"/>
        <w:numPr>
          <w:ilvl w:val="1"/>
          <w:numId w:val="6"/>
        </w:numPr>
        <w:rPr>
          <w:sz w:val="22"/>
          <w:szCs w:val="22"/>
          <w:rFonts w:ascii="Arial" w:hAnsi="Arial" w:cs="Arial"/>
        </w:rPr>
      </w:pPr>
      <w:r>
        <w:rPr>
          <w:sz w:val="22"/>
          <w:rFonts w:ascii="Arial" w:hAnsi="Arial"/>
        </w:rPr>
        <w:t xml:space="preserve">Il fornitore garantisce che, prima della consegna del sistema di IA,</w:t>
      </w:r>
      <w:r>
        <w:rPr>
          <w:sz w:val="22"/>
          <w:color w:val="000000"/>
          <w:shd w:val="clear" w:color="auto" w:fill="FFFFFF"/>
          <w:rFonts w:ascii="Arial" w:hAnsi="Arial"/>
        </w:rPr>
        <w:t xml:space="preserve"> è istituito, attuato, documentato e mantenuto un sistema di gestione dei rischi in relazione al sistema di IA.</w:t>
      </w:r>
      <w:r>
        <w:rPr>
          <w:sz w:val="22"/>
          <w:rFonts w:ascii="Arial" w:hAnsi="Arial"/>
        </w:rPr>
        <w:t xml:space="preserve"> </w:t>
      </w:r>
    </w:p>
    <w:p w14:paraId="61B566DE" w14:textId="77777777" w:rsidR="000F6F09" w:rsidRPr="00F973AB" w:rsidRDefault="000F6F09" w:rsidP="000F6F09">
      <w:pPr>
        <w:pStyle w:val="doLijstnummering7"/>
        <w:numPr>
          <w:ilvl w:val="1"/>
          <w:numId w:val="6"/>
        </w:numPr>
        <w:rPr>
          <w:sz w:val="22"/>
          <w:szCs w:val="22"/>
          <w:rFonts w:ascii="Arial" w:hAnsi="Arial" w:cs="Arial"/>
        </w:rPr>
      </w:pPr>
      <w:r>
        <w:rPr>
          <w:sz w:val="22"/>
          <w:bdr w:val="none" w:sz="0" w:space="0" w:color="auto" w:frame="1"/>
          <w:rFonts w:ascii="Arial" w:hAnsi="Arial"/>
        </w:rPr>
        <w:t xml:space="preserve">Il sistema di gestione dei rischi comprende almeno le fasi seguenti:</w:t>
      </w:r>
    </w:p>
    <w:p w14:paraId="073847C4" w14:textId="4FBB36DE" w:rsidR="000F6F09" w:rsidRPr="00F973AB" w:rsidRDefault="000F6F09" w:rsidP="000F6F09">
      <w:pPr>
        <w:pStyle w:val="doLijstnummering7"/>
        <w:numPr>
          <w:ilvl w:val="2"/>
          <w:numId w:val="6"/>
        </w:numPr>
        <w:rPr>
          <w:sz w:val="22"/>
          <w:szCs w:val="22"/>
          <w:rFonts w:ascii="Arial" w:hAnsi="Arial" w:cs="Arial"/>
        </w:rPr>
      </w:pPr>
      <w:r>
        <w:rPr>
          <w:sz w:val="22"/>
          <w:rFonts w:ascii="Arial" w:hAnsi="Arial"/>
        </w:rPr>
        <w:t xml:space="preserve">l'individuazione, la stima e la valutazione dei rischi noti e ragionevolmente prevedibili che il sistema di IA può porre per la salute, la sicurezza e i diritti fondamentali quando il sistema di IA è utilizzato conformemente alla finalità prevista;</w:t>
      </w:r>
    </w:p>
    <w:p w14:paraId="1525DA03" w14:textId="77777777" w:rsidR="00BC4A48" w:rsidRPr="00F973AB" w:rsidRDefault="00BC4A48" w:rsidP="000F6F09">
      <w:pPr>
        <w:pStyle w:val="doLijstnummering7"/>
        <w:numPr>
          <w:ilvl w:val="2"/>
          <w:numId w:val="6"/>
        </w:numPr>
        <w:rPr>
          <w:color w:val="000000"/>
          <w:sz w:val="22"/>
          <w:szCs w:val="22"/>
          <w:shd w:val="clear" w:color="auto" w:fill="FFFFFF"/>
          <w:rFonts w:ascii="Arial" w:hAnsi="Arial" w:cs="Arial"/>
        </w:rPr>
      </w:pPr>
      <w:r>
        <w:rPr>
          <w:color w:val="000000"/>
          <w:sz w:val="22"/>
          <w:shd w:val="clear" w:color="auto" w:fill="FFFFFF"/>
          <w:rFonts w:ascii="Arial" w:hAnsi="Arial"/>
        </w:rPr>
        <w:t xml:space="preserve">la stima e la valutazione dei rischi che possono emergere quando il sistema di IA è usato conformemente alla finalità prevista e in condizioni di uso improprio ragionevolmente prevedibile;</w:t>
      </w:r>
    </w:p>
    <w:p w14:paraId="68295438" w14:textId="3D0D82CC" w:rsidR="000F6F09" w:rsidRPr="00F973AB" w:rsidRDefault="000F6F09" w:rsidP="000F6F09">
      <w:pPr>
        <w:pStyle w:val="doLijstnummering7"/>
        <w:numPr>
          <w:ilvl w:val="2"/>
          <w:numId w:val="6"/>
        </w:numPr>
        <w:rPr>
          <w:sz w:val="22"/>
          <w:szCs w:val="22"/>
          <w:rFonts w:ascii="Arial" w:hAnsi="Arial" w:cs="Arial"/>
        </w:rPr>
      </w:pPr>
      <w:r>
        <w:rPr>
          <w:color w:val="000000"/>
          <w:sz w:val="22"/>
          <w:shd w:val="clear" w:color="auto" w:fill="FFFFFF"/>
          <w:rFonts w:ascii="Arial" w:hAnsi="Arial"/>
        </w:rPr>
        <w:t xml:space="preserve">la valutazione di altri eventuali rischi derivanti dall'analisi dei dati raccolti dal sistema di monitoraggio successivo all'immissione sul mercato;</w:t>
      </w:r>
    </w:p>
    <w:p w14:paraId="1490CBDA" w14:textId="47D4CA33" w:rsidR="000F6F09" w:rsidRPr="00F973AB" w:rsidRDefault="000F6F09" w:rsidP="000F6F09">
      <w:pPr>
        <w:pStyle w:val="doLijstnummering7"/>
        <w:numPr>
          <w:ilvl w:val="2"/>
          <w:numId w:val="6"/>
        </w:numPr>
        <w:rPr>
          <w:sz w:val="22"/>
          <w:szCs w:val="22"/>
          <w:rFonts w:ascii="Arial" w:hAnsi="Arial" w:cs="Arial"/>
        </w:rPr>
      </w:pPr>
      <w:r>
        <w:rPr>
          <w:color w:val="000000"/>
          <w:sz w:val="22"/>
          <w:shd w:val="clear" w:color="auto" w:fill="FFFFFF"/>
          <w:rFonts w:ascii="Arial" w:hAnsi="Arial"/>
        </w:rPr>
        <w:t xml:space="preserve">l'adozione di misure adeguate e mirate di gestione dei rischi volte a far fronte ai rischi individuati a norma della lettera a) del presente paragrafo, conformemente alle disposizioni dei paragrafi seguenti.</w:t>
      </w:r>
    </w:p>
    <w:p w14:paraId="11E92611" w14:textId="60BA965A" w:rsidR="0026274B" w:rsidRPr="00F973AB" w:rsidRDefault="0026274B" w:rsidP="0026274B">
      <w:pPr>
        <w:pStyle w:val="doLijstnummering7"/>
        <w:numPr>
          <w:ilvl w:val="1"/>
          <w:numId w:val="6"/>
        </w:numPr>
        <w:rPr>
          <w:sz w:val="22"/>
          <w:szCs w:val="22"/>
          <w:rFonts w:ascii="Arial" w:hAnsi="Arial" w:cs="Arial"/>
        </w:rPr>
      </w:pPr>
      <w:r>
        <w:rPr>
          <w:sz w:val="22"/>
          <w:rFonts w:ascii="Arial" w:hAnsi="Arial"/>
        </w:rPr>
        <w:t xml:space="preserve">I rischi di cui al presente articolo riguardano solo quelli che possono essere ragionevolmente</w:t>
      </w:r>
      <w:r>
        <w:rPr>
          <w:sz w:val="22"/>
          <w:rFonts w:ascii="Arial" w:hAnsi="Arial"/>
        </w:rPr>
        <w:t xml:space="preserve"> </w:t>
      </w:r>
    </w:p>
    <w:p w14:paraId="386612AC" w14:textId="43462CEB" w:rsidR="0026274B" w:rsidRPr="00F973AB" w:rsidRDefault="0026274B" w:rsidP="00564A63">
      <w:pPr>
        <w:pStyle w:val="doLijstnummering7"/>
        <w:numPr>
          <w:ilvl w:val="0"/>
          <w:numId w:val="0"/>
        </w:numPr>
        <w:ind w:left="709"/>
        <w:rPr>
          <w:sz w:val="22"/>
          <w:szCs w:val="22"/>
          <w:rFonts w:ascii="Arial" w:hAnsi="Arial" w:cs="Arial"/>
        </w:rPr>
      </w:pPr>
      <w:r>
        <w:rPr>
          <w:sz w:val="22"/>
          <w:rFonts w:ascii="Arial" w:hAnsi="Arial"/>
        </w:rPr>
        <w:t xml:space="preserve">attenuati o eliminati attraverso lo sviluppo o la progettazione del sistema di IA o la fornitura di informazioni tecniche adeguate</w:t>
      </w:r>
    </w:p>
    <w:p w14:paraId="2DCC99D1" w14:textId="0B98A71E" w:rsidR="00AE662B" w:rsidRPr="00F973AB" w:rsidRDefault="003F7670" w:rsidP="000F6F09">
      <w:pPr>
        <w:pStyle w:val="doLijstnummering7"/>
        <w:numPr>
          <w:ilvl w:val="1"/>
          <w:numId w:val="6"/>
        </w:numPr>
        <w:rPr>
          <w:sz w:val="22"/>
          <w:szCs w:val="22"/>
          <w:rFonts w:ascii="Arial" w:hAnsi="Arial" w:cs="Arial"/>
        </w:rPr>
      </w:pPr>
      <w:r>
        <w:rPr>
          <w:sz w:val="22"/>
          <w:rFonts w:ascii="Arial" w:hAnsi="Arial"/>
        </w:rPr>
        <w:t xml:space="preserve">I rischi di cui al presente articolo tengono in debita considerazione gli effetti e la possibile interazione derivanti dall'applicazione combinata dei requisiti di cui alla sezione B, al fine di ridurre al minimo i rischi con maggiore efficacia e raggiungere nel contempo un equilibrio adeguato nell'attuazione delle misure volte a soddisfare tali requisiti.</w:t>
      </w:r>
    </w:p>
    <w:p w14:paraId="3EE728AD" w14:textId="322C3EF5" w:rsidR="000F6F09" w:rsidRPr="00F973AB" w:rsidRDefault="000F6F09" w:rsidP="000F6F09">
      <w:pPr>
        <w:pStyle w:val="doLijstnummering7"/>
        <w:numPr>
          <w:ilvl w:val="1"/>
          <w:numId w:val="6"/>
        </w:numPr>
        <w:rPr>
          <w:sz w:val="22"/>
          <w:szCs w:val="22"/>
          <w:rFonts w:ascii="Arial" w:hAnsi="Arial" w:cs="Arial"/>
        </w:rPr>
      </w:pPr>
      <w:r>
        <w:rPr>
          <w:sz w:val="22"/>
          <w:bdr w:val="none" w:sz="0" w:space="0" w:color="auto" w:frame="1"/>
          <w:rFonts w:ascii="Arial" w:hAnsi="Arial"/>
        </w:rPr>
        <w:t xml:space="preserve">Le misure di gestione dei rischi di cui al paragrafo 2.2, lettera d), sono tali che qualsiasi pertinente rischio residuo associato a ciascun pericolo nonché il rischio residuo complessivo del sistema di IA sono considerati accettabili dal fornitore, a condizione che il sistema di IA sia usato conformemente alla finalità prevista o in condizioni di uso improprio ragionevolmente prevedibile.</w:t>
      </w:r>
    </w:p>
    <w:p w14:paraId="451046AB" w14:textId="667807DB" w:rsidR="000F6F09" w:rsidRPr="00F973AB" w:rsidRDefault="000F6F09" w:rsidP="000F6F09">
      <w:pPr>
        <w:pStyle w:val="doLijstnummering7"/>
        <w:numPr>
          <w:ilvl w:val="1"/>
          <w:numId w:val="6"/>
        </w:numPr>
        <w:rPr>
          <w:sz w:val="22"/>
          <w:szCs w:val="22"/>
          <w:rFonts w:ascii="Arial" w:hAnsi="Arial" w:cs="Arial"/>
        </w:rPr>
      </w:pPr>
      <w:r>
        <w:rPr>
          <w:sz w:val="22"/>
          <w:bdr w:val="none" w:sz="0" w:space="0" w:color="auto" w:frame="1"/>
          <w:rFonts w:ascii="Arial" w:hAnsi="Arial"/>
        </w:rPr>
        <w:t xml:space="preserve">Nell'individuare le più appropriate misure di gestione dei rischi di cui al paragrafo 2.2, lettera d), occorre garantire quanto segue:</w:t>
      </w:r>
    </w:p>
    <w:p w14:paraId="1C73F573" w14:textId="25D24802" w:rsidR="000F6F09" w:rsidRPr="00F973AB" w:rsidRDefault="000F6F09" w:rsidP="000F6F09">
      <w:pPr>
        <w:pStyle w:val="doLijstnummering7"/>
        <w:numPr>
          <w:ilvl w:val="2"/>
          <w:numId w:val="6"/>
        </w:numPr>
        <w:rPr>
          <w:sz w:val="22"/>
          <w:szCs w:val="22"/>
          <w:rFonts w:ascii="Arial" w:hAnsi="Arial" w:cs="Arial"/>
        </w:rPr>
      </w:pPr>
      <w:r>
        <w:rPr>
          <w:sz w:val="22"/>
          <w:bdr w:val="none" w:sz="0" w:space="0" w:color="auto" w:frame="1"/>
          <w:rFonts w:ascii="Arial" w:hAnsi="Arial"/>
        </w:rPr>
        <w:t xml:space="preserve">l'eliminazione o la riduzione dei rischi individuati e valutati a norma del paragrafo 2.2 per quanto tecnicamente possibile attraverso la progettazione e lo sviluppo adeguati del sistema di IA;</w:t>
      </w:r>
    </w:p>
    <w:p w14:paraId="279C02C3" w14:textId="0F213A57" w:rsidR="000F6F09" w:rsidRPr="00F973AB" w:rsidRDefault="000F6F09" w:rsidP="000F6F09">
      <w:pPr>
        <w:pStyle w:val="doLijstnummering7"/>
        <w:numPr>
          <w:ilvl w:val="2"/>
          <w:numId w:val="6"/>
        </w:numPr>
        <w:rPr>
          <w:sz w:val="22"/>
          <w:szCs w:val="22"/>
          <w:rFonts w:ascii="Arial" w:hAnsi="Arial" w:cs="Arial"/>
        </w:rPr>
      </w:pPr>
      <w:r>
        <w:rPr>
          <w:sz w:val="22"/>
          <w:bdr w:val="none" w:sz="0" w:space="0" w:color="auto" w:frame="1"/>
          <w:rFonts w:ascii="Arial" w:hAnsi="Arial"/>
        </w:rPr>
        <w:t xml:space="preserve">ove opportuno, l'attuazione di adeguate misure di attenuazione e di controllo dei rischi che non possono essere eliminati;</w:t>
      </w:r>
    </w:p>
    <w:p w14:paraId="2722BF58" w14:textId="15946474" w:rsidR="000F6F09" w:rsidRPr="00F973AB" w:rsidRDefault="000F6F09" w:rsidP="000F6F09">
      <w:pPr>
        <w:pStyle w:val="doLijstnummering7"/>
        <w:numPr>
          <w:ilvl w:val="2"/>
          <w:numId w:val="6"/>
        </w:numPr>
        <w:rPr>
          <w:sz w:val="22"/>
          <w:szCs w:val="22"/>
          <w:rFonts w:ascii="Arial" w:hAnsi="Arial" w:cs="Arial"/>
        </w:rPr>
      </w:pPr>
      <w:r>
        <w:rPr>
          <w:sz w:val="22"/>
          <w:bdr w:val="none" w:sz="0" w:space="0" w:color="auto" w:frame="1"/>
          <w:rFonts w:ascii="Arial" w:hAnsi="Arial"/>
        </w:rPr>
        <w:t xml:space="preserve">la comunicazione di informazioni adeguate all'organizzazione pubblica e, ove opportuno, la formazione dei deployer.</w:t>
      </w:r>
    </w:p>
    <w:p w14:paraId="7B1357E6" w14:textId="74A52F18"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Il fornitore garantisce che, prima della consegna del sistema di IA, quest'ultimo è sottoposto a prova al fine di verificare se è conforme alle CCT-IA-Alto-Rischio e se le misure di gestione dei rischi di cui al paragrafo 2.2, lettera d), sono efficaci alla luce della finalità prevista e</w:t>
      </w:r>
      <w:r>
        <w:rPr>
          <w:sz w:val="22"/>
          <w:rFonts w:ascii="Arial" w:hAnsi="Arial"/>
        </w:rPr>
        <w:t xml:space="preserve"> dell'uso improprio ragionevolmente prevedibile.</w:t>
      </w:r>
      <w:r>
        <w:rPr>
          <w:sz w:val="22"/>
          <w:bdr w:val="none" w:sz="0" w:space="0" w:color="auto" w:frame="1"/>
          <w:rFonts w:ascii="Arial" w:hAnsi="Arial"/>
        </w:rPr>
        <w:t xml:space="preserve"> </w:t>
      </w:r>
      <w:r>
        <w:rPr>
          <w:sz w:val="22"/>
          <w:bdr w:val="none" w:sz="0" w:space="0" w:color="auto" w:frame="1"/>
          <w:rFonts w:ascii="Arial" w:hAnsi="Arial"/>
        </w:rPr>
        <w:t xml:space="preserve">Se richiesto dall'organizzazione pubblica, il fornitore è tenuto a sottoporre a prova il sistema di IA nei locali dell'organizzazione pubblica.</w:t>
      </w:r>
      <w:r>
        <w:rPr>
          <w:sz w:val="22"/>
          <w:bdr w:val="none" w:sz="0" w:space="0" w:color="auto" w:frame="1"/>
          <w:rFonts w:ascii="Arial" w:hAnsi="Arial"/>
        </w:rPr>
        <w:t xml:space="preserve"> </w:t>
      </w:r>
    </w:p>
    <w:p w14:paraId="302016F4" w14:textId="77777777" w:rsidR="00EF0D2A" w:rsidRPr="00F973AB" w:rsidRDefault="00EF0D2A"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Le prove del sistema di IA sono effettuate, a seconda dei casi, in un qualsiasi momento dell'intero processo di sviluppo e, in ogni caso, prima della consegna.</w:t>
      </w:r>
      <w:r>
        <w:rPr>
          <w:sz w:val="22"/>
          <w:bdr w:val="none" w:sz="0" w:space="0" w:color="auto" w:frame="1"/>
          <w:rFonts w:ascii="Arial" w:hAnsi="Arial"/>
        </w:rPr>
        <w:t xml:space="preserve"> </w:t>
      </w:r>
      <w:r>
        <w:rPr>
          <w:sz w:val="22"/>
          <w:bdr w:val="none" w:sz="0" w:space="0" w:color="auto" w:frame="1"/>
          <w:rFonts w:ascii="Arial" w:hAnsi="Arial"/>
        </w:rPr>
        <w:t xml:space="preserve">Le prove sono effettuate sulla base di metriche e soglie probabilistiche definite precedentemente e adeguate alla finalità prevista perseguita dal sistema di IA.</w:t>
      </w:r>
    </w:p>
    <w:p w14:paraId="5A1D66FB" w14:textId="77777777"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Tutti i rischi individuati, le misure adottate e le prove eseguite nel quadro della conformità al presente articolo devono essere documentati dal fornitore,</w:t>
      </w:r>
      <w:r>
        <w:rPr>
          <w:sz w:val="22"/>
          <w:bdr w:val="none" w:sz="0" w:space="0" w:color="auto" w:frame="1"/>
          <w:rFonts w:ascii="Arial" w:hAnsi="Arial"/>
        </w:rPr>
        <w:t xml:space="preserve"> </w:t>
      </w:r>
      <w:r>
        <w:rPr>
          <w:sz w:val="22"/>
          <w:bdr w:val="none" w:sz="0" w:space="0" w:color="auto" w:frame="1"/>
          <w:rFonts w:ascii="Arial" w:hAnsi="Arial"/>
        </w:rPr>
        <w:t xml:space="preserve">il quale deve mettere tale documentazione a disposizione dell'organizzazione pubblica almeno all'atto della consegna del sistema di IA.</w:t>
      </w:r>
      <w:r>
        <w:rPr>
          <w:sz w:val="22"/>
          <w:bdr w:val="none" w:sz="0" w:space="0" w:color="auto" w:frame="1"/>
          <w:rFonts w:ascii="Arial" w:hAnsi="Arial"/>
        </w:rPr>
        <w:t xml:space="preserve"> </w:t>
      </w:r>
      <w:r>
        <w:rPr>
          <w:sz w:val="22"/>
          <w:bdr w:val="none" w:sz="0" w:space="0" w:color="auto" w:frame="1"/>
          <w:rFonts w:ascii="Arial" w:hAnsi="Arial"/>
        </w:rPr>
        <w:t xml:space="preserve">Tale documentazione può rientrare nella documentazione tecnica e/o nelle istruzioni per l'uso.</w:t>
      </w:r>
    </w:p>
    <w:p w14:paraId="35048AF1" w14:textId="11810C17"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Il sistema di gestione dei rischi è inteso come un processo iterativo continuo pianificato ed eseguito per l'intera durata dell'accordo.</w:t>
      </w:r>
      <w:r>
        <w:rPr>
          <w:sz w:val="22"/>
          <w:bdr w:val="none" w:sz="0" w:space="0" w:color="auto" w:frame="1"/>
          <w:rFonts w:ascii="Arial" w:hAnsi="Arial"/>
        </w:rPr>
        <w:t xml:space="preserve"> </w:t>
      </w:r>
      <w:r>
        <w:rPr>
          <w:sz w:val="22"/>
          <w:bdr w:val="none" w:sz="0" w:space="0" w:color="auto" w:frame="1"/>
          <w:rFonts w:ascii="Arial" w:hAnsi="Arial"/>
        </w:rPr>
        <w:t xml:space="preserve">Dopo la consegna del sistema di IA, il fornitore deve pertanto:</w:t>
      </w:r>
    </w:p>
    <w:p w14:paraId="0A531EA3" w14:textId="720061C7" w:rsidR="000F6F09" w:rsidRPr="00F973AB" w:rsidRDefault="000F6F09" w:rsidP="000F6F0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riesaminare e aggiornare periodicamente il processo di gestione dei rischi per garantirne la costante efficacia;</w:t>
      </w:r>
      <w:r>
        <w:rPr>
          <w:sz w:val="22"/>
          <w:bdr w:val="none" w:sz="0" w:space="0" w:color="auto" w:frame="1"/>
          <w:rFonts w:ascii="Arial" w:hAnsi="Arial"/>
        </w:rPr>
        <w:t xml:space="preserve"> </w:t>
      </w:r>
    </w:p>
    <w:p w14:paraId="31CB19F3" w14:textId="1E78F77E" w:rsidR="000F6F09" w:rsidRPr="00F973AB" w:rsidRDefault="000F6F09" w:rsidP="000F6F0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tenere aggiornata la documentazione di cui al paragrafo 2.7</w:t>
      </w:r>
      <w:r>
        <w:rPr>
          <w:sz w:val="22"/>
          <w:rFonts w:ascii="Arial" w:hAnsi="Arial"/>
        </w:rPr>
        <w:t xml:space="preserve">;</w:t>
      </w:r>
      <w:r>
        <w:rPr>
          <w:sz w:val="22"/>
          <w:bdr w:val="none" w:sz="0" w:space="0" w:color="auto" w:frame="1"/>
          <w:rFonts w:ascii="Arial" w:hAnsi="Arial"/>
        </w:rPr>
        <w:t xml:space="preserve"> </w:t>
      </w:r>
      <w:r>
        <w:rPr>
          <w:sz w:val="22"/>
          <w:bdr w:val="none" w:sz="0" w:space="0" w:color="auto" w:frame="1"/>
          <w:rFonts w:ascii="Arial" w:hAnsi="Arial"/>
        </w:rPr>
        <w:t xml:space="preserve">e</w:t>
      </w:r>
    </w:p>
    <w:p w14:paraId="57AF44BC" w14:textId="21BB6F6C" w:rsidR="000F6F09" w:rsidRPr="00F973AB" w:rsidRDefault="000F6F09" w:rsidP="000F6F0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mettere senza ritardo a disposizione dell'organizzazione pubblica ogni nuova versione della documentazione di cui al paragrafo 2.7.</w:t>
      </w:r>
    </w:p>
    <w:p w14:paraId="79ECC8BE" w14:textId="77777777"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Se ragionevolmente necessario per la corretta esecuzione del sistema di gestione dei rischi da parte del fornitore, l'organizzazione pubblica gli comunica, su richiesta, informazioni nella misura in cui queste non siano di natura riservata.</w:t>
      </w:r>
    </w:p>
    <w:p w14:paraId="0BDE292C" w14:textId="0ACBE7FC"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b/>
          <w:rFonts w:ascii="Arial" w:hAnsi="Arial"/>
        </w:rPr>
        <w:t xml:space="preserve">&lt;Facoltativo&gt;</w:t>
      </w:r>
      <w:r>
        <w:rPr>
          <w:sz w:val="22"/>
          <w:bdr w:val="none" w:sz="0" w:space="0" w:color="auto" w:frame="1"/>
          <w:rFonts w:ascii="Arial" w:hAnsi="Arial"/>
        </w:rPr>
        <w:t xml:space="preserve"> Se l'uso del sistema di IA da parte dell'organizzazione pubblica prosegue oltre il periodo di validità dell'accordo, al termine di tale periodo il fornitore comunica all'organizzazione pubblica le informazioni necessarie per mantenere autonomamente il sistema di gestione dei rischi.</w:t>
      </w:r>
    </w:p>
    <w:p w14:paraId="64DE321B" w14:textId="77777777" w:rsidR="000F6F09" w:rsidRPr="00F973AB" w:rsidRDefault="000F6F09" w:rsidP="000F6F09">
      <w:pPr>
        <w:pStyle w:val="doLijstnummering7"/>
        <w:numPr>
          <w:ilvl w:val="0"/>
          <w:numId w:val="0"/>
        </w:numPr>
        <w:ind w:left="851" w:hanging="851"/>
      </w:pPr>
    </w:p>
    <w:p w14:paraId="3B352DB2" w14:textId="101F80D1" w:rsidR="000F6F09" w:rsidRPr="00F973AB" w:rsidRDefault="000F6F09" w:rsidP="000F6F09">
      <w:pPr>
        <w:pStyle w:val="doLijstnummering7"/>
        <w:rPr>
          <w:sz w:val="22"/>
          <w:szCs w:val="22"/>
          <w:rFonts w:ascii="Arial" w:hAnsi="Arial" w:cs="Arial"/>
        </w:rPr>
      </w:pPr>
      <w:r>
        <w:rPr>
          <w:sz w:val="22"/>
          <w:b/>
          <w:rFonts w:ascii="Arial" w:hAnsi="Arial"/>
        </w:rPr>
        <w:t xml:space="preserve">&lt; L'articolo 3 è pertinente solo per i sistemi di IA che utilizzano tecniche che prevedono l'addestramento di modelli con dati.</w:t>
      </w:r>
      <w:r>
        <w:rPr>
          <w:sz w:val="22"/>
          <w:b/>
          <w:rFonts w:ascii="Arial" w:hAnsi="Arial"/>
        </w:rPr>
        <w:t xml:space="preserve"> </w:t>
      </w:r>
      <w:r>
        <w:rPr>
          <w:sz w:val="22"/>
          <w:b/>
          <w:rFonts w:ascii="Arial" w:hAnsi="Arial"/>
        </w:rPr>
        <w:t xml:space="preserve">L'articolo 3 presuppone che il fornitore (o i suoi subappaltatori) abbia (abbiano) pieno accesso ai set di dati.</w:t>
      </w:r>
      <w:r>
        <w:rPr>
          <w:sz w:val="22"/>
          <w:b/>
          <w:rFonts w:ascii="Arial" w:hAnsi="Arial"/>
        </w:rPr>
        <w:t xml:space="preserve"> </w:t>
      </w:r>
      <w:r>
        <w:rPr>
          <w:sz w:val="22"/>
          <w:b/>
          <w:rFonts w:ascii="Arial" w:hAnsi="Arial"/>
        </w:rPr>
        <w:t xml:space="preserve">Se i set di dati sono detenuti esclusivamente dall'organizzazione pubblica, è necessario adottare altre disposizioni. &gt;</w:t>
      </w:r>
      <w:r>
        <w:rPr>
          <w:sz w:val="22"/>
          <w:rFonts w:ascii="Arial" w:hAnsi="Arial"/>
        </w:rPr>
        <w:t xml:space="preserve"> Dati e governance dei dati</w:t>
      </w:r>
    </w:p>
    <w:p w14:paraId="0226D11F" w14:textId="77777777" w:rsidR="000F6F09" w:rsidRPr="00F973AB" w:rsidRDefault="000F6F09" w:rsidP="000F6F09">
      <w:pPr>
        <w:pStyle w:val="doLijstnummering7"/>
        <w:numPr>
          <w:ilvl w:val="0"/>
          <w:numId w:val="0"/>
        </w:numPr>
        <w:ind w:left="851"/>
        <w:rPr>
          <w:rFonts w:ascii="Arial" w:hAnsi="Arial" w:cs="Arial"/>
          <w:sz w:val="22"/>
          <w:szCs w:val="22"/>
        </w:rPr>
      </w:pPr>
    </w:p>
    <w:p w14:paraId="2631425E" w14:textId="6E51E1A3" w:rsidR="000F6F09" w:rsidRPr="00F973AB" w:rsidRDefault="000F6F09" w:rsidP="000F6F09">
      <w:pPr>
        <w:pStyle w:val="doLijstnummering7"/>
        <w:numPr>
          <w:ilvl w:val="1"/>
          <w:numId w:val="6"/>
        </w:numPr>
        <w:rPr>
          <w:sz w:val="22"/>
          <w:szCs w:val="22"/>
          <w:rFonts w:ascii="Arial" w:hAnsi="Arial" w:cs="Arial"/>
        </w:rPr>
      </w:pPr>
      <w:r>
        <w:rPr>
          <w:sz w:val="22"/>
          <w:rFonts w:ascii="Arial" w:hAnsi="Arial"/>
        </w:rPr>
        <w:t xml:space="preserve">Il fornitore garantisce che i set di dati utilizzati nello sviluppo del sistema di IA, compresi l'addestramento, la convalida e la prova, sono stati e sono soggetti a una governance dei dati e a pratiche di gestione adeguate alla finalità prevista del sistema di IA.</w:t>
      </w:r>
      <w:r>
        <w:rPr>
          <w:sz w:val="22"/>
          <w:rFonts w:ascii="Arial" w:hAnsi="Arial"/>
        </w:rPr>
        <w:t xml:space="preserve"> </w:t>
      </w:r>
      <w:r>
        <w:rPr>
          <w:sz w:val="22"/>
          <w:rFonts w:ascii="Arial" w:hAnsi="Arial"/>
        </w:rPr>
        <w:t xml:space="preserve">Tali misure riguardano in particolare:</w:t>
      </w:r>
    </w:p>
    <w:p w14:paraId="09A35132" w14:textId="77777777" w:rsidR="000F6F09" w:rsidRPr="00F973AB" w:rsidRDefault="000F6F09" w:rsidP="000F6F09">
      <w:pPr>
        <w:pStyle w:val="doLijstnummering7"/>
        <w:numPr>
          <w:ilvl w:val="2"/>
          <w:numId w:val="6"/>
        </w:numPr>
        <w:rPr>
          <w:sz w:val="22"/>
          <w:szCs w:val="22"/>
          <w:rFonts w:ascii="Arial" w:hAnsi="Arial" w:cs="Arial"/>
        </w:rPr>
      </w:pPr>
      <w:r>
        <w:rPr>
          <w:sz w:val="22"/>
          <w:rFonts w:ascii="Arial" w:hAnsi="Arial"/>
        </w:rPr>
        <w:t xml:space="preserve">le scelte progettuali pertinenti;</w:t>
      </w:r>
    </w:p>
    <w:p w14:paraId="596E9F76" w14:textId="17DACB24" w:rsidR="00EF0D2A" w:rsidRPr="00F973AB" w:rsidRDefault="00EF0D2A" w:rsidP="00EF0D2A">
      <w:pPr>
        <w:pStyle w:val="doLijstnummering7"/>
        <w:numPr>
          <w:ilvl w:val="2"/>
          <w:numId w:val="6"/>
        </w:numPr>
        <w:rPr>
          <w:sz w:val="22"/>
          <w:szCs w:val="22"/>
          <w:rFonts w:ascii="Arial" w:hAnsi="Arial" w:cs="Arial"/>
        </w:rPr>
      </w:pPr>
      <w:r>
        <w:rPr>
          <w:sz w:val="22"/>
          <w:rFonts w:ascii="Arial" w:hAnsi="Arial"/>
        </w:rPr>
        <w:t xml:space="preserve">i processi di raccolta dei dati e l'origine dei dati, nonché la finalità originaria della raccolta nel caso di dati personali;</w:t>
      </w:r>
    </w:p>
    <w:p w14:paraId="16B9E709" w14:textId="77777777" w:rsidR="000F6F09" w:rsidRPr="00F973AB" w:rsidRDefault="00BB3419" w:rsidP="000F6F09">
      <w:pPr>
        <w:pStyle w:val="doLijstnummering7"/>
        <w:numPr>
          <w:ilvl w:val="2"/>
          <w:numId w:val="6"/>
        </w:numPr>
        <w:rPr>
          <w:sz w:val="22"/>
          <w:szCs w:val="22"/>
          <w:rFonts w:ascii="Arial" w:hAnsi="Arial" w:cs="Arial"/>
        </w:rPr>
      </w:pPr>
      <w:r>
        <w:rPr>
          <w:sz w:val="22"/>
          <w:rFonts w:ascii="Arial" w:hAnsi="Arial"/>
        </w:rPr>
        <w:t xml:space="preserve">la preparazione dei dati pertinenti ai fini delle operazioni di trattamento, quali annotazione, etichettatura, pulizia, aggiornamento, arricchimento e aggregazione;</w:t>
      </w:r>
    </w:p>
    <w:p w14:paraId="4744A88C" w14:textId="0CBF6A1B" w:rsidR="00137BC0" w:rsidRPr="00F973AB" w:rsidRDefault="000F6F09" w:rsidP="00564A63">
      <w:pPr>
        <w:pStyle w:val="doLijstnummering7"/>
        <w:numPr>
          <w:ilvl w:val="2"/>
          <w:numId w:val="6"/>
        </w:numPr>
        <w:rPr>
          <w:sz w:val="22"/>
          <w:szCs w:val="22"/>
          <w:rFonts w:ascii="Arial" w:hAnsi="Arial" w:cs="Arial"/>
        </w:rPr>
      </w:pPr>
      <w:r>
        <w:rPr>
          <w:sz w:val="22"/>
          <w:rFonts w:ascii="Arial" w:hAnsi="Arial"/>
        </w:rPr>
        <w:t xml:space="preserve">la formulazione di ipotesi per quanto riguarda le informazioni che si presume che i dati misurino e rappresentino;</w:t>
      </w:r>
    </w:p>
    <w:p w14:paraId="0F0B2619" w14:textId="26564662" w:rsidR="00137BC0" w:rsidRPr="00F973AB" w:rsidRDefault="00BB3419" w:rsidP="00137BC0">
      <w:pPr>
        <w:pStyle w:val="doLijstnummering7"/>
        <w:numPr>
          <w:ilvl w:val="2"/>
          <w:numId w:val="6"/>
        </w:numPr>
        <w:rPr>
          <w:sz w:val="22"/>
          <w:szCs w:val="22"/>
          <w:rFonts w:ascii="Arial" w:hAnsi="Arial" w:cs="Arial"/>
        </w:rPr>
      </w:pPr>
      <w:r>
        <w:rPr>
          <w:sz w:val="22"/>
          <w:rFonts w:ascii="Arial" w:hAnsi="Arial"/>
        </w:rPr>
        <w:t xml:space="preserve">una valutazione della disponibilità, della quantità e dell'adeguatezza dei set di dati necessari;</w:t>
      </w:r>
    </w:p>
    <w:p w14:paraId="2D9E0809" w14:textId="099BCBC9" w:rsidR="000F6F09" w:rsidRPr="00F973AB" w:rsidRDefault="000F6F09" w:rsidP="00564A63">
      <w:pPr>
        <w:pStyle w:val="doLijstnummering7"/>
        <w:numPr>
          <w:ilvl w:val="2"/>
          <w:numId w:val="6"/>
        </w:numPr>
        <w:rPr>
          <w:sz w:val="22"/>
          <w:szCs w:val="22"/>
          <w:rFonts w:ascii="Arial" w:hAnsi="Arial" w:cs="Arial"/>
        </w:rPr>
      </w:pPr>
      <w:r>
        <w:rPr>
          <w:sz w:val="22"/>
          <w:rFonts w:ascii="Arial" w:hAnsi="Arial"/>
        </w:rPr>
        <w:t xml:space="preserve">un esame atto a valutare le possibili distorsioni che rischiano di compromettere la salute e la sicurezza delle persone, di avere un impatto negativo sui diritti fondamentali o di comportare discriminazioni vietate dal diritto dell'Unione, specie laddove gli output di dati influenzano gli input per operazioni future;</w:t>
      </w:r>
    </w:p>
    <w:p w14:paraId="22A71AF6" w14:textId="77777777" w:rsidR="000F6F09" w:rsidRPr="00F973AB" w:rsidRDefault="000F6F09" w:rsidP="000F6F09">
      <w:pPr>
        <w:pStyle w:val="doLijstnummering7"/>
        <w:numPr>
          <w:ilvl w:val="2"/>
          <w:numId w:val="6"/>
        </w:numPr>
        <w:rPr>
          <w:sz w:val="22"/>
          <w:szCs w:val="22"/>
          <w:rFonts w:ascii="Arial" w:hAnsi="Arial" w:cs="Arial"/>
        </w:rPr>
      </w:pPr>
      <w:r>
        <w:rPr>
          <w:sz w:val="22"/>
          <w:rFonts w:ascii="Arial" w:hAnsi="Arial"/>
        </w:rPr>
        <w:t xml:space="preserve">le misure adeguate per individuare, prevenire e attenuare le possibili distorsioni individuate conformemente alla lettera f);</w:t>
      </w:r>
    </w:p>
    <w:p w14:paraId="7FC21319" w14:textId="56D6D665" w:rsidR="000F6F09" w:rsidRPr="00F973AB" w:rsidRDefault="000F6F09" w:rsidP="000F6F09">
      <w:pPr>
        <w:pStyle w:val="doLijstnummering7"/>
        <w:numPr>
          <w:ilvl w:val="2"/>
          <w:numId w:val="6"/>
        </w:numPr>
        <w:rPr>
          <w:sz w:val="22"/>
          <w:szCs w:val="22"/>
          <w:rFonts w:ascii="Arial" w:hAnsi="Arial" w:cs="Arial"/>
        </w:rPr>
      </w:pPr>
      <w:r>
        <w:rPr>
          <w:sz w:val="22"/>
          <w:rFonts w:ascii="Arial" w:hAnsi="Arial"/>
        </w:rPr>
        <w:t xml:space="preserve">l'individuazione di lacune o carenze nei dati pertinenti che impediscono il rispetto delle presenti CCT-IA-Alto-Rischio e il modo in cui tali lacune e carenze possono essere colmate.</w:t>
      </w:r>
    </w:p>
    <w:p w14:paraId="5363AE13" w14:textId="4EF6339D" w:rsidR="000F6F09" w:rsidRPr="00F973AB" w:rsidRDefault="000F6F09" w:rsidP="000F6F09">
      <w:pPr>
        <w:pStyle w:val="doLijstnummering7"/>
        <w:numPr>
          <w:ilvl w:val="1"/>
          <w:numId w:val="6"/>
        </w:numPr>
        <w:rPr>
          <w:sz w:val="22"/>
          <w:szCs w:val="22"/>
          <w:rFonts w:ascii="Arial" w:hAnsi="Arial" w:cs="Arial"/>
        </w:rPr>
      </w:pPr>
      <w:r>
        <w:rPr>
          <w:sz w:val="22"/>
          <w:rFonts w:ascii="Arial" w:hAnsi="Arial"/>
        </w:rPr>
        <w:t xml:space="preserve">Il fornitore garantisce che i set di dati utilizzati nello sviluppo del sistema di IA </w:t>
      </w:r>
      <w:r>
        <w:rPr>
          <w:sz w:val="22"/>
          <w:bdr w:val="none" w:sz="0" w:space="0" w:color="auto" w:frame="1"/>
          <w:rFonts w:ascii="Arial" w:hAnsi="Arial"/>
        </w:rPr>
        <w:t xml:space="preserve">sono pertinenti, sufficientemente rappresentativi</w:t>
      </w:r>
      <w:r>
        <w:rPr>
          <w:sz w:val="22"/>
          <w:rFonts w:ascii="Arial" w:hAnsi="Arial"/>
        </w:rPr>
        <w:t xml:space="preserve"> e, nella misura del possibile, </w:t>
      </w:r>
      <w:r>
        <w:rPr>
          <w:sz w:val="22"/>
          <w:bdr w:val="none" w:sz="0" w:space="0" w:color="auto" w:frame="1"/>
          <w:rFonts w:ascii="Arial" w:hAnsi="Arial"/>
        </w:rPr>
        <w:t xml:space="preserve">privi di errori e completi alla luce della finalità prevista.</w:t>
      </w:r>
      <w:r>
        <w:rPr>
          <w:sz w:val="22"/>
          <w:bdr w:val="none" w:sz="0" w:space="0" w:color="auto" w:frame="1"/>
          <w:rFonts w:ascii="Arial" w:hAnsi="Arial"/>
        </w:rPr>
        <w:t xml:space="preserve"> </w:t>
      </w:r>
      <w:r>
        <w:rPr>
          <w:sz w:val="22"/>
          <w:bdr w:val="none" w:sz="0" w:space="0" w:color="auto" w:frame="1"/>
          <w:rFonts w:ascii="Arial" w:hAnsi="Arial"/>
        </w:rPr>
        <w:t xml:space="preserve">Il fornitore garantisce che i set di dati possiedono le proprietà statistiche appropriate, anche, ove applicabile, per quanto riguarda le persone o i gruppi di persone in relazione ai quali il sistema di IA è destinato a essere usato.</w:t>
      </w:r>
      <w:r>
        <w:rPr>
          <w:sz w:val="22"/>
          <w:bdr w:val="none" w:sz="0" w:space="0" w:color="auto" w:frame="1"/>
          <w:rFonts w:ascii="Arial" w:hAnsi="Arial"/>
        </w:rPr>
        <w:t xml:space="preserve"> </w:t>
      </w:r>
      <w:r>
        <w:rPr>
          <w:sz w:val="22"/>
          <w:bdr w:val="none" w:sz="0" w:space="0" w:color="auto" w:frame="1"/>
          <w:rFonts w:ascii="Arial" w:hAnsi="Arial"/>
        </w:rPr>
        <w:t xml:space="preserve">Queste caratteristiche dei set di dati devono essere soddisfatte a livello di singoli set di dati o di una combinazione degli stessi.</w:t>
      </w:r>
    </w:p>
    <w:p w14:paraId="321A02D1" w14:textId="56EFC739" w:rsidR="000F6F09" w:rsidRPr="00F973AB" w:rsidRDefault="000F6F09" w:rsidP="000F6F09">
      <w:pPr>
        <w:pStyle w:val="doLijstnummering7"/>
        <w:numPr>
          <w:ilvl w:val="1"/>
          <w:numId w:val="6"/>
        </w:numPr>
        <w:rPr>
          <w:sz w:val="22"/>
          <w:szCs w:val="22"/>
          <w:rFonts w:ascii="Arial" w:hAnsi="Arial" w:cs="Arial"/>
        </w:rPr>
      </w:pPr>
      <w:r>
        <w:rPr>
          <w:sz w:val="22"/>
          <w:rFonts w:ascii="Arial" w:hAnsi="Arial"/>
        </w:rPr>
        <w:t xml:space="preserve">Il fornitore garantisce che i set di dati utilizzati nello sviluppo del sistema di IA </w:t>
      </w:r>
      <w:r>
        <w:rPr>
          <w:sz w:val="22"/>
          <w:bdr w:val="none" w:sz="0" w:space="0" w:color="auto" w:frame="1"/>
          <w:rFonts w:ascii="Arial" w:hAnsi="Arial"/>
        </w:rPr>
        <w:t xml:space="preserve">abbiano tenuto conto, nella misura necessaria per la finalità prevista o per l'uso improprio ragionevolmente prevedibile, delle caratteristiche o degli elementi particolari dello specifico contesto geografico, comportamentale o funzionale all'interno del quale il sistema di IA è destinato a essere usato.</w:t>
      </w:r>
    </w:p>
    <w:p w14:paraId="2AEAE5B1" w14:textId="77777777" w:rsidR="000F6F09" w:rsidRPr="00F973AB" w:rsidRDefault="000F6F09" w:rsidP="000F6F09">
      <w:pPr>
        <w:pStyle w:val="doLijstnummering7"/>
        <w:numPr>
          <w:ilvl w:val="1"/>
          <w:numId w:val="6"/>
        </w:numPr>
        <w:rPr>
          <w:sz w:val="22"/>
          <w:szCs w:val="22"/>
          <w:rFonts w:ascii="Arial" w:hAnsi="Arial" w:cs="Arial"/>
        </w:rPr>
      </w:pPr>
      <w:r>
        <w:rPr>
          <w:sz w:val="22"/>
          <w:bdr w:val="none" w:sz="0" w:space="0" w:color="auto" w:frame="1"/>
          <w:rFonts w:ascii="Arial" w:hAnsi="Arial"/>
        </w:rPr>
        <w:t xml:space="preserve">Gli obblighi di cui al presente articolo si applicano non solo allo sviluppo del sistema di IA prima della consegna, ma anche a qualsiasi uso dei set di dati da parte del fornitore che possa incidere sul funzionamento del sistema di IA in qualsiasi altro momento durante il periodo di validità dell'accordo.</w:t>
      </w:r>
    </w:p>
    <w:p w14:paraId="77709FDD" w14:textId="77777777" w:rsidR="00D170E9" w:rsidRPr="00F973AB" w:rsidRDefault="00D170E9" w:rsidP="00564A63">
      <w:pPr>
        <w:pStyle w:val="doLijstnummering7"/>
        <w:numPr>
          <w:ilvl w:val="0"/>
          <w:numId w:val="0"/>
        </w:numPr>
        <w:ind w:left="709"/>
        <w:rPr>
          <w:rFonts w:ascii="Arial" w:hAnsi="Arial" w:cs="Arial"/>
          <w:sz w:val="22"/>
          <w:szCs w:val="22"/>
        </w:rPr>
      </w:pPr>
    </w:p>
    <w:p w14:paraId="107A8202" w14:textId="77777777" w:rsidR="000F6F09" w:rsidRPr="00F973AB" w:rsidRDefault="000F6F09" w:rsidP="000F6F09">
      <w:pPr>
        <w:rPr>
          <w:rFonts w:ascii="Arial" w:hAnsi="Arial" w:cs="Arial"/>
          <w:sz w:val="22"/>
          <w:szCs w:val="22"/>
          <w:lang w:eastAsia="en-GB"/>
        </w:rPr>
      </w:pPr>
    </w:p>
    <w:p w14:paraId="46DA3DE0" w14:textId="77777777" w:rsidR="00CE2EF9" w:rsidRPr="00F973AB" w:rsidRDefault="00CE2EF9" w:rsidP="00CE2EF9">
      <w:pPr>
        <w:pStyle w:val="doLijstnummering7"/>
        <w:rPr>
          <w:sz w:val="22"/>
          <w:szCs w:val="22"/>
          <w:rFonts w:ascii="Arial" w:hAnsi="Arial" w:cs="Arial"/>
        </w:rPr>
      </w:pPr>
      <w:r>
        <w:rPr>
          <w:sz w:val="22"/>
          <w:rFonts w:ascii="Arial" w:hAnsi="Arial"/>
        </w:rPr>
        <w:t xml:space="preserve">Documentazione tecnica e istruzioni per l'uso</w:t>
      </w:r>
    </w:p>
    <w:p w14:paraId="3D84883A" w14:textId="77777777" w:rsidR="00CE2EF9" w:rsidRPr="00F973AB" w:rsidRDefault="00CE2EF9" w:rsidP="00CE2EF9">
      <w:pPr>
        <w:pStyle w:val="doLijstnummering7"/>
        <w:numPr>
          <w:ilvl w:val="0"/>
          <w:numId w:val="0"/>
        </w:numPr>
        <w:ind w:left="851"/>
        <w:rPr>
          <w:rFonts w:ascii="Arial" w:hAnsi="Arial" w:cs="Arial"/>
          <w:sz w:val="22"/>
          <w:szCs w:val="22"/>
        </w:rPr>
      </w:pPr>
    </w:p>
    <w:p w14:paraId="206AE859"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La consegna del sistema di IA da parte del fornitore prevede la consegna della documentazione tecnica e delle istruzioni per l'uso.</w:t>
      </w:r>
    </w:p>
    <w:p w14:paraId="4060588D" w14:textId="536D7596"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La documentazione tecnica deve consentire all'organizzazione pubblica o a terzi di valutare la conformità del sistema di IA alle disposizioni dei requisiti di cui alle presenti CCT-IA-Alto-Rischio e almeno di soddisfare le condizioni di cui all'</w:t>
      </w:r>
      <w:r>
        <w:rPr>
          <w:sz w:val="22"/>
          <w:b/>
          <w:rFonts w:ascii="Arial" w:hAnsi="Arial"/>
        </w:rPr>
        <w:t xml:space="preserve">allegato C</w:t>
      </w:r>
      <w:r>
        <w:rPr>
          <w:sz w:val="22"/>
          <w:rFonts w:ascii="Arial" w:hAnsi="Arial"/>
        </w:rPr>
        <w:t xml:space="preserve">.</w:t>
      </w:r>
      <w:r>
        <w:rPr>
          <w:sz w:val="22"/>
          <w:rFonts w:ascii="Arial" w:hAnsi="Arial"/>
        </w:rPr>
        <w:t xml:space="preserve"> </w:t>
      </w:r>
    </w:p>
    <w:p w14:paraId="4B31F83B"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Le istruzioni per l'uso comprendono informazioni </w:t>
      </w:r>
      <w:r>
        <w:rPr>
          <w:sz w:val="22"/>
          <w:color w:val="000000"/>
          <w:shd w:val="clear" w:color="auto" w:fill="FFFFFF"/>
          <w:rFonts w:ascii="Arial" w:hAnsi="Arial"/>
        </w:rPr>
        <w:t xml:space="preserve">concise, complete, corrette e chiare che sono pertinenti, accessibili e comprensibili per l'organizzazione pubblica.</w:t>
      </w:r>
      <w:r>
        <w:rPr>
          <w:sz w:val="22"/>
          <w:color w:val="000000"/>
          <w:shd w:val="clear" w:color="auto" w:fill="FFFFFF"/>
          <w:rFonts w:ascii="Arial" w:hAnsi="Arial"/>
        </w:rPr>
        <w:t xml:space="preserve"> </w:t>
      </w:r>
      <w:r>
        <w:rPr>
          <w:sz w:val="22"/>
          <w:color w:val="000000"/>
          <w:shd w:val="clear" w:color="auto" w:fill="FFFFFF"/>
          <w:rFonts w:ascii="Arial" w:hAnsi="Arial"/>
        </w:rPr>
        <w:t xml:space="preserve">Le istruzioni per l'uso devono soddisfare almeno le condizioni di cui all'</w:t>
      </w:r>
      <w:r>
        <w:rPr>
          <w:sz w:val="22"/>
          <w:color w:val="000000"/>
          <w:shd w:val="clear" w:color="auto" w:fill="FFFFFF"/>
          <w:b/>
          <w:rFonts w:ascii="Arial" w:hAnsi="Arial"/>
        </w:rPr>
        <w:t xml:space="preserve">allegato D</w:t>
      </w:r>
      <w:r>
        <w:rPr>
          <w:sz w:val="22"/>
          <w:rFonts w:ascii="Arial" w:hAnsi="Arial"/>
        </w:rPr>
        <w:t xml:space="preserve">.</w:t>
      </w:r>
    </w:p>
    <w:p w14:paraId="570CD58F" w14:textId="137F2359" w:rsidR="00CE2EF9" w:rsidRPr="00F973AB" w:rsidRDefault="00CE2EF9" w:rsidP="00CE2EF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Il fornitore deve aggiornare tale documentazione inserendo almeno</w:t>
      </w:r>
      <w:r>
        <w:rPr>
          <w:sz w:val="22"/>
          <w:rFonts w:ascii="Arial" w:hAnsi="Arial"/>
        </w:rPr>
        <w:t xml:space="preserve"> ogni modifica sostanziale apportata durante il periodo di validità dell'accordo </w:t>
      </w:r>
      <w:r>
        <w:rPr>
          <w:sz w:val="22"/>
          <w:bdr w:val="none" w:sz="0" w:space="0" w:color="auto" w:frame="1"/>
          <w:rFonts w:ascii="Arial" w:hAnsi="Arial"/>
        </w:rPr>
        <w:t xml:space="preserve">e poi metterla a disposizione dell'organizzazione pubblica.</w:t>
      </w:r>
    </w:p>
    <w:p w14:paraId="2269BEE5" w14:textId="76F75F0F"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&lt;Facoltativo&gt;</w:t>
      </w:r>
      <w:r>
        <w:rPr>
          <w:sz w:val="22"/>
          <w:rFonts w:ascii="Arial" w:hAnsi="Arial"/>
        </w:rPr>
        <w:t xml:space="preserve"> La documentazione tecnica e le istruzioni per l'uso devono essere redatte in inglese.</w:t>
      </w:r>
    </w:p>
    <w:p w14:paraId="4DCD18E7" w14:textId="113FDD83"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&lt;Facoltativo&gt;</w:t>
      </w:r>
      <w:r>
        <w:rPr>
          <w:sz w:val="22"/>
          <w:rFonts w:ascii="Arial" w:hAnsi="Arial"/>
        </w:rPr>
        <w:t xml:space="preserve"> L'organizzazione pubblica ha il diritto di fare copie della documentazione tecnica e delle istruzioni per l'uso nella misura necessaria per l'uso interno in seno all'organizzazione stessa, fatte salve le disposizioni degli articoli 6 e 14.</w:t>
      </w:r>
    </w:p>
    <w:p w14:paraId="479C740A" w14:textId="77777777" w:rsidR="00785D3E" w:rsidRPr="00F973AB" w:rsidRDefault="00785D3E" w:rsidP="00564A63">
      <w:pPr>
        <w:pStyle w:val="doLijstnummering7"/>
        <w:numPr>
          <w:ilvl w:val="0"/>
          <w:numId w:val="0"/>
        </w:numPr>
        <w:ind w:left="709"/>
        <w:rPr>
          <w:rFonts w:ascii="Arial" w:hAnsi="Arial" w:cs="Arial"/>
          <w:sz w:val="22"/>
          <w:szCs w:val="22"/>
        </w:rPr>
      </w:pPr>
    </w:p>
    <w:p w14:paraId="50413B38" w14:textId="08F03557" w:rsidR="00CE2EF9" w:rsidRPr="00F973AB" w:rsidRDefault="00CE2EF9" w:rsidP="00CE2EF9">
      <w:pPr>
        <w:pStyle w:val="doLijstnummering7"/>
        <w:numPr>
          <w:ilvl w:val="0"/>
          <w:numId w:val="0"/>
        </w:numPr>
        <w:ind w:left="851"/>
        <w:rPr>
          <w:rFonts w:ascii="Arial" w:hAnsi="Arial" w:cs="Arial"/>
          <w:sz w:val="22"/>
          <w:szCs w:val="22"/>
        </w:rPr>
      </w:pPr>
    </w:p>
    <w:p w14:paraId="7189C35C" w14:textId="77777777" w:rsidR="00CE2EF9" w:rsidRPr="00F973AB" w:rsidRDefault="00CE2EF9" w:rsidP="00CE2EF9">
      <w:pPr>
        <w:pStyle w:val="doLijstnummering7"/>
        <w:rPr>
          <w:sz w:val="22"/>
          <w:szCs w:val="22"/>
          <w:rFonts w:ascii="Arial" w:hAnsi="Arial" w:cs="Arial"/>
        </w:rPr>
      </w:pPr>
      <w:r>
        <w:rPr>
          <w:sz w:val="22"/>
          <w:rFonts w:ascii="Arial" w:hAnsi="Arial"/>
        </w:rPr>
        <w:t xml:space="preserve">Conservazione delle registrazioni</w:t>
      </w:r>
    </w:p>
    <w:p w14:paraId="4D188F77" w14:textId="77777777" w:rsidR="00CE2EF9" w:rsidRPr="00F973AB" w:rsidRDefault="00CE2EF9" w:rsidP="00CE2EF9">
      <w:pPr>
        <w:pStyle w:val="doLijstnummering7"/>
        <w:numPr>
          <w:ilvl w:val="0"/>
          <w:numId w:val="0"/>
        </w:numPr>
        <w:ind w:left="851"/>
        <w:rPr>
          <w:rFonts w:ascii="Arial" w:hAnsi="Arial" w:cs="Arial"/>
          <w:sz w:val="22"/>
          <w:szCs w:val="22"/>
        </w:rPr>
      </w:pPr>
    </w:p>
    <w:p w14:paraId="4244A990" w14:textId="17DCE350"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Il fornitore garantisce che il sistema di IA consente a livello tecnico la registrazione automatica degli eventi ("log") per la durata del ciclo di vita del sistema di IA.</w:t>
      </w:r>
      <w:r>
        <w:rPr>
          <w:sz w:val="22"/>
          <w:rFonts w:ascii="Arial" w:hAnsi="Arial"/>
        </w:rPr>
        <w:t xml:space="preserve"> </w:t>
      </w:r>
    </w:p>
    <w:p w14:paraId="5F29D147" w14:textId="49036DCC"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Le capacità di registrazione garantiscono un livello di tracciabilità del funzionamento del sistema di IA adeguato alla finalità prevista del sistema e all'</w:t>
      </w:r>
      <w:r>
        <w:rPr>
          <w:sz w:val="22"/>
          <w:bdr w:val="none" w:sz="0" w:space="0" w:color="auto" w:frame="1"/>
          <w:rFonts w:ascii="Arial" w:hAnsi="Arial"/>
        </w:rPr>
        <w:t xml:space="preserve">uso improprio ragionevolmente prevedibile</w:t>
      </w:r>
      <w:r>
        <w:rPr>
          <w:sz w:val="22"/>
          <w:rFonts w:ascii="Arial" w:hAnsi="Arial"/>
        </w:rPr>
        <w:t xml:space="preserve">.</w:t>
      </w:r>
      <w:r>
        <w:rPr>
          <w:sz w:val="22"/>
          <w:rFonts w:ascii="Arial" w:hAnsi="Arial"/>
        </w:rPr>
        <w:t xml:space="preserve"> </w:t>
      </w:r>
      <w:r>
        <w:rPr>
          <w:sz w:val="22"/>
          <w:rFonts w:ascii="Arial" w:hAnsi="Arial"/>
        </w:rPr>
        <w:t xml:space="preserve">In particolare, consentono la registrazione di eventi pertinenti per l'individuazione di situazioni che possono:</w:t>
      </w:r>
      <w:r>
        <w:rPr>
          <w:sz w:val="22"/>
          <w:rFonts w:ascii="Arial" w:hAnsi="Arial"/>
        </w:rPr>
        <w:t xml:space="preserve"> </w:t>
      </w:r>
    </w:p>
    <w:p w14:paraId="624E7412" w14:textId="77777777"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far sì che il sistema di IA presenti un rischio per la salute o la sicurezza o per la tutela dei diritti fondamentali delle persone;</w:t>
      </w:r>
      <w:r>
        <w:rPr>
          <w:sz w:val="22"/>
          <w:rFonts w:ascii="Arial" w:hAnsi="Arial"/>
        </w:rPr>
        <w:t xml:space="preserve"> </w:t>
      </w:r>
      <w:r>
        <w:rPr>
          <w:sz w:val="22"/>
          <w:rFonts w:ascii="Arial" w:hAnsi="Arial"/>
        </w:rPr>
        <w:t xml:space="preserve">oppure</w:t>
      </w:r>
      <w:r>
        <w:rPr>
          <w:sz w:val="22"/>
          <w:rFonts w:ascii="Arial" w:hAnsi="Arial"/>
        </w:rPr>
        <w:t xml:space="preserve"> </w:t>
      </w:r>
    </w:p>
    <w:p w14:paraId="76C7CA3A" w14:textId="77777777"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comportare una modifica sostanziale.</w:t>
      </w:r>
    </w:p>
    <w:p w14:paraId="69A5FE4A" w14:textId="51CF679A" w:rsidR="00CE2EF9" w:rsidRPr="00F973AB" w:rsidRDefault="00CE2EF9" w:rsidP="00CE2EF9">
      <w:pPr>
        <w:pStyle w:val="doLijstnummering7"/>
        <w:numPr>
          <w:ilvl w:val="1"/>
          <w:numId w:val="6"/>
        </w:numPr>
        <w:rPr>
          <w:sz w:val="22"/>
          <w:szCs w:val="22"/>
          <w:rFonts w:ascii="Arial" w:hAnsi="Arial" w:cs="Arial"/>
        </w:rPr>
      </w:pPr>
      <w:r>
        <w:rPr>
          <w:sz w:val="22"/>
          <w:b/>
          <w:rFonts w:ascii="Arial" w:hAnsi="Arial"/>
        </w:rPr>
        <w:t xml:space="preserve">&lt;Facoltativo&gt;</w:t>
      </w:r>
      <w:r>
        <w:rPr>
          <w:sz w:val="22"/>
          <w:rFonts w:ascii="Arial" w:hAnsi="Arial"/>
        </w:rPr>
        <w:t xml:space="preserve"> Il fornitore consentirà all'organizzazione pubblica di accedere in tempo reale ai log generati automaticamente dal sistema di IA</w:t>
      </w:r>
    </w:p>
    <w:p w14:paraId="20195A64" w14:textId="77777777" w:rsidR="00CE2EF9" w:rsidRPr="002F066E" w:rsidRDefault="00CE2EF9" w:rsidP="00CE2EF9">
      <w:pPr>
        <w:pStyle w:val="doLijstnummering7"/>
        <w:numPr>
          <w:ilvl w:val="1"/>
          <w:numId w:val="6"/>
        </w:numPr>
        <w:rPr>
          <w:sz w:val="22"/>
          <w:szCs w:val="22"/>
          <w:rFonts w:ascii="Arial" w:hAnsi="Arial" w:cs="Arial"/>
        </w:rPr>
      </w:pPr>
      <w:r>
        <w:rPr>
          <w:sz w:val="22"/>
          <w:rFonts w:ascii="Arial" w:hAnsi="Arial"/>
        </w:rPr>
        <w:t xml:space="preserve">e li conserverà, nella misura in cui gli stessi siano sotto il suo controllo in virtù dell'accordo, per la durata dell'accordo.</w:t>
      </w:r>
      <w:r>
        <w:rPr>
          <w:sz w:val="22"/>
          <w:rFonts w:ascii="Arial" w:hAnsi="Arial"/>
        </w:rPr>
        <w:t xml:space="preserve"> </w:t>
      </w:r>
      <w:r>
        <w:rPr>
          <w:sz w:val="22"/>
          <w:rFonts w:ascii="Arial" w:hAnsi="Arial"/>
        </w:rPr>
        <w:t xml:space="preserve">Al termine del periodo di validità dell'accordo, il fornitore trasmetterà senza ritardo tali log all'organizzazione pubblica.</w:t>
      </w:r>
    </w:p>
    <w:p w14:paraId="7CD86A13" w14:textId="77777777" w:rsidR="00FC2BCA" w:rsidRPr="002F066E" w:rsidRDefault="00FC2BCA" w:rsidP="00564A63">
      <w:pPr>
        <w:pStyle w:val="doLijstnummering7"/>
        <w:numPr>
          <w:ilvl w:val="0"/>
          <w:numId w:val="0"/>
        </w:numPr>
        <w:ind w:left="709"/>
        <w:rPr>
          <w:rFonts w:ascii="Arial" w:hAnsi="Arial" w:cs="Arial"/>
          <w:sz w:val="22"/>
          <w:szCs w:val="22"/>
        </w:rPr>
      </w:pPr>
    </w:p>
    <w:p w14:paraId="07AD6B53" w14:textId="77777777" w:rsidR="00CE2EF9" w:rsidRPr="00F973AB" w:rsidRDefault="00CE2EF9" w:rsidP="00CE2EF9">
      <w:pPr>
        <w:pStyle w:val="doLijstnummering7"/>
        <w:numPr>
          <w:ilvl w:val="0"/>
          <w:numId w:val="0"/>
        </w:numPr>
        <w:ind w:left="1560" w:hanging="851"/>
        <w:rPr>
          <w:rFonts w:ascii="Arial" w:hAnsi="Arial" w:cs="Arial"/>
          <w:sz w:val="22"/>
          <w:szCs w:val="22"/>
        </w:rPr>
      </w:pPr>
    </w:p>
    <w:p w14:paraId="22FAFD16" w14:textId="77777777" w:rsidR="00CE2EF9" w:rsidRPr="00F973AB" w:rsidRDefault="00CE2EF9" w:rsidP="00CE2EF9">
      <w:pPr>
        <w:pStyle w:val="doLijstnummering7"/>
        <w:rPr>
          <w:sz w:val="22"/>
          <w:szCs w:val="22"/>
          <w:rFonts w:ascii="Arial" w:hAnsi="Arial" w:cs="Arial"/>
        </w:rPr>
      </w:pPr>
      <w:r>
        <w:rPr>
          <w:sz w:val="22"/>
          <w:rFonts w:ascii="Arial" w:hAnsi="Arial"/>
        </w:rPr>
        <w:t xml:space="preserve">Trasparenza del sistema di IA</w:t>
      </w:r>
    </w:p>
    <w:p w14:paraId="11CBF5BC" w14:textId="77777777" w:rsidR="00CE2EF9" w:rsidRPr="00F973AB" w:rsidRDefault="00CE2EF9" w:rsidP="00CE2EF9">
      <w:pPr>
        <w:pStyle w:val="doLijstnummering7"/>
        <w:numPr>
          <w:ilvl w:val="0"/>
          <w:numId w:val="0"/>
        </w:numPr>
        <w:ind w:left="851"/>
        <w:rPr>
          <w:rFonts w:ascii="Arial" w:hAnsi="Arial" w:cs="Arial"/>
          <w:sz w:val="22"/>
          <w:szCs w:val="22"/>
        </w:rPr>
      </w:pPr>
    </w:p>
    <w:p w14:paraId="589EDE60" w14:textId="57199FF3" w:rsidR="00CE2EF9" w:rsidRPr="00F973AB" w:rsidRDefault="00CE2EF9" w:rsidP="00CE2EF9">
      <w:pPr>
        <w:pStyle w:val="doLijstnummering7"/>
        <w:numPr>
          <w:ilvl w:val="1"/>
          <w:numId w:val="6"/>
        </w:numPr>
        <w:rPr>
          <w:sz w:val="22"/>
          <w:szCs w:val="22"/>
          <w:rFonts w:ascii="Arial" w:hAnsi="Arial" w:cs="Arial"/>
        </w:rPr>
      </w:pPr>
      <w:r>
        <w:rPr>
          <w:sz w:val="22"/>
          <w:color w:val="000000"/>
          <w:shd w:val="clear" w:color="auto" w:fill="FFFFFF"/>
          <w:rFonts w:ascii="Arial" w:hAnsi="Arial"/>
        </w:rPr>
        <w:t xml:space="preserve">Il fornitore garantisce che il sistema di IA è stato ed è progettato e sviluppato in modo tale che il suo funzionamento sia sufficientemente trasparente da consentire all'organizzazione pubblica di </w:t>
      </w:r>
      <w:r>
        <w:rPr>
          <w:sz w:val="22"/>
          <w:rFonts w:ascii="Arial" w:hAnsi="Arial"/>
        </w:rPr>
        <w:t xml:space="preserve">interpretare l'output del sistema e utilizzarlo adeguatamente</w:t>
      </w:r>
      <w:r>
        <w:rPr>
          <w:sz w:val="22"/>
          <w:color w:val="000000"/>
          <w:shd w:val="clear" w:color="auto" w:fill="FFFFFF"/>
          <w:rFonts w:ascii="Arial" w:hAnsi="Arial"/>
        </w:rPr>
        <w:t xml:space="preserve">.</w:t>
      </w:r>
    </w:p>
    <w:p w14:paraId="61C5E1BD" w14:textId="08A3494E"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Al fine di garantire una trasparenza adeguata, prima della consegna del sistema di IA il fornitore attua almeno le misure tecniche e organizzative di cui all'</w:t>
      </w:r>
      <w:r>
        <w:rPr>
          <w:sz w:val="22"/>
          <w:b/>
          <w:rFonts w:ascii="Arial" w:hAnsi="Arial"/>
        </w:rPr>
        <w:t xml:space="preserve">allegato E</w:t>
      </w:r>
      <w:r>
        <w:rPr>
          <w:sz w:val="22"/>
          <w:rFonts w:ascii="Arial" w:hAnsi="Arial"/>
        </w:rPr>
        <w:t xml:space="preserve">.</w:t>
      </w:r>
      <w:r>
        <w:rPr>
          <w:sz w:val="22"/>
          <w:rFonts w:ascii="Arial" w:hAnsi="Arial"/>
        </w:rPr>
        <w:t xml:space="preserve"> </w:t>
      </w:r>
    </w:p>
    <w:p w14:paraId="7F71F9D4" w14:textId="77777777" w:rsidR="00CE2EF9" w:rsidRPr="00F973AB" w:rsidRDefault="00CE2EF9" w:rsidP="00CE2EF9">
      <w:pPr>
        <w:pStyle w:val="doLijstnummering7"/>
        <w:numPr>
          <w:ilvl w:val="0"/>
          <w:numId w:val="0"/>
        </w:numPr>
        <w:rPr>
          <w:rFonts w:ascii="Arial" w:hAnsi="Arial" w:cs="Arial"/>
          <w:sz w:val="22"/>
          <w:szCs w:val="22"/>
        </w:rPr>
      </w:pPr>
    </w:p>
    <w:p w14:paraId="528A48FA" w14:textId="77777777" w:rsidR="00CE2EF9" w:rsidRPr="00F973AB" w:rsidRDefault="00CE2EF9" w:rsidP="00CE2EF9">
      <w:pPr>
        <w:pStyle w:val="doLijstnummering7"/>
        <w:rPr>
          <w:sz w:val="22"/>
          <w:szCs w:val="22"/>
          <w:rFonts w:ascii="Arial" w:hAnsi="Arial" w:cs="Arial"/>
        </w:rPr>
      </w:pPr>
      <w:r>
        <w:rPr>
          <w:sz w:val="22"/>
          <w:rFonts w:ascii="Arial" w:hAnsi="Arial"/>
        </w:rPr>
        <w:t xml:space="preserve">Sorveglianza umana</w:t>
      </w:r>
    </w:p>
    <w:p w14:paraId="1E1E8E8A" w14:textId="77777777" w:rsidR="00CE2EF9" w:rsidRPr="00F973AB" w:rsidRDefault="00CE2EF9" w:rsidP="00CE2EF9">
      <w:pPr>
        <w:pStyle w:val="doLijstnummering7"/>
        <w:numPr>
          <w:ilvl w:val="0"/>
          <w:numId w:val="0"/>
        </w:numPr>
        <w:ind w:left="851"/>
        <w:rPr>
          <w:rFonts w:ascii="Arial" w:hAnsi="Arial" w:cs="Arial"/>
          <w:sz w:val="22"/>
          <w:szCs w:val="22"/>
        </w:rPr>
      </w:pPr>
    </w:p>
    <w:p w14:paraId="154F174E" w14:textId="7A1C0B2A" w:rsidR="00CE2EF9" w:rsidRPr="00F973AB" w:rsidRDefault="00CE2EF9" w:rsidP="00CE2EF9">
      <w:pPr>
        <w:pStyle w:val="doLijstnummering7"/>
        <w:numPr>
          <w:ilvl w:val="1"/>
          <w:numId w:val="6"/>
        </w:numPr>
        <w:rPr>
          <w:sz w:val="22"/>
          <w:szCs w:val="22"/>
          <w:rFonts w:ascii="Arial" w:hAnsi="Arial" w:cs="Arial"/>
        </w:rPr>
      </w:pPr>
      <w:r>
        <w:rPr>
          <w:sz w:val="22"/>
          <w:bdr w:val="none" w:sz="0" w:space="0" w:color="auto" w:frame="1"/>
          <w:rFonts w:ascii="Arial" w:hAnsi="Arial"/>
        </w:rPr>
        <w:t xml:space="preserve">Il fornitore garantisce che il sistema di IA è stato ed è progettato e sviluppato in modo tale, anche con adeguati strumenti di interfaccia uomo-macchina, da poter essere efficacemente supervisionato dalle persone fisiche</w:t>
      </w:r>
      <w:r>
        <w:rPr>
          <w:sz w:val="22"/>
          <w:rFonts w:ascii="Arial" w:hAnsi="Arial"/>
        </w:rPr>
        <w:t xml:space="preserve"> durante il periodo di utilizzazione</w:t>
      </w:r>
      <w:r>
        <w:rPr>
          <w:sz w:val="22"/>
          <w:bdr w:val="none" w:sz="0" w:space="0" w:color="auto" w:frame="1"/>
          <w:rFonts w:ascii="Arial" w:hAnsi="Arial"/>
        </w:rPr>
        <w:t xml:space="preserve">.</w:t>
      </w:r>
    </w:p>
    <w:p w14:paraId="510D7F17" w14:textId="20E5491D" w:rsidR="00CD6D58" w:rsidRPr="00F973AB" w:rsidRDefault="00CD6D58" w:rsidP="00CD6D58">
      <w:pPr>
        <w:pStyle w:val="doLijstnummering7"/>
        <w:numPr>
          <w:ilvl w:val="1"/>
          <w:numId w:val="6"/>
        </w:numPr>
        <w:rPr>
          <w:sz w:val="22"/>
          <w:szCs w:val="22"/>
          <w:rFonts w:ascii="Arial" w:hAnsi="Arial" w:cs="Arial"/>
        </w:rPr>
      </w:pPr>
      <w:r>
        <w:rPr>
          <w:sz w:val="22"/>
          <w:rFonts w:ascii="Arial" w:hAnsi="Arial"/>
        </w:rPr>
        <w:t xml:space="preserve">La sorveglianza umana mira a prevenire o ridurre al minimo i rischi per la salute, la sicurezza o i diritti fondamentali che possono emergere quando un sistema di IA è utilizzato conformemente alla sua finalità prevista o in condizioni di uso improprio ragionevolmente prevedibile, qualora tali rischi persistano nonostante l'applicazione di altri requisiti di cui alla presente sezione.</w:t>
      </w:r>
    </w:p>
    <w:p w14:paraId="191405AE" w14:textId="4DD4CEA8" w:rsidR="00CD6D58" w:rsidRPr="00F973AB" w:rsidRDefault="00CD6D58" w:rsidP="00CD6D58">
      <w:pPr>
        <w:pStyle w:val="doLijstnummering7"/>
        <w:numPr>
          <w:ilvl w:val="1"/>
          <w:numId w:val="6"/>
        </w:numPr>
        <w:rPr>
          <w:sz w:val="22"/>
          <w:szCs w:val="22"/>
          <w:rFonts w:ascii="Arial" w:hAnsi="Arial" w:cs="Arial"/>
        </w:rPr>
      </w:pPr>
      <w:r>
        <w:rPr>
          <w:sz w:val="22"/>
          <w:rFonts w:ascii="Arial" w:hAnsi="Arial"/>
        </w:rPr>
        <w:t xml:space="preserve">Le misure di sorveglianza sono commisurate ai rischi, al livello di autonomia e al contesto di utilizzo del sistema di IA e sono garantite mediante almeno uno dei tipi di misure elencate di seguito.</w:t>
      </w:r>
    </w:p>
    <w:p w14:paraId="163DD6A4" w14:textId="28096A99" w:rsidR="00CE2EF9" w:rsidRPr="00F973AB" w:rsidRDefault="00CE2EF9" w:rsidP="00CE2EF9">
      <w:pPr>
        <w:pStyle w:val="doLijstnummering7"/>
        <w:numPr>
          <w:ilvl w:val="1"/>
          <w:numId w:val="6"/>
        </w:numPr>
        <w:rPr>
          <w:sz w:val="22"/>
          <w:szCs w:val="22"/>
          <w:rFonts w:ascii="Arial" w:hAnsi="Arial" w:cs="Arial"/>
        </w:rPr>
      </w:pPr>
      <w:r>
        <w:rPr>
          <w:sz w:val="22"/>
          <w:bdr w:val="none" w:sz="0" w:space="0" w:color="auto" w:frame="1"/>
          <w:rFonts w:ascii="Arial" w:hAnsi="Arial"/>
        </w:rPr>
        <w:t xml:space="preserve">Il fornitore garantisce che, prima della consegna, nel sistema di IA sono integrate misure adeguate, volte a garantire la sorveglianza umana.</w:t>
      </w:r>
      <w:r>
        <w:rPr>
          <w:sz w:val="22"/>
          <w:bdr w:val="none" w:sz="0" w:space="0" w:color="auto" w:frame="1"/>
          <w:rFonts w:ascii="Arial" w:hAnsi="Arial"/>
        </w:rPr>
        <w:t xml:space="preserve"> </w:t>
      </w:r>
      <w:r>
        <w:rPr>
          <w:sz w:val="22"/>
          <w:bdr w:val="none" w:sz="0" w:space="0" w:color="auto" w:frame="1"/>
          <w:rFonts w:ascii="Arial" w:hAnsi="Arial"/>
        </w:rPr>
        <w:t xml:space="preserve">Tali misure garantiscono che le persone fisiche alle quali è stata affidata la sorveglianza umana abbiano la possibilità, ove opportuno e proporzionato, di:</w:t>
      </w:r>
      <w:r>
        <w:rPr>
          <w:sz w:val="22"/>
          <w:bdr w:val="none" w:sz="0" w:space="0" w:color="auto" w:frame="1"/>
          <w:rFonts w:ascii="Arial" w:hAnsi="Arial"/>
        </w:rPr>
        <w:t xml:space="preserve"> </w:t>
      </w:r>
    </w:p>
    <w:p w14:paraId="5D601A1B" w14:textId="5366B787" w:rsidR="00CE2EF9" w:rsidRPr="00F973AB" w:rsidRDefault="00975D0E" w:rsidP="00CE2EF9">
      <w:pPr>
        <w:pStyle w:val="doLijstnummering7"/>
        <w:numPr>
          <w:ilvl w:val="2"/>
          <w:numId w:val="6"/>
        </w:numPr>
        <w:rPr>
          <w:sz w:val="22"/>
          <w:szCs w:val="22"/>
          <w:rFonts w:ascii="Arial" w:hAnsi="Arial" w:cs="Arial"/>
        </w:rPr>
      </w:pPr>
      <w:r>
        <w:rPr>
          <w:sz w:val="22"/>
          <w:rFonts w:ascii="Arial" w:hAnsi="Arial"/>
        </w:rPr>
        <w:t xml:space="preserve">comprendere </w:t>
      </w:r>
      <w:r>
        <w:rPr>
          <w:sz w:val="22"/>
          <w:bdr w:val="none" w:sz="0" w:space="0" w:color="auto" w:frame="1"/>
          <w:rFonts w:ascii="Arial" w:hAnsi="Arial"/>
        </w:rPr>
        <w:t xml:space="preserve">correttamente le capacità e i limiti pertinenti del sistema di IA ed essere in grado di monitorarne debitamente il funzionamento, anche al fine di individuare e affrontare anomalie, disfunzioni e prestazioni inattese;</w:t>
      </w:r>
    </w:p>
    <w:p w14:paraId="4AD6776B" w14:textId="0B1DA45B" w:rsidR="00CE2EF9" w:rsidRPr="00F973AB" w:rsidRDefault="003216B4" w:rsidP="00CE2EF9">
      <w:pPr>
        <w:pStyle w:val="doLijstnummering7"/>
        <w:numPr>
          <w:ilvl w:val="2"/>
          <w:numId w:val="6"/>
        </w:numPr>
        <w:rPr>
          <w:sz w:val="22"/>
          <w:szCs w:val="22"/>
          <w:rFonts w:ascii="Arial" w:hAnsi="Arial" w:cs="Arial"/>
        </w:rPr>
      </w:pPr>
      <w:r>
        <w:rPr>
          <w:sz w:val="22"/>
          <w:bdr w:val="none" w:sz="0" w:space="0" w:color="auto" w:frame="1"/>
          <w:rFonts w:ascii="Arial" w:hAnsi="Arial"/>
        </w:rPr>
        <w:t xml:space="preserve">restare consapevole della possibile tendenza a fare automaticamente affidamento o a fare eccessivo affidamento sull'output prodotto dal sistema di IA ("distorsione dell'automazione"), in particolare se il sistema di IA è utilizzato per fornire informazioni o raccomandazioni per le decisioni che devono essere prese da persone fisiche;</w:t>
      </w:r>
    </w:p>
    <w:p w14:paraId="20B01625" w14:textId="46C44589" w:rsidR="00CE2EF9" w:rsidRPr="00F973AB" w:rsidRDefault="00CE2EF9" w:rsidP="00CE2EF9">
      <w:pPr>
        <w:pStyle w:val="doLijstnummering7"/>
        <w:numPr>
          <w:ilvl w:val="2"/>
          <w:numId w:val="6"/>
        </w:numPr>
        <w:rPr>
          <w:sz w:val="22"/>
          <w:szCs w:val="22"/>
          <w:rFonts w:ascii="Arial" w:hAnsi="Arial" w:cs="Arial"/>
        </w:rPr>
      </w:pPr>
      <w:r>
        <w:rPr>
          <w:sz w:val="22"/>
          <w:bdr w:val="none" w:sz="0" w:space="0" w:color="auto" w:frame="1"/>
          <w:rFonts w:ascii="Arial" w:hAnsi="Arial"/>
        </w:rPr>
        <w:t xml:space="preserve">interpretare correttamente l'output del sistema di IA, tenendo conto ad esempio delle caratteristiche del sistema e degli strumenti e dei metodi di interpretazione disponibili;</w:t>
      </w:r>
    </w:p>
    <w:p w14:paraId="1E4E4DDA" w14:textId="72AC6199" w:rsidR="00CE2EF9" w:rsidRPr="00F973AB" w:rsidRDefault="00CE2EF9" w:rsidP="00CE2EF9">
      <w:pPr>
        <w:pStyle w:val="doLijstnummering7"/>
        <w:numPr>
          <w:ilvl w:val="2"/>
          <w:numId w:val="6"/>
        </w:numPr>
        <w:rPr>
          <w:sz w:val="22"/>
          <w:szCs w:val="22"/>
          <w:rFonts w:ascii="Arial" w:hAnsi="Arial" w:cs="Arial"/>
        </w:rPr>
      </w:pPr>
      <w:r>
        <w:rPr>
          <w:sz w:val="22"/>
          <w:bdr w:val="none" w:sz="0" w:space="0" w:color="auto" w:frame="1"/>
          <w:rFonts w:ascii="Arial" w:hAnsi="Arial"/>
        </w:rPr>
        <w:t xml:space="preserve">decidere, in qualsiasi situazione particolare, di non usare il sistema di IA o altrimenti di ignorare, annullare o ribaltare l'output del sistema di IA;</w:t>
      </w:r>
    </w:p>
    <w:p w14:paraId="3D0D77D1" w14:textId="64C46959" w:rsidR="00CE2EF9" w:rsidRPr="00F973AB" w:rsidRDefault="00CE2EF9" w:rsidP="003216B4">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intervenire sul funzionamento del sistema di IA o interrompere il sistema mediante un pulsante di "arresto" o una procedura analoga che consenta al sistema di arrestarsi in condizioni di sicurezza.</w:t>
      </w:r>
    </w:p>
    <w:p w14:paraId="48BA5BAD" w14:textId="3262F3FD"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&lt;Facoltativo&gt;</w:t>
      </w:r>
      <w:r>
        <w:rPr>
          <w:sz w:val="22"/>
          <w:rFonts w:ascii="Arial" w:hAnsi="Arial"/>
        </w:rPr>
        <w:t xml:space="preserve"> Per garantire una sorveglianza umana adeguata, il fornitore deve almeno attuare le misure tecniche e organizzative di cui all'</w:t>
      </w:r>
      <w:r>
        <w:rPr>
          <w:sz w:val="22"/>
          <w:b/>
          <w:rFonts w:ascii="Arial" w:hAnsi="Arial"/>
        </w:rPr>
        <w:t xml:space="preserve">allegato F</w:t>
      </w:r>
      <w:r>
        <w:rPr>
          <w:sz w:val="22"/>
          <w:rFonts w:ascii="Arial" w:hAnsi="Arial"/>
        </w:rPr>
        <w:t xml:space="preserve"> prima della consegna del sistema di IA.</w:t>
      </w:r>
    </w:p>
    <w:p w14:paraId="305BD204" w14:textId="77777777" w:rsidR="00CE2EF9" w:rsidRPr="00F973AB" w:rsidRDefault="00CE2EF9" w:rsidP="00CE2EF9">
      <w:pPr>
        <w:pStyle w:val="doLijstnummering7"/>
        <w:numPr>
          <w:ilvl w:val="0"/>
          <w:numId w:val="0"/>
        </w:numPr>
        <w:ind w:left="851"/>
        <w:rPr>
          <w:rFonts w:ascii="Arial" w:hAnsi="Arial" w:cs="Arial"/>
          <w:sz w:val="22"/>
          <w:szCs w:val="22"/>
        </w:rPr>
      </w:pPr>
    </w:p>
    <w:p w14:paraId="4D94B8F2" w14:textId="77777777" w:rsidR="00CE2EF9" w:rsidRPr="00F973AB" w:rsidRDefault="00CE2EF9" w:rsidP="00D33B49">
      <w:pPr>
        <w:pStyle w:val="doLijstnummering7"/>
        <w:rPr>
          <w:sz w:val="22"/>
          <w:szCs w:val="22"/>
          <w:rFonts w:ascii="Arial" w:hAnsi="Arial" w:cs="Arial"/>
        </w:rPr>
      </w:pPr>
      <w:r>
        <w:rPr>
          <w:sz w:val="22"/>
          <w:rFonts w:ascii="Arial" w:hAnsi="Arial"/>
        </w:rPr>
        <w:t xml:space="preserve">Accuratezza, robustezza e cibersicurezza</w:t>
      </w:r>
    </w:p>
    <w:p w14:paraId="5D87FF6B" w14:textId="77777777" w:rsidR="00CE2EF9" w:rsidRPr="00F973AB" w:rsidRDefault="00CE2EF9" w:rsidP="00CE2EF9">
      <w:pPr>
        <w:pStyle w:val="doLijstnummering7"/>
        <w:numPr>
          <w:ilvl w:val="0"/>
          <w:numId w:val="0"/>
        </w:numPr>
        <w:ind w:left="851"/>
        <w:rPr>
          <w:rFonts w:ascii="Arial" w:hAnsi="Arial" w:cs="Arial"/>
          <w:sz w:val="22"/>
          <w:szCs w:val="22"/>
        </w:rPr>
      </w:pPr>
    </w:p>
    <w:p w14:paraId="455E8E1A" w14:textId="169C41B9" w:rsidR="00CE2EF9" w:rsidRPr="00F973AB" w:rsidRDefault="00CE2EF9" w:rsidP="00CE2EF9">
      <w:pPr>
        <w:pStyle w:val="doLijstnummering7"/>
        <w:numPr>
          <w:ilvl w:val="1"/>
          <w:numId w:val="6"/>
        </w:numPr>
        <w:rPr>
          <w:sz w:val="22"/>
          <w:szCs w:val="22"/>
          <w:rFonts w:ascii="Arial" w:hAnsi="Arial" w:cs="Arial"/>
        </w:rPr>
      </w:pPr>
      <w:r>
        <w:rPr>
          <w:sz w:val="22"/>
          <w:bdr w:val="none" w:sz="0" w:space="0" w:color="auto" w:frame="1"/>
          <w:rFonts w:ascii="Arial" w:hAnsi="Arial"/>
        </w:rPr>
        <w:t xml:space="preserve">Il fornitore garantisce che il sistema di IA è stato ed è progettato e </w:t>
      </w:r>
      <w:r>
        <w:rPr>
          <w:sz w:val="22"/>
          <w:rFonts w:ascii="Arial" w:hAnsi="Arial"/>
        </w:rPr>
        <w:t xml:space="preserve">sviluppato in modo tale da raggiungere un adeguato livello di accuratezza, robustezza, sicurezza e cibersicurezza e da operare in modo coerente sotto tali aspetti.</w:t>
      </w:r>
      <w:r>
        <w:rPr>
          <w:sz w:val="22"/>
          <w:rFonts w:ascii="Arial" w:hAnsi="Arial"/>
        </w:rPr>
        <w:t xml:space="preserve"> </w:t>
      </w:r>
    </w:p>
    <w:p w14:paraId="577E5A4E" w14:textId="77777777" w:rsidR="00CE2EF9" w:rsidRPr="00F973AB" w:rsidRDefault="00CE2EF9" w:rsidP="00CE2EF9">
      <w:pPr>
        <w:pStyle w:val="doLijstnummering7"/>
        <w:numPr>
          <w:ilvl w:val="1"/>
          <w:numId w:val="6"/>
        </w:numPr>
        <w:rPr>
          <w:sz w:val="22"/>
          <w:szCs w:val="22"/>
          <w:rFonts w:ascii="Arial" w:hAnsi="Arial" w:cs="Arial"/>
        </w:rPr>
      </w:pPr>
      <w:r>
        <w:rPr>
          <w:sz w:val="22"/>
          <w:bdr w:val="none" w:sz="0" w:space="0" w:color="auto" w:frame="1"/>
          <w:rFonts w:ascii="Arial" w:hAnsi="Arial"/>
        </w:rPr>
        <w:t xml:space="preserve">I livelli di accuratezza e le pertinenti metriche di accuratezza del sistema di IA sono descritti nell'</w:t>
      </w:r>
      <w:r>
        <w:rPr>
          <w:sz w:val="22"/>
          <w:bdr w:val="none" w:sz="0" w:space="0" w:color="auto" w:frame="1"/>
          <w:b/>
          <w:rFonts w:ascii="Arial" w:hAnsi="Arial"/>
        </w:rPr>
        <w:t xml:space="preserve">allegato G</w:t>
      </w:r>
      <w:r>
        <w:rPr>
          <w:sz w:val="22"/>
          <w:bdr w:val="none" w:sz="0" w:space="0" w:color="auto" w:frame="1"/>
          <w:rFonts w:ascii="Arial" w:hAnsi="Arial"/>
        </w:rPr>
        <w:t xml:space="preserve">.</w:t>
      </w:r>
    </w:p>
    <w:p w14:paraId="255B3A87" w14:textId="039205CA" w:rsidR="00CE2EF9" w:rsidRPr="00F973AB" w:rsidRDefault="003C2AF0" w:rsidP="00CE2EF9">
      <w:pPr>
        <w:pStyle w:val="doLijstnummering7"/>
        <w:numPr>
          <w:ilvl w:val="1"/>
          <w:numId w:val="6"/>
        </w:numPr>
        <w:rPr>
          <w:sz w:val="22"/>
          <w:szCs w:val="22"/>
          <w:rFonts w:ascii="Arial" w:hAnsi="Arial" w:cs="Arial"/>
        </w:rPr>
      </w:pPr>
      <w:r>
        <w:rPr>
          <w:sz w:val="22"/>
          <w:rFonts w:ascii="Arial" w:hAnsi="Arial"/>
        </w:rPr>
        <w:t xml:space="preserve">Per garantire un livello adeguato di robustezza, sicurezza e cibersicurezza, il fornitore deve almeno attuare le misure tecniche e organizzative di cui all'</w:t>
      </w:r>
      <w:r>
        <w:rPr>
          <w:sz w:val="22"/>
          <w:b/>
          <w:rFonts w:ascii="Arial" w:hAnsi="Arial"/>
        </w:rPr>
        <w:t xml:space="preserve">allegato H</w:t>
      </w:r>
      <w:r>
        <w:rPr>
          <w:sz w:val="22"/>
          <w:rFonts w:ascii="Arial" w:hAnsi="Arial"/>
        </w:rPr>
        <w:t xml:space="preserve"> prima della consegna del sistema di IA.</w:t>
      </w:r>
      <w:r>
        <w:rPr>
          <w:sz w:val="22"/>
          <w:rFonts w:ascii="Arial" w:hAnsi="Arial"/>
        </w:rPr>
        <w:t xml:space="preserve"> </w:t>
      </w:r>
    </w:p>
    <w:p w14:paraId="2C43D5E4" w14:textId="44B7A154" w:rsidR="009813B5" w:rsidRPr="002F066E" w:rsidRDefault="009813B5" w:rsidP="009813B5">
      <w:pPr>
        <w:pStyle w:val="ListParagraph"/>
        <w:numPr>
          <w:ilvl w:val="1"/>
          <w:numId w:val="6"/>
        </w:numPr>
        <w:rPr>
          <w:color w:val="auto"/>
          <w:sz w:val="22"/>
          <w:szCs w:val="22"/>
          <w:rFonts w:eastAsia="Times New Roman"/>
        </w:rPr>
      </w:pPr>
      <w:r>
        <w:rPr>
          <w:color w:val="auto"/>
          <w:sz w:val="22"/>
        </w:rPr>
        <w:t xml:space="preserve">Il presente requisito lascia impregiudicati i requisiti derivanti dall'articolo 15 della legge sull'IA.</w:t>
      </w:r>
    </w:p>
    <w:p w14:paraId="32934CE0" w14:textId="77777777" w:rsidR="009813B5" w:rsidRPr="00F973AB" w:rsidRDefault="009813B5" w:rsidP="00564A63">
      <w:pPr>
        <w:pStyle w:val="doLijstnummering7"/>
        <w:numPr>
          <w:ilvl w:val="0"/>
          <w:numId w:val="0"/>
        </w:numPr>
        <w:ind w:left="709"/>
        <w:rPr>
          <w:rFonts w:ascii="Arial" w:hAnsi="Arial" w:cs="Arial"/>
          <w:sz w:val="22"/>
          <w:szCs w:val="22"/>
        </w:rPr>
      </w:pPr>
    </w:p>
    <w:p w14:paraId="37E11EDE" w14:textId="77777777" w:rsidR="00CE2EF9" w:rsidRPr="00F973AB" w:rsidRDefault="00CE2EF9" w:rsidP="00CE2EF9">
      <w:pPr>
        <w:pStyle w:val="doLijstnummering7"/>
        <w:numPr>
          <w:ilvl w:val="0"/>
          <w:numId w:val="0"/>
        </w:numPr>
        <w:ind w:left="709"/>
        <w:rPr>
          <w:rFonts w:ascii="Arial" w:hAnsi="Arial" w:cs="Arial"/>
          <w:sz w:val="22"/>
          <w:szCs w:val="22"/>
        </w:rPr>
      </w:pPr>
    </w:p>
    <w:p w14:paraId="5269EB9C" w14:textId="77777777" w:rsidR="00C56C58" w:rsidRPr="00F973AB" w:rsidRDefault="00C56C58" w:rsidP="00CE2EF9">
      <w:pPr>
        <w:pStyle w:val="doLijstnummering7"/>
        <w:numPr>
          <w:ilvl w:val="0"/>
          <w:numId w:val="0"/>
        </w:numPr>
        <w:ind w:left="709"/>
        <w:rPr>
          <w:rFonts w:ascii="Arial" w:hAnsi="Arial" w:cs="Arial"/>
          <w:sz w:val="22"/>
          <w:szCs w:val="22"/>
        </w:rPr>
      </w:pPr>
    </w:p>
    <w:p w14:paraId="4480AC05" w14:textId="77777777" w:rsidR="00CE2EF9" w:rsidRPr="00F973AB" w:rsidRDefault="00CE2EF9" w:rsidP="00A74620">
      <w:pPr>
        <w:spacing w:after="240"/>
        <w:rPr>
          <w:b/>
          <w:bCs/>
          <w:sz w:val="26"/>
          <w:szCs w:val="26"/>
          <w:rFonts w:ascii="Arial" w:hAnsi="Arial" w:cs="Arial"/>
        </w:rPr>
      </w:pPr>
      <w:r>
        <w:rPr>
          <w:b/>
          <w:sz w:val="26"/>
          <w:rFonts w:ascii="Arial" w:hAnsi="Arial"/>
        </w:rPr>
        <w:t xml:space="preserve">Sezione C – Obblighi del fornitore in relazione al sistema di IA</w:t>
      </w:r>
    </w:p>
    <w:p w14:paraId="17540852" w14:textId="77777777" w:rsidR="00CE2EF9" w:rsidRPr="00F973AB" w:rsidRDefault="00CE2EF9" w:rsidP="00CE2EF9">
      <w:pPr>
        <w:pStyle w:val="doLijstnummering7"/>
        <w:rPr>
          <w:sz w:val="22"/>
          <w:szCs w:val="22"/>
          <w:rFonts w:ascii="Arial" w:hAnsi="Arial" w:cs="Arial"/>
        </w:rPr>
      </w:pPr>
      <w:r>
        <w:rPr>
          <w:sz w:val="22"/>
          <w:rFonts w:ascii="Arial" w:hAnsi="Arial"/>
        </w:rPr>
        <w:t xml:space="preserve">Conformità alla sezione B</w:t>
      </w:r>
    </w:p>
    <w:p w14:paraId="0DCFF6BA" w14:textId="77777777" w:rsidR="00CE2EF9" w:rsidRPr="00F973AB" w:rsidRDefault="00CE2EF9" w:rsidP="00CE2EF9">
      <w:pPr>
        <w:pStyle w:val="doLijstnummering7"/>
        <w:numPr>
          <w:ilvl w:val="0"/>
          <w:numId w:val="0"/>
        </w:numPr>
        <w:ind w:left="851"/>
        <w:rPr>
          <w:rFonts w:ascii="Arial" w:hAnsi="Arial" w:cs="Arial"/>
          <w:sz w:val="22"/>
          <w:szCs w:val="22"/>
        </w:rPr>
      </w:pPr>
    </w:p>
    <w:p w14:paraId="7E38F53D" w14:textId="61EF8E48" w:rsidR="00CE2EF9" w:rsidRPr="00F973AB" w:rsidRDefault="00CE2EF9" w:rsidP="00CE2EF9">
      <w:pPr>
        <w:pStyle w:val="doLijstnummering7"/>
        <w:numPr>
          <w:ilvl w:val="0"/>
          <w:numId w:val="0"/>
        </w:numPr>
        <w:ind w:left="709"/>
        <w:rPr>
          <w:b/>
          <w:bCs/>
          <w:iCs/>
          <w:sz w:val="22"/>
          <w:szCs w:val="22"/>
          <w:rFonts w:ascii="Arial" w:hAnsi="Arial" w:cs="Arial"/>
        </w:rPr>
      </w:pPr>
      <w:r>
        <w:rPr>
          <w:sz w:val="22"/>
          <w:bdr w:val="none" w:sz="0" w:space="0" w:color="auto" w:frame="1"/>
          <w:rFonts w:ascii="Arial" w:hAnsi="Arial"/>
        </w:rPr>
        <w:t xml:space="preserve">Il fornitore deve garantire che, dalla consegna del sistema di IA fino al termine del periodo di validità dell'accordo, il sistema di IA sia conforme ai requisiti di cui alla sezione B delle presenti CCT-IA-Alto-Rischio.</w:t>
      </w:r>
    </w:p>
    <w:p w14:paraId="6A2523C9" w14:textId="77777777" w:rsidR="00CE2EF9" w:rsidRPr="00F973AB" w:rsidRDefault="00CE2EF9" w:rsidP="00CE2EF9">
      <w:pPr>
        <w:pStyle w:val="doLijstnummering7"/>
        <w:numPr>
          <w:ilvl w:val="0"/>
          <w:numId w:val="0"/>
        </w:numPr>
        <w:ind w:left="709"/>
        <w:rPr>
          <w:rFonts w:ascii="Arial" w:hAnsi="Arial" w:cs="Arial"/>
          <w:b/>
          <w:bCs/>
          <w:iCs/>
          <w:sz w:val="22"/>
          <w:szCs w:val="22"/>
        </w:rPr>
      </w:pPr>
    </w:p>
    <w:p w14:paraId="2DDAD553" w14:textId="4415C3A5" w:rsidR="00CE2EF9" w:rsidRPr="00F973AB" w:rsidRDefault="00CE2EF9" w:rsidP="00CE2EF9">
      <w:pPr>
        <w:pStyle w:val="doLijstnummering7"/>
        <w:rPr>
          <w:sz w:val="22"/>
          <w:szCs w:val="22"/>
          <w:rFonts w:ascii="Arial" w:hAnsi="Arial" w:cs="Arial"/>
        </w:rPr>
      </w:pPr>
      <w:r>
        <w:rPr>
          <w:sz w:val="22"/>
          <w:rFonts w:ascii="Arial" w:hAnsi="Arial"/>
        </w:rPr>
        <w:t xml:space="preserve">Sistema di gestione della qualità</w:t>
      </w:r>
      <w:r>
        <w:rPr>
          <w:sz w:val="22"/>
          <w:rFonts w:ascii="Arial" w:hAnsi="Arial"/>
        </w:rPr>
        <w:t xml:space="preserve"> </w:t>
      </w:r>
    </w:p>
    <w:p w14:paraId="3F369BEE"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2D08DDF1" w14:textId="0354D97A" w:rsidR="00D81335" w:rsidRPr="002F066E" w:rsidRDefault="00CE2EF9" w:rsidP="00CE2EF9">
      <w:pPr>
        <w:pStyle w:val="doLijstnummering7"/>
        <w:numPr>
          <w:ilvl w:val="1"/>
          <w:numId w:val="6"/>
        </w:numPr>
        <w:rPr>
          <w:noProof/>
          <w:sz w:val="22"/>
          <w:szCs w:val="22"/>
          <w:rFonts w:ascii="Arial" w:hAnsi="Arial" w:cs="Arial"/>
        </w:rPr>
      </w:pPr>
      <w:r>
        <w:rPr>
          <w:sz w:val="22"/>
          <w:rFonts w:ascii="Arial" w:hAnsi="Arial"/>
        </w:rPr>
        <w:t xml:space="preserve">Prima della consegna del sistema di IA, il fornitore istituisce un sistema di gestione della qualità che garantisce la conformità alle presenti CCT-IA-Alto-Rischio.</w:t>
      </w:r>
      <w:r>
        <w:rPr>
          <w:sz w:val="22"/>
          <w:rFonts w:ascii="Arial" w:hAnsi="Arial"/>
        </w:rPr>
        <w:t xml:space="preserve"> </w:t>
      </w:r>
    </w:p>
    <w:p w14:paraId="48373048" w14:textId="6927E061" w:rsidR="00CE2EF9" w:rsidRPr="002F066E" w:rsidRDefault="00D81335" w:rsidP="00CE2EF9">
      <w:pPr>
        <w:pStyle w:val="doLijstnummering7"/>
        <w:numPr>
          <w:ilvl w:val="1"/>
          <w:numId w:val="6"/>
        </w:numPr>
        <w:rPr>
          <w:noProof/>
          <w:sz w:val="22"/>
          <w:szCs w:val="22"/>
          <w:rFonts w:ascii="Arial" w:hAnsi="Arial" w:cs="Arial"/>
        </w:rPr>
      </w:pPr>
      <w:r>
        <w:rPr>
          <w:sz w:val="22"/>
          <w:rFonts w:ascii="Arial" w:hAnsi="Arial"/>
        </w:rPr>
        <w:t xml:space="preserve">Il sistema di gestione della qualità è documentato in modo sistematico e ordinato sotto forma di politiche, procedure e istruzioni scritte e comprende almeno i seguenti aspetti:</w:t>
      </w:r>
    </w:p>
    <w:p w14:paraId="084409CF"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una strategia per il rispetto della normativa;</w:t>
      </w:r>
    </w:p>
    <w:p w14:paraId="353900E6"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le tecniche, le procedure e gli interventi sistematici da utilizzare per la progettazione, il controllo della progettazione e la verifica della progettazione del sistema di IA;</w:t>
      </w:r>
    </w:p>
    <w:p w14:paraId="66E441F5"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le tecniche, le procedure e gli interventi sistematici da utilizzare per lo sviluppo e per il controllo e la garanzia della qualità del sistema di IA;</w:t>
      </w:r>
    </w:p>
    <w:p w14:paraId="5DC33C01"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le procedure di esame, prova e convalida da effettuare prima, durante e dopo lo sviluppo del sistema di IA e la frequenza con cui devono essere effettuate;</w:t>
      </w:r>
    </w:p>
    <w:p w14:paraId="25E1D0B3" w14:textId="1D8BCDA3"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le specifiche tecniche, comprese le norme, da applicare e, qualora le pertinenti norme armonizzate non siano applicate integralmente</w:t>
      </w:r>
      <w:r>
        <w:rPr>
          <w:sz w:val="22"/>
          <w:rFonts w:ascii="Arial" w:hAnsi="Arial"/>
        </w:rPr>
        <w:t xml:space="preserve"> o non contemplino tutti i requisiti </w:t>
      </w:r>
      <w:r>
        <w:rPr>
          <w:sz w:val="22"/>
          <w:bdr w:val="none" w:sz="0" w:space="0" w:color="auto" w:frame="1"/>
          <w:rFonts w:ascii="Arial" w:hAnsi="Arial"/>
        </w:rPr>
        <w:t xml:space="preserve">pertinenti, i mezzi da usare per garantire che il sistema di IA sia conforme ai requisiti di cui alla sezione B delle presenti CCT-IA-Alto-Rischio;</w:t>
      </w:r>
    </w:p>
    <w:p w14:paraId="631030CD"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i sistemi e le procedure per la gestione dei dati, compresa la raccolta, l'acquisizione, l'analisi, l'etichettatura, l'archiviazione, la filtrazione, l'estrazione, l'aggregazione, la conservazione dei dati e qualsiasi altra operazione riguardante i dati effettuata prima della consegna del sistema di IA;</w:t>
      </w:r>
    </w:p>
    <w:p w14:paraId="7F2D1723"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il sistema di gestione dei rischi di cui all'articolo 2;</w:t>
      </w:r>
    </w:p>
    <w:p w14:paraId="7FDDA4C7" w14:textId="28A8394F"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le procedure relative alla segnalazione di incidenti gravi;</w:t>
      </w:r>
    </w:p>
    <w:p w14:paraId="72907D66" w14:textId="0E06772E" w:rsidR="005A49B9" w:rsidRPr="00F973AB" w:rsidRDefault="005A49B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la gestione della comunicazione con le autorità nazionali competenti, altre autorità pertinenti, comprese quelle che forniscono o sostengono l'accesso ai dati, gli organismi notificati, altri operatori, clienti o altre parti interessate;</w:t>
      </w:r>
    </w:p>
    <w:p w14:paraId="75076B4A"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i sistemi e le procedure per la conservazione delle registrazioni e di tutte le informazioni e la documentazione pertinenti;</w:t>
      </w:r>
    </w:p>
    <w:p w14:paraId="38ABDF9B"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la gestione delle risorse, comprese le misure relative alla sicurezza dell'approvvigionamento;</w:t>
      </w:r>
    </w:p>
    <w:p w14:paraId="34AE228A" w14:textId="58AB520E"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un quadro di responsabilità che definisca le responsabilità della dirigenza e di altro personale per quanto riguarda tutti gli aspetti elencati nel presente paragrafo.</w:t>
      </w:r>
    </w:p>
    <w:p w14:paraId="176FCAD2" w14:textId="77777777" w:rsidR="00636C8D" w:rsidRPr="00F973AB" w:rsidRDefault="00636C8D" w:rsidP="00636C8D">
      <w:pPr>
        <w:pStyle w:val="doLijstnummering7"/>
        <w:numPr>
          <w:ilvl w:val="1"/>
          <w:numId w:val="6"/>
        </w:numPr>
        <w:rPr>
          <w:sz w:val="22"/>
          <w:szCs w:val="22"/>
          <w:rFonts w:ascii="Arial" w:hAnsi="Arial" w:cs="Arial"/>
        </w:rPr>
      </w:pPr>
      <w:r>
        <w:rPr>
          <w:sz w:val="22"/>
          <w:rFonts w:ascii="Arial" w:hAnsi="Arial"/>
        </w:rPr>
        <w:t xml:space="preserve">Durante il periodo di validità dell'accordo, il fornitore deve mantenere a disposizione la documentazione relativa al sistema di gestione della qualità.</w:t>
      </w:r>
      <w:r>
        <w:rPr>
          <w:sz w:val="22"/>
          <w:rFonts w:ascii="Arial" w:hAnsi="Arial"/>
        </w:rPr>
        <w:t xml:space="preserve"> </w:t>
      </w:r>
      <w:r>
        <w:rPr>
          <w:sz w:val="22"/>
          <w:rFonts w:ascii="Arial" w:hAnsi="Arial"/>
        </w:rPr>
        <w:t xml:space="preserve">Su prima richiesta dell'organizzazione pubblica, il fornitore consegna a quest'ultima la versione più recente della documentazione relativa al sistema di gestione della qualità.</w:t>
      </w:r>
    </w:p>
    <w:p w14:paraId="36C4A717" w14:textId="77777777" w:rsidR="00CE2EF9" w:rsidRPr="002F066E" w:rsidRDefault="00CE2EF9" w:rsidP="00564A63">
      <w:pPr>
        <w:pStyle w:val="doLijstnummering7"/>
        <w:numPr>
          <w:ilvl w:val="0"/>
          <w:numId w:val="0"/>
        </w:numPr>
        <w:ind w:left="709"/>
        <w:rPr>
          <w:rFonts w:ascii="Arial" w:hAnsi="Arial" w:cs="Arial"/>
          <w:sz w:val="22"/>
          <w:szCs w:val="22"/>
        </w:rPr>
      </w:pPr>
    </w:p>
    <w:p w14:paraId="314AFE2A" w14:textId="3F77D26E" w:rsidR="00CE2EF9" w:rsidRPr="00F973AB" w:rsidRDefault="00CE2EF9" w:rsidP="00CE2EF9">
      <w:pPr>
        <w:pStyle w:val="doLijstnummering7"/>
        <w:rPr>
          <w:sz w:val="22"/>
          <w:szCs w:val="22"/>
          <w:rFonts w:ascii="Arial" w:hAnsi="Arial" w:cs="Arial"/>
        </w:rPr>
      </w:pPr>
      <w:r>
        <w:rPr>
          <w:sz w:val="22"/>
          <w:rFonts w:ascii="Arial" w:hAnsi="Arial"/>
        </w:rPr>
        <w:t xml:space="preserve">Valutazione della conformità</w:t>
      </w:r>
      <w:r>
        <w:rPr>
          <w:sz w:val="22"/>
          <w:rFonts w:ascii="Arial" w:hAnsi="Arial"/>
        </w:rPr>
        <w:t xml:space="preserve"> </w:t>
      </w:r>
    </w:p>
    <w:p w14:paraId="25055ED0" w14:textId="77777777" w:rsidR="00CE2EF9" w:rsidRPr="00F973AB" w:rsidRDefault="00CE2EF9" w:rsidP="00CE2EF9">
      <w:pPr>
        <w:pStyle w:val="doLijstnummering7"/>
        <w:numPr>
          <w:ilvl w:val="0"/>
          <w:numId w:val="0"/>
        </w:numPr>
        <w:ind w:left="851"/>
        <w:rPr>
          <w:rFonts w:ascii="Arial" w:hAnsi="Arial" w:cs="Arial"/>
          <w:sz w:val="22"/>
          <w:szCs w:val="22"/>
        </w:rPr>
      </w:pPr>
    </w:p>
    <w:p w14:paraId="5A1304F6"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Il fornitore garantisce che il sistema di IA è sottoposto alla seguente procedura di valutazione della conformità prima della consegna dello stesso.</w:t>
      </w:r>
    </w:p>
    <w:p w14:paraId="26B24270" w14:textId="72D09CA6"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Il fornitore verifica che il sistema di gestione della qualità istituito rispetta i requisiti di cui all'articolo 10.</w:t>
      </w:r>
      <w:r>
        <w:rPr>
          <w:sz w:val="22"/>
          <w:rFonts w:ascii="Arial" w:hAnsi="Arial"/>
        </w:rPr>
        <w:t xml:space="preserve"> </w:t>
      </w:r>
    </w:p>
    <w:p w14:paraId="1FAB79D6" w14:textId="2501FE6D"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Il fornitore esamina le informazioni contenute nella documentazione tecnica per valutare la conformità del sistema di IA ai pertinenti requisiti essenziali di cui alla sezione B delle presenti CCT-IA-Alto-Rischio.</w:t>
      </w:r>
    </w:p>
    <w:p w14:paraId="106DD499" w14:textId="77777777"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Il fornitore verifica inoltre che il processo di progettazione e sviluppo del sistema di IA sia coerente con la documentazione tecnica.</w:t>
      </w:r>
    </w:p>
    <w:p w14:paraId="60819A7E" w14:textId="77777777" w:rsidR="00CE2EF9" w:rsidRPr="002F066E" w:rsidRDefault="00CE2EF9" w:rsidP="00CE2EF9">
      <w:pPr>
        <w:pStyle w:val="doLijstnummering7"/>
        <w:numPr>
          <w:ilvl w:val="1"/>
          <w:numId w:val="6"/>
        </w:numPr>
        <w:rPr>
          <w:sz w:val="22"/>
          <w:szCs w:val="22"/>
          <w:rFonts w:ascii="Arial" w:hAnsi="Arial" w:cs="Arial"/>
        </w:rPr>
      </w:pPr>
      <w:r>
        <w:rPr>
          <w:sz w:val="22"/>
          <w:rFonts w:ascii="Arial" w:hAnsi="Arial"/>
        </w:rPr>
        <w:t xml:space="preserve">Il fornitore garantisce che il sistema di IA è sottoposto a una nuova procedura di valutazione della conformità ogniqualvolta il fornitore vi apporti una modifica sostanziale durante il periodo di validità dell'accordo.</w:t>
      </w:r>
      <w:r>
        <w:rPr>
          <w:sz w:val="22"/>
          <w:rFonts w:ascii="Arial" w:hAnsi="Arial"/>
        </w:rPr>
        <w:t xml:space="preserve"> </w:t>
      </w:r>
    </w:p>
    <w:p w14:paraId="191F9E28" w14:textId="77777777" w:rsidR="008F5F39" w:rsidRPr="002F066E" w:rsidRDefault="008F5F39" w:rsidP="00564A63">
      <w:pPr>
        <w:pStyle w:val="doLijstnummering7"/>
        <w:numPr>
          <w:ilvl w:val="0"/>
          <w:numId w:val="0"/>
        </w:numPr>
        <w:ind w:left="709"/>
        <w:rPr>
          <w:rFonts w:ascii="Arial" w:hAnsi="Arial" w:cs="Arial"/>
          <w:sz w:val="22"/>
          <w:szCs w:val="22"/>
        </w:rPr>
      </w:pPr>
    </w:p>
    <w:p w14:paraId="6710B45B" w14:textId="77777777" w:rsidR="00CE2EF9" w:rsidRPr="002F066E" w:rsidRDefault="00CE2EF9" w:rsidP="00CE2EF9">
      <w:pPr>
        <w:pStyle w:val="doLijstnummering7"/>
        <w:numPr>
          <w:ilvl w:val="0"/>
          <w:numId w:val="0"/>
        </w:numPr>
        <w:ind w:left="709"/>
        <w:rPr>
          <w:rFonts w:ascii="Arial" w:hAnsi="Arial" w:cs="Arial"/>
          <w:sz w:val="22"/>
          <w:szCs w:val="22"/>
        </w:rPr>
      </w:pPr>
    </w:p>
    <w:p w14:paraId="06E3E612" w14:textId="368646C6" w:rsidR="002C7FA3" w:rsidRPr="002F066E" w:rsidRDefault="00C77C3E" w:rsidP="00CE2EF9">
      <w:pPr>
        <w:pStyle w:val="doLijstnummering7"/>
        <w:rPr>
          <w:noProof/>
          <w:sz w:val="22"/>
          <w:szCs w:val="22"/>
          <w:rFonts w:ascii="Arial" w:hAnsi="Arial" w:cs="Arial"/>
        </w:rPr>
      </w:pPr>
      <w:r>
        <w:rPr>
          <w:sz w:val="22"/>
          <w:b/>
          <w:rFonts w:ascii="Arial" w:hAnsi="Arial"/>
        </w:rPr>
        <w:t xml:space="preserve">&lt;Facoltativo&gt; </w:t>
      </w:r>
      <w:r>
        <w:rPr>
          <w:sz w:val="22"/>
          <w:rFonts w:ascii="Arial" w:hAnsi="Arial"/>
        </w:rPr>
        <w:t xml:space="preserve">Valutazione dell'impatto sui diritti fondamentali</w:t>
      </w:r>
    </w:p>
    <w:p w14:paraId="6FFE004D" w14:textId="77777777" w:rsidR="002C7FA3" w:rsidRPr="002F066E" w:rsidRDefault="002C7FA3" w:rsidP="00564A63">
      <w:pPr>
        <w:pStyle w:val="doLijstnummering7"/>
        <w:numPr>
          <w:ilvl w:val="0"/>
          <w:numId w:val="0"/>
        </w:numPr>
        <w:ind w:left="851"/>
        <w:rPr>
          <w:rFonts w:ascii="Arial" w:hAnsi="Arial" w:cs="Arial"/>
          <w:noProof/>
          <w:sz w:val="22"/>
          <w:szCs w:val="22"/>
        </w:rPr>
      </w:pPr>
    </w:p>
    <w:p w14:paraId="7E5E79E9" w14:textId="0B9A69CF" w:rsidR="002C7FA3" w:rsidRPr="008A1402" w:rsidRDefault="00C77C3E" w:rsidP="00564A63">
      <w:pPr>
        <w:pStyle w:val="doLijstnummering7"/>
        <w:numPr>
          <w:ilvl w:val="0"/>
          <w:numId w:val="0"/>
        </w:numPr>
        <w:ind w:left="851"/>
        <w:rPr>
          <w:noProof/>
          <w:sz w:val="22"/>
          <w:szCs w:val="22"/>
          <w:rFonts w:ascii="Arial" w:hAnsi="Arial" w:cs="Arial"/>
        </w:rPr>
      </w:pPr>
      <w:r>
        <w:rPr>
          <w:sz w:val="22"/>
          <w:b/>
          <w:rFonts w:ascii="Arial" w:hAnsi="Arial"/>
        </w:rPr>
        <w:t xml:space="preserve">&lt;Facoltativo&gt; </w:t>
      </w:r>
      <w:r>
        <w:rPr>
          <w:sz w:val="22"/>
          <w:rFonts w:ascii="Arial" w:hAnsi="Arial"/>
        </w:rPr>
        <w:t xml:space="preserve">Su prima richiesta dell'organizzazione pubblica, il fornitore collabora all'esecuzione da parte dell'organizzazione pubblica di una valutazione dell'impatto sui diritti fondamentali che l'uso del sistema di IA può comportare.</w:t>
      </w:r>
    </w:p>
    <w:p w14:paraId="0977EE3D" w14:textId="77777777" w:rsidR="002C7FA3" w:rsidRPr="008A1402" w:rsidRDefault="002C7FA3" w:rsidP="00564A63">
      <w:pPr>
        <w:pStyle w:val="doLijstnummering7"/>
        <w:numPr>
          <w:ilvl w:val="0"/>
          <w:numId w:val="0"/>
        </w:numPr>
        <w:ind w:left="851" w:hanging="851"/>
        <w:rPr>
          <w:rFonts w:ascii="Arial" w:hAnsi="Arial" w:cs="Arial"/>
          <w:noProof/>
          <w:sz w:val="22"/>
          <w:szCs w:val="22"/>
          <w:lang w:val="en-IE"/>
        </w:rPr>
      </w:pPr>
    </w:p>
    <w:p w14:paraId="58FB40BF" w14:textId="77777777" w:rsidR="00CE2EF9" w:rsidRPr="008A1402" w:rsidRDefault="00CE2EF9" w:rsidP="00CE2EF9">
      <w:pPr>
        <w:pStyle w:val="doLijstnummering7"/>
        <w:rPr>
          <w:noProof/>
          <w:sz w:val="22"/>
          <w:szCs w:val="22"/>
          <w:rFonts w:ascii="Arial" w:hAnsi="Arial" w:cs="Arial"/>
        </w:rPr>
      </w:pPr>
      <w:r>
        <w:rPr>
          <w:sz w:val="22"/>
          <w:rFonts w:ascii="Arial" w:hAnsi="Arial"/>
        </w:rPr>
        <w:t xml:space="preserve">Misure correttive</w:t>
      </w:r>
      <w:r>
        <w:rPr>
          <w:sz w:val="22"/>
          <w:rFonts w:ascii="Arial" w:hAnsi="Arial"/>
        </w:rPr>
        <w:t xml:space="preserve"> </w:t>
      </w:r>
    </w:p>
    <w:p w14:paraId="39EFCE22" w14:textId="77777777" w:rsidR="00CE2EF9" w:rsidRPr="008A1402" w:rsidRDefault="00CE2EF9" w:rsidP="00CE2EF9">
      <w:pPr>
        <w:pStyle w:val="doLijstnummering7"/>
        <w:numPr>
          <w:ilvl w:val="0"/>
          <w:numId w:val="0"/>
        </w:numPr>
        <w:ind w:left="851"/>
        <w:rPr>
          <w:rFonts w:ascii="Arial" w:hAnsi="Arial" w:cs="Arial"/>
          <w:noProof/>
          <w:sz w:val="22"/>
          <w:szCs w:val="22"/>
          <w:lang w:val="en-IE"/>
        </w:rPr>
      </w:pPr>
    </w:p>
    <w:p w14:paraId="3FC3B3A9" w14:textId="4EAEEA90" w:rsidR="00CE2EF9" w:rsidRPr="008A1402" w:rsidRDefault="00CE2EF9" w:rsidP="00CE2EF9">
      <w:pPr>
        <w:pStyle w:val="doLijstnummering7"/>
        <w:numPr>
          <w:ilvl w:val="0"/>
          <w:numId w:val="0"/>
        </w:numPr>
        <w:ind w:left="709"/>
        <w:rPr>
          <w:noProof/>
          <w:sz w:val="22"/>
          <w:szCs w:val="22"/>
          <w:rFonts w:ascii="Arial" w:hAnsi="Arial" w:cs="Arial"/>
        </w:rPr>
      </w:pPr>
      <w:r>
        <w:rPr>
          <w:sz w:val="22"/>
          <w:rFonts w:ascii="Arial" w:hAnsi="Arial"/>
        </w:rPr>
        <w:t xml:space="preserve">Se durante il periodo di validità dell'accordo il fornitore ritiene o ha motivo di ritenere che il sistema di IA non sia conforme alle presenti CCT-IA-Alto-Rischio, in risposta a un'osservazione dell'organizzazione pubblica o meno, adotta immediatamente le misure correttive necessarie per rendere conforme il sistema.</w:t>
      </w:r>
      <w:r>
        <w:rPr>
          <w:sz w:val="22"/>
          <w:rFonts w:ascii="Arial" w:hAnsi="Arial"/>
        </w:rPr>
        <w:t xml:space="preserve"> </w:t>
      </w:r>
      <w:r>
        <w:rPr>
          <w:sz w:val="22"/>
          <w:rFonts w:ascii="Arial" w:hAnsi="Arial"/>
        </w:rPr>
        <w:t xml:space="preserve">Il fornitore ne informa l'organizzazione pubblica.</w:t>
      </w:r>
    </w:p>
    <w:p w14:paraId="51D034E8" w14:textId="77777777" w:rsidR="00CE2EF9" w:rsidRPr="00F973AB" w:rsidRDefault="00CE2EF9" w:rsidP="00CE2EF9">
      <w:pPr>
        <w:pStyle w:val="doLijstnummering7"/>
        <w:numPr>
          <w:ilvl w:val="0"/>
          <w:numId w:val="0"/>
        </w:numPr>
        <w:ind w:left="709"/>
        <w:rPr>
          <w:rFonts w:ascii="Arial" w:hAnsi="Arial" w:cs="Arial"/>
          <w:sz w:val="22"/>
          <w:szCs w:val="22"/>
        </w:rPr>
      </w:pPr>
    </w:p>
    <w:p w14:paraId="3B8A924E" w14:textId="452280E4" w:rsidR="00CE2EF9" w:rsidRPr="00F973AB" w:rsidRDefault="00C77C3E" w:rsidP="002C7FA3">
      <w:pPr>
        <w:pStyle w:val="doLijstnummering7"/>
      </w:pPr>
      <w:r>
        <w:rPr>
          <w:sz w:val="22"/>
          <w:b/>
          <w:rFonts w:ascii="Arial" w:hAnsi="Arial"/>
        </w:rPr>
        <w:t xml:space="preserve">&lt;Facoltativo&gt;</w:t>
      </w:r>
      <w:r>
        <w:rPr>
          <w:sz w:val="22"/>
          <w:rFonts w:ascii="Arial" w:hAnsi="Arial"/>
        </w:rPr>
        <w:t xml:space="preserve"> Obbligo di spiegazione dei singoli processi decisionali</w:t>
      </w:r>
    </w:p>
    <w:p w14:paraId="4E1B9500" w14:textId="77777777" w:rsidR="00CE2EF9" w:rsidRPr="00F973AB" w:rsidRDefault="00CE2EF9" w:rsidP="00CE2EF9">
      <w:pPr>
        <w:pStyle w:val="doLijstnummering7"/>
        <w:numPr>
          <w:ilvl w:val="0"/>
          <w:numId w:val="0"/>
        </w:numPr>
        <w:ind w:left="851"/>
        <w:rPr>
          <w:rFonts w:ascii="Arial" w:hAnsi="Arial" w:cs="Arial"/>
          <w:sz w:val="22"/>
          <w:szCs w:val="22"/>
        </w:rPr>
      </w:pPr>
    </w:p>
    <w:p w14:paraId="132FF29A" w14:textId="4F837ACD" w:rsidR="009B4B27" w:rsidRPr="00F973AB" w:rsidRDefault="0012712E" w:rsidP="00C77C3E">
      <w:pPr>
        <w:pStyle w:val="doLijstnummering7"/>
        <w:numPr>
          <w:ilvl w:val="1"/>
          <w:numId w:val="6"/>
        </w:numPr>
        <w:rPr>
          <w:sz w:val="22"/>
          <w:szCs w:val="22"/>
          <w:rFonts w:ascii="Arial" w:hAnsi="Arial" w:cs="Arial"/>
        </w:rPr>
      </w:pPr>
      <w:r>
        <w:rPr>
          <w:sz w:val="22"/>
          <w:b/>
          <w:rFonts w:ascii="Arial" w:hAnsi="Arial"/>
        </w:rPr>
        <w:t xml:space="preserve">&lt;Facoltativo&gt;</w:t>
      </w:r>
      <w:r>
        <w:rPr>
          <w:sz w:val="22"/>
          <w:rFonts w:ascii="Arial" w:hAnsi="Arial"/>
        </w:rPr>
        <w:t xml:space="preserve"> In aggiunta agli obblighi di cui all'articolo 6, il fornitore è tenuto ad assistere l'organizzazione pubblica, su sua prima richiesta, nel fornire una spiegazione chiara e significativa sul ruolo del sistema di IA nella procedura decisionale.</w:t>
      </w:r>
      <w:r>
        <w:rPr>
          <w:sz w:val="22"/>
          <w:rFonts w:ascii="Arial" w:hAnsi="Arial"/>
        </w:rPr>
        <w:t xml:space="preserve"> </w:t>
      </w:r>
      <w:r>
        <w:rPr>
          <w:sz w:val="22"/>
          <w:rFonts w:ascii="Arial" w:hAnsi="Arial"/>
        </w:rPr>
        <w:t xml:space="preserve">Tale spiegazione significativa dovrebbe fornire, in particolare (seppur non esclusivamente), approfondimenti sui principali elementi della decisione o delle decisioni adottate a qualsiasi persona interessata oggetto di una o più decisioni dell'organizzazione pubblica basate sull'output del sistema di IA.</w:t>
      </w:r>
    </w:p>
    <w:p w14:paraId="49D8BAB6" w14:textId="7261D6C6"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&lt;Facoltativo&gt;</w:t>
      </w:r>
      <w:r>
        <w:rPr>
          <w:sz w:val="22"/>
          <w:rFonts w:ascii="Arial" w:hAnsi="Arial"/>
        </w:rPr>
        <w:t xml:space="preserve"> L'obbligo di cui al paragrafo 14.1 comprende la comunicazione all'organizzazione pubblica di tutte le informazioni tecniche e di altro tipo necessarie al fine di spiegare in che modo il sistema di IA ha prodotto un determinato output e di offrire alle persone interessate l'opportunità di verificare il modo in cui il sistema di IA ha prodotto un determinato output.</w:t>
      </w:r>
      <w:r>
        <w:rPr>
          <w:sz w:val="22"/>
          <w:rFonts w:ascii="Arial" w:hAnsi="Arial"/>
        </w:rPr>
        <w:t xml:space="preserve"> </w:t>
      </w:r>
      <w:r>
        <w:rPr>
          <w:sz w:val="22"/>
          <w:rFonts w:ascii="Arial" w:hAnsi="Arial"/>
        </w:rPr>
        <w:t xml:space="preserve">Il fornitore concede all'organizzazione pubblica il diritto di utilizzare, condividere e divulgare tali informazioni, se e nella misura necessaria, per informare di conseguenza le persone interessate.</w:t>
      </w:r>
    </w:p>
    <w:p w14:paraId="1A7FA37F" w14:textId="2B9AF792"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&lt;Facoltativo&gt;</w:t>
      </w:r>
      <w:r>
        <w:rPr>
          <w:sz w:val="22"/>
          <w:rFonts w:ascii="Arial" w:hAnsi="Arial"/>
        </w:rPr>
        <w:t xml:space="preserve"> Gli obblighi di cui ai paragrafi 14.1 e 14.2 riguardano il codice sorgente del sistema di IA, le specifiche tecniche utilizzate nello sviluppo del sistema di IA, i set di dati, le informazioni tecniche sul modo in cui sono stati ottenuti e modificati i set di dati utilizzati nello sviluppo del sistema di IA, le informazioni sul metodo di sviluppo utilizzato e sul processo di sviluppo intrapreso, la giustificazione della scelta di un determinato modello e dei suoi parametri, nonché informazioni sulle prestazioni del sistema di IA.</w:t>
      </w:r>
    </w:p>
    <w:p w14:paraId="52778463" w14:textId="77777777" w:rsidR="004C37ED" w:rsidRPr="00F973AB" w:rsidRDefault="004C37ED" w:rsidP="00564A63">
      <w:pPr>
        <w:pStyle w:val="doLijstnummering7"/>
        <w:numPr>
          <w:ilvl w:val="0"/>
          <w:numId w:val="0"/>
        </w:numPr>
        <w:ind w:left="709"/>
        <w:rPr>
          <w:rFonts w:ascii="Arial" w:hAnsi="Arial" w:cs="Arial"/>
          <w:sz w:val="22"/>
          <w:szCs w:val="22"/>
        </w:rPr>
      </w:pPr>
    </w:p>
    <w:p w14:paraId="562E5257" w14:textId="77777777" w:rsidR="00C56C58" w:rsidRPr="00F973AB" w:rsidRDefault="00C56C58" w:rsidP="00CE2EF9">
      <w:pPr>
        <w:pStyle w:val="doLijstnummering7"/>
        <w:numPr>
          <w:ilvl w:val="0"/>
          <w:numId w:val="0"/>
        </w:numPr>
        <w:rPr>
          <w:rFonts w:ascii="Arial" w:hAnsi="Arial" w:cs="Arial"/>
          <w:sz w:val="22"/>
          <w:szCs w:val="22"/>
        </w:rPr>
      </w:pPr>
    </w:p>
    <w:p w14:paraId="4A19A640" w14:textId="77777777" w:rsidR="00CE2EF9" w:rsidRPr="00F973AB" w:rsidRDefault="00CE2EF9" w:rsidP="00D33B49">
      <w:pPr>
        <w:spacing w:before="120" w:after="240"/>
        <w:rPr>
          <w:b/>
          <w:sz w:val="26"/>
          <w:szCs w:val="26"/>
          <w:rFonts w:ascii="Arial" w:hAnsi="Arial" w:cs="Arial"/>
        </w:rPr>
      </w:pPr>
      <w:r>
        <w:rPr>
          <w:b/>
          <w:sz w:val="26"/>
          <w:rFonts w:ascii="Arial" w:hAnsi="Arial"/>
        </w:rPr>
        <w:t xml:space="preserve">Sezione D – Diritti di utilizzo dei set di dati</w:t>
      </w:r>
    </w:p>
    <w:p w14:paraId="550BCC80" w14:textId="77777777" w:rsidR="00CE2EF9" w:rsidRPr="00F973AB" w:rsidRDefault="00CE2EF9" w:rsidP="00CE2EF9">
      <w:pPr>
        <w:pStyle w:val="doLijstnummering7"/>
        <w:rPr>
          <w:sz w:val="22"/>
          <w:szCs w:val="22"/>
          <w:rFonts w:ascii="Arial" w:hAnsi="Arial" w:cs="Arial"/>
        </w:rPr>
      </w:pPr>
      <w:r>
        <w:rPr>
          <w:sz w:val="22"/>
          <w:rFonts w:ascii="Arial" w:hAnsi="Arial"/>
        </w:rPr>
        <w:t xml:space="preserve">Diritti ai set di dati dell'organizzazione pubblica</w:t>
      </w:r>
    </w:p>
    <w:p w14:paraId="40B12FE1" w14:textId="77777777" w:rsidR="00CE2EF9" w:rsidRPr="00F973AB" w:rsidRDefault="00CE2EF9" w:rsidP="00CE2EF9">
      <w:pPr>
        <w:pStyle w:val="doLijstnummering7"/>
        <w:numPr>
          <w:ilvl w:val="0"/>
          <w:numId w:val="0"/>
        </w:numPr>
        <w:ind w:left="709"/>
        <w:rPr>
          <w:rFonts w:ascii="Arial" w:hAnsi="Arial" w:cs="Arial"/>
          <w:sz w:val="22"/>
          <w:szCs w:val="22"/>
        </w:rPr>
      </w:pPr>
    </w:p>
    <w:p w14:paraId="68869B5C"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Tutti i diritti, compresi quelli di proprietà intellettuale, relativi ai set di dati dell'organizzazione pubblica spettano all'organizzazione pubblica o a un terzo che la stessa ha designato come tale.</w:t>
      </w:r>
      <w:r>
        <w:rPr>
          <w:sz w:val="22"/>
          <w:rFonts w:ascii="Arial" w:hAnsi="Arial"/>
        </w:rPr>
        <w:t xml:space="preserve"> </w:t>
      </w:r>
    </w:p>
    <w:p w14:paraId="0F030359"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Il fornitore non è autorizzato a utilizzare i set di dati dell'organizzazione pubblica per scopi diversi dall'esecuzione dell'accordo, salvo disposizioni contrarie contenute nell'allegato B.</w:t>
      </w:r>
    </w:p>
    <w:p w14:paraId="01A42888"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Su prima richiesta dell'organizzazione pubblica, il fornitore deve distruggerne i set di dati, salvo disposizioni contrarie contenute nell'allegato B.</w:t>
      </w:r>
      <w:r>
        <w:rPr>
          <w:sz w:val="22"/>
          <w:rFonts w:ascii="Arial" w:hAnsi="Arial"/>
        </w:rPr>
        <w:t xml:space="preserve"> </w:t>
      </w:r>
      <w:r>
        <w:rPr>
          <w:sz w:val="22"/>
          <w:rFonts w:ascii="Arial" w:hAnsi="Arial"/>
        </w:rPr>
        <w:t xml:space="preserve">Se l'organizzazione pubblica lo richiede, il fornitore deve presentare prove verosimili della distruzione dei set di dati dell'organizzazione pubblica.</w:t>
      </w:r>
    </w:p>
    <w:p w14:paraId="11B3898E" w14:textId="77777777" w:rsidR="00CE2EF9" w:rsidRPr="00F973AB" w:rsidRDefault="00CE2EF9" w:rsidP="00CE2EF9">
      <w:pPr>
        <w:pStyle w:val="doLijstnummering7"/>
        <w:numPr>
          <w:ilvl w:val="0"/>
          <w:numId w:val="0"/>
        </w:numPr>
        <w:ind w:left="709"/>
        <w:rPr>
          <w:rFonts w:ascii="Arial" w:hAnsi="Arial" w:cs="Arial"/>
          <w:sz w:val="22"/>
          <w:szCs w:val="22"/>
        </w:rPr>
      </w:pPr>
    </w:p>
    <w:p w14:paraId="2FB0BD24" w14:textId="144D52B8" w:rsidR="00CE2EF9" w:rsidRPr="00F973AB" w:rsidRDefault="00CE2EF9" w:rsidP="00CE2EF9">
      <w:pPr>
        <w:pStyle w:val="doLijstnummering7"/>
        <w:rPr>
          <w:sz w:val="22"/>
          <w:szCs w:val="22"/>
          <w:rFonts w:ascii="Arial" w:hAnsi="Arial" w:cs="Arial"/>
        </w:rPr>
      </w:pPr>
      <w:r>
        <w:rPr>
          <w:sz w:val="22"/>
          <w:rFonts w:ascii="Arial" w:hAnsi="Arial"/>
        </w:rPr>
        <w:t xml:space="preserve">Diritti relativi ai set di dati del fornitore e di terzi</w:t>
      </w:r>
    </w:p>
    <w:p w14:paraId="2A54E808"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165643DA" w14:textId="756B08C0"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Tutti i diritti, compresi quelli di proprietà intellettuale, relativi ai set di dati del fornitore e di terzi spettano al fornitore o a terzi.</w:t>
      </w:r>
      <w:r>
        <w:rPr>
          <w:sz w:val="22"/>
          <w:rFonts w:ascii="Arial" w:hAnsi="Arial"/>
        </w:rPr>
        <w:t xml:space="preserve"> </w:t>
      </w:r>
    </w:p>
    <w:p w14:paraId="0675C23A" w14:textId="57572060"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Il fornitore concede all'organizzazione pubblica il diritto non esclusivo di utilizzare i set di dati propri e di terzi che è in ogni caso sufficiente per l'esecuzione delle disposizioni dell'accordo, CCT-IA-Alto-Rischio incluse, salvo disposizioni contrarie contenute nell'allegato B.</w:t>
      </w:r>
    </w:p>
    <w:p w14:paraId="6EA8D37E" w14:textId="378C3B57"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&lt;Facoltativo&gt; </w:t>
      </w:r>
      <w:r>
        <w:rPr>
          <w:sz w:val="22"/>
          <w:rFonts w:ascii="Arial" w:hAnsi="Arial"/>
        </w:rPr>
        <w:t xml:space="preserve">Il diritto d'uso di cui al paragrafo 16.2 comprende il diritto di utilizzare i set di dati del fornitore e di terzi per l'ulteriore sviluppo del sistema di IA, comprese eventuali nuove versioni, da parte dell'organizzazione pubblica o di terzi.</w:t>
      </w:r>
      <w:r>
        <w:rPr>
          <w:sz w:val="22"/>
          <w:rFonts w:ascii="Arial" w:hAnsi="Arial"/>
        </w:rPr>
        <w:t xml:space="preserve"> </w:t>
      </w:r>
    </w:p>
    <w:p w14:paraId="5DC6759B" w14:textId="77777777" w:rsidR="009B4B27" w:rsidRPr="00F973AB" w:rsidRDefault="009B4B27" w:rsidP="00564A63">
      <w:pPr>
        <w:pStyle w:val="doLijstnummering7"/>
        <w:numPr>
          <w:ilvl w:val="0"/>
          <w:numId w:val="0"/>
        </w:numPr>
        <w:ind w:left="709"/>
        <w:rPr>
          <w:rFonts w:ascii="Arial" w:hAnsi="Arial" w:cs="Arial"/>
          <w:sz w:val="22"/>
          <w:szCs w:val="22"/>
        </w:rPr>
      </w:pPr>
    </w:p>
    <w:p w14:paraId="219AA20A" w14:textId="0E263393" w:rsidR="00CE2EF9" w:rsidRPr="00F973AB" w:rsidRDefault="009B4B27" w:rsidP="00CE2EF9">
      <w:pPr>
        <w:pStyle w:val="doLijstnummering7"/>
        <w:rPr>
          <w:sz w:val="22"/>
          <w:szCs w:val="22"/>
          <w:rFonts w:ascii="Arial" w:hAnsi="Arial" w:cs="Arial"/>
        </w:rPr>
      </w:pPr>
      <w:r>
        <w:rPr>
          <w:sz w:val="22"/>
          <w:rFonts w:ascii="Arial" w:hAnsi="Arial"/>
        </w:rPr>
        <w:t xml:space="preserve">Consegna dei set di dati</w:t>
      </w:r>
    </w:p>
    <w:p w14:paraId="44470E3C"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74F9DAE7" w14:textId="15A422A9"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Su prima richiesta dell'organizzazione pubblica, il fornitore consegna a quest'ultima la versione più recente dei set di dati dell'organizzazione pubblica.</w:t>
      </w:r>
    </w:p>
    <w:p w14:paraId="304FB838" w14:textId="1AD1DC3C"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Su prima richiesta dell'organizzazione pubblica, il fornitore consegna a quest'ultima la versione più recente dei set di dati propri e di terzi, salvo disposizioni contrarie contenute nell'allegato B.</w:t>
      </w:r>
      <w:r>
        <w:rPr>
          <w:sz w:val="22"/>
          <w:rFonts w:ascii="Arial" w:hAnsi="Arial"/>
        </w:rPr>
        <w:t xml:space="preserve"> </w:t>
      </w:r>
    </w:p>
    <w:p w14:paraId="7D5B102F" w14:textId="67D7327A"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Il fornitore deve consegnare all'organizzazione pubblica i set di dati, utilizzando il formato di file comune indicato dall'organizzazione pubblica.</w:t>
      </w:r>
      <w:r>
        <w:rPr>
          <w:sz w:val="22"/>
          <w:rFonts w:ascii="Arial" w:hAnsi="Arial"/>
        </w:rPr>
        <w:t xml:space="preserve"> </w:t>
      </w:r>
      <w:r>
        <w:rPr>
          <w:sz w:val="22"/>
          <w:b/>
          <w:rFonts w:ascii="Arial" w:hAnsi="Arial"/>
        </w:rPr>
        <w:t xml:space="preserve">&lt;Facoltativo&gt; </w:t>
      </w:r>
      <w:r>
        <w:rPr>
          <w:sz w:val="22"/>
          <w:b/>
          <w:rFonts w:ascii="Arial" w:hAnsi="Arial"/>
        </w:rPr>
        <w:t xml:space="preserve">I set di dati saranno restituiti secondo le modalità seguenti:</w:t>
      </w:r>
      <w:r>
        <w:rPr>
          <w:sz w:val="22"/>
          <w:b/>
          <w:rFonts w:ascii="Arial" w:hAnsi="Arial"/>
        </w:rPr>
        <w:t xml:space="preserve"> </w:t>
      </w:r>
      <w:r>
        <w:rPr>
          <w:sz w:val="22"/>
          <w:b/>
          <w:rFonts w:ascii="Arial" w:hAnsi="Arial"/>
        </w:rPr>
        <w:t xml:space="preserve">[formato dei file].</w:t>
      </w:r>
    </w:p>
    <w:p w14:paraId="2988E518" w14:textId="77777777" w:rsidR="00CE2EF9" w:rsidRPr="00F973AB" w:rsidRDefault="00CE2EF9" w:rsidP="00CE2EF9">
      <w:pPr>
        <w:pStyle w:val="doLijstnummering7"/>
        <w:numPr>
          <w:ilvl w:val="0"/>
          <w:numId w:val="0"/>
        </w:numPr>
        <w:ind w:left="709"/>
        <w:rPr>
          <w:rFonts w:ascii="Arial" w:hAnsi="Arial" w:cs="Arial"/>
          <w:sz w:val="22"/>
          <w:szCs w:val="22"/>
        </w:rPr>
      </w:pPr>
    </w:p>
    <w:p w14:paraId="03C993AD" w14:textId="77777777" w:rsidR="00CE2EF9" w:rsidRPr="00F973AB" w:rsidRDefault="00CE2EF9" w:rsidP="00CE2EF9">
      <w:pPr>
        <w:pStyle w:val="doLijstnummering7"/>
        <w:rPr>
          <w:sz w:val="22"/>
          <w:szCs w:val="22"/>
          <w:rFonts w:ascii="Arial" w:hAnsi="Arial" w:cs="Arial"/>
        </w:rPr>
      </w:pPr>
      <w:r>
        <w:rPr>
          <w:sz w:val="22"/>
          <w:rFonts w:ascii="Arial" w:hAnsi="Arial"/>
        </w:rPr>
        <w:t xml:space="preserve">Indennizzi</w:t>
      </w:r>
    </w:p>
    <w:p w14:paraId="67331209" w14:textId="77777777" w:rsidR="00CE2EF9" w:rsidRPr="00F973AB" w:rsidRDefault="00CE2EF9" w:rsidP="00CE2EF9">
      <w:pPr>
        <w:pStyle w:val="doLijstnummering7"/>
        <w:numPr>
          <w:ilvl w:val="0"/>
          <w:numId w:val="0"/>
        </w:numPr>
        <w:ind w:left="851"/>
        <w:rPr>
          <w:rFonts w:ascii="Arial" w:hAnsi="Arial" w:cs="Arial"/>
          <w:sz w:val="22"/>
          <w:szCs w:val="22"/>
        </w:rPr>
      </w:pPr>
    </w:p>
    <w:p w14:paraId="2D47DA55" w14:textId="68C3EDFE" w:rsidR="00CE2EF9" w:rsidRPr="00F973AB" w:rsidRDefault="00CE2EF9" w:rsidP="002C7FA3">
      <w:pPr>
        <w:pStyle w:val="doLijstnummering7"/>
        <w:numPr>
          <w:ilvl w:val="1"/>
          <w:numId w:val="6"/>
        </w:numPr>
        <w:rPr>
          <w:sz w:val="22"/>
          <w:szCs w:val="22"/>
          <w:rFonts w:ascii="Arial" w:hAnsi="Arial" w:cs="Arial"/>
        </w:rPr>
      </w:pPr>
      <w:r>
        <w:rPr>
          <w:sz w:val="22"/>
          <w:rFonts w:ascii="Arial" w:hAnsi="Arial"/>
        </w:rPr>
        <w:t xml:space="preserve">Il fornitore manleva l'organizzazione pubblica da tutte le richieste d'indennizzo presentate da terzi, comprese le autorità di vigilanza, derivanti da qualsiasi violazione dei diritti di proprietà intellettuale, dei diritti di protezione dei dati o di diritti equivalenti risultante dall'uso del sistema di IA, dei set di dati del fornitore e/o dei set di dati di terzi da parte dell'organizzazione pubblica.</w:t>
      </w:r>
      <w:r>
        <w:rPr>
          <w:sz w:val="22"/>
          <w:rFonts w:ascii="Arial" w:hAnsi="Arial"/>
        </w:rPr>
        <w:t xml:space="preserve"> </w:t>
      </w:r>
    </w:p>
    <w:p w14:paraId="388FBA68" w14:textId="6E1A7CB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L'organizzazione pubblica manleva il fornitore da tutte le richieste d'indennizzo presentate da terzi, comprese le autorità di vigilanza, derivanti da qualsiasi violazione dei diritti di proprietà intellettuale, dei diritti alla vita privata o di diritti equivalenti risultante dall'uso dei set di dati dell'organizzazione pubblica.</w:t>
      </w:r>
      <w:r>
        <w:rPr>
          <w:sz w:val="22"/>
          <w:rFonts w:ascii="Arial" w:hAnsi="Arial"/>
        </w:rPr>
        <w:t xml:space="preserve"> </w:t>
      </w:r>
    </w:p>
    <w:p w14:paraId="7CEF0537" w14:textId="77777777" w:rsidR="00CE2EF9" w:rsidRPr="00F973AB" w:rsidRDefault="00CE2EF9" w:rsidP="00CE2EF9">
      <w:pPr>
        <w:pStyle w:val="doLijstnummering7"/>
        <w:numPr>
          <w:ilvl w:val="0"/>
          <w:numId w:val="0"/>
        </w:numPr>
        <w:rPr>
          <w:rFonts w:ascii="Arial" w:hAnsi="Arial" w:cs="Arial"/>
          <w:sz w:val="22"/>
          <w:szCs w:val="22"/>
        </w:rPr>
      </w:pPr>
    </w:p>
    <w:p w14:paraId="78A7FC39" w14:textId="77777777" w:rsidR="00C56C58" w:rsidRPr="00F973AB" w:rsidRDefault="00C56C58" w:rsidP="00CE2EF9">
      <w:pPr>
        <w:pStyle w:val="doLijstnummering7"/>
        <w:numPr>
          <w:ilvl w:val="0"/>
          <w:numId w:val="0"/>
        </w:numPr>
        <w:rPr>
          <w:rFonts w:ascii="Arial" w:hAnsi="Arial" w:cs="Arial"/>
          <w:sz w:val="22"/>
          <w:szCs w:val="22"/>
        </w:rPr>
      </w:pPr>
    </w:p>
    <w:p w14:paraId="5F84109D" w14:textId="77777777" w:rsidR="00CE2EF9" w:rsidRPr="00F973AB" w:rsidRDefault="00CE2EF9" w:rsidP="00D33B49">
      <w:pPr>
        <w:spacing w:before="120" w:after="240"/>
        <w:rPr>
          <w:b/>
          <w:sz w:val="26"/>
          <w:szCs w:val="26"/>
          <w:rFonts w:ascii="Arial" w:hAnsi="Arial" w:cs="Arial"/>
        </w:rPr>
      </w:pPr>
      <w:r>
        <w:rPr>
          <w:b/>
          <w:sz w:val="26"/>
          <w:rFonts w:ascii="Arial" w:hAnsi="Arial"/>
        </w:rPr>
        <w:t xml:space="preserve">Sezione E – Registro dell'IA e audit</w:t>
      </w:r>
      <w:r>
        <w:rPr>
          <w:b/>
          <w:sz w:val="26"/>
          <w:rFonts w:ascii="Arial" w:hAnsi="Arial"/>
        </w:rPr>
        <w:t xml:space="preserve"> </w:t>
      </w:r>
    </w:p>
    <w:p w14:paraId="687E4541" w14:textId="77777777" w:rsidR="00CE2EF9" w:rsidRPr="00F973AB" w:rsidRDefault="00CE2EF9" w:rsidP="00CE2EF9">
      <w:pPr>
        <w:pStyle w:val="doLijstnummering7"/>
        <w:rPr>
          <w:sz w:val="22"/>
          <w:szCs w:val="22"/>
          <w:rFonts w:ascii="Arial" w:hAnsi="Arial" w:cs="Arial"/>
        </w:rPr>
      </w:pPr>
      <w:r>
        <w:rPr>
          <w:sz w:val="22"/>
          <w:b/>
          <w:rFonts w:ascii="Arial" w:hAnsi="Arial"/>
        </w:rPr>
        <w:t xml:space="preserve">&lt;Facoltativo&gt;</w:t>
      </w:r>
      <w:r>
        <w:rPr>
          <w:sz w:val="22"/>
          <w:rFonts w:ascii="Arial" w:hAnsi="Arial"/>
        </w:rPr>
        <w:t xml:space="preserve"> Registro dell'IA</w:t>
      </w:r>
    </w:p>
    <w:p w14:paraId="4F33AFDF" w14:textId="77777777" w:rsidR="00CE2EF9" w:rsidRPr="00F973AB" w:rsidRDefault="00CE2EF9" w:rsidP="00CE2EF9">
      <w:pPr>
        <w:pStyle w:val="doLijstnummering7"/>
        <w:numPr>
          <w:ilvl w:val="0"/>
          <w:numId w:val="0"/>
        </w:numPr>
        <w:ind w:left="851"/>
        <w:rPr>
          <w:rFonts w:ascii="Arial" w:hAnsi="Arial" w:cs="Arial"/>
          <w:sz w:val="22"/>
          <w:szCs w:val="22"/>
        </w:rPr>
      </w:pPr>
    </w:p>
    <w:p w14:paraId="0CEECF03"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Su prima richiesta dell'organizzazione pubblica, il fornitore trasmetterà a quest'ultima la versione più recente delle informazioni di cui agli allegati C e D.</w:t>
      </w:r>
    </w:p>
    <w:p w14:paraId="40886721" w14:textId="092F684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L'organizzazione pubblica avrà il diritto di condividere con terzi le informazioni di cui al paragrafo 19.1 e di divulgarle, ad esempio in un registro per i sistemi di IA.</w:t>
      </w:r>
      <w:r>
        <w:rPr>
          <w:sz w:val="22"/>
          <w:rFonts w:ascii="Arial" w:hAnsi="Arial"/>
        </w:rPr>
        <w:t xml:space="preserve"> </w:t>
      </w:r>
    </w:p>
    <w:p w14:paraId="4BE929F0"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Se l'organizzazione pubblica lo richiede, il fornitore presterà assistenza per la registrazione dei sistemi di IA in qualsiasi registro pertinente.</w:t>
      </w:r>
    </w:p>
    <w:p w14:paraId="4AFACAEE" w14:textId="77777777" w:rsidR="00CE2EF9" w:rsidRPr="00F973AB" w:rsidRDefault="00CE2EF9" w:rsidP="00CE2EF9">
      <w:pPr>
        <w:pStyle w:val="doLijstnummering7"/>
        <w:numPr>
          <w:ilvl w:val="0"/>
          <w:numId w:val="0"/>
        </w:numPr>
        <w:ind w:left="851"/>
        <w:rPr>
          <w:rFonts w:ascii="Arial" w:hAnsi="Arial" w:cs="Arial"/>
          <w:sz w:val="22"/>
          <w:szCs w:val="22"/>
        </w:rPr>
      </w:pPr>
    </w:p>
    <w:p w14:paraId="1247F823" w14:textId="77777777" w:rsidR="00CE2EF9" w:rsidRPr="00F973AB" w:rsidRDefault="00CE2EF9" w:rsidP="00CE2EF9">
      <w:pPr>
        <w:pStyle w:val="doLijstnummering7"/>
        <w:rPr>
          <w:sz w:val="22"/>
          <w:szCs w:val="22"/>
          <w:rFonts w:ascii="Arial" w:hAnsi="Arial" w:cs="Arial"/>
        </w:rPr>
      </w:pPr>
      <w:r>
        <w:rPr>
          <w:sz w:val="22"/>
          <w:rFonts w:ascii="Arial" w:hAnsi="Arial"/>
        </w:rPr>
        <w:t xml:space="preserve">Conformità e audit</w:t>
      </w:r>
    </w:p>
    <w:p w14:paraId="6E070ADD" w14:textId="77777777" w:rsidR="00CE2EF9" w:rsidRPr="00F973AB" w:rsidRDefault="00CE2EF9" w:rsidP="00CE2EF9">
      <w:pPr>
        <w:pStyle w:val="doLijstnummering7"/>
        <w:numPr>
          <w:ilvl w:val="0"/>
          <w:numId w:val="0"/>
        </w:numPr>
        <w:ind w:left="851"/>
        <w:rPr>
          <w:rFonts w:ascii="Arial" w:hAnsi="Arial" w:cs="Arial"/>
          <w:sz w:val="22"/>
          <w:szCs w:val="22"/>
        </w:rPr>
      </w:pPr>
    </w:p>
    <w:p w14:paraId="1F38AA50" w14:textId="7AC01F91"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Su prima richiesta dell'organizzazione pubblica, il fornitore deve mettere a disposizione di quest'ultima tutte le informazioni necessarie per dimostrare la conformità alle presenti CCT-IA-Alto-Rischio.</w:t>
      </w:r>
    </w:p>
    <w:p w14:paraId="5BEA7370" w14:textId="3787EB39"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Il fornitore è tenuto a collaborare a un audit o ad altri tipi di ispezioni che devono essere effettuati dall'organizzazione pubblica o per suo conto al fine di valutare se il fornitore adempia in qualsiasi momento agli obblighi stabiliti nelle presenti CCT-IA-Alto-Rischio.</w:t>
      </w:r>
      <w:r>
        <w:rPr>
          <w:sz w:val="22"/>
          <w:rFonts w:ascii="Arial" w:hAnsi="Arial"/>
        </w:rPr>
        <w:t xml:space="preserve"> </w:t>
      </w:r>
      <w:r>
        <w:rPr>
          <w:sz w:val="22"/>
          <w:rFonts w:ascii="Arial" w:hAnsi="Arial"/>
        </w:rPr>
        <w:t xml:space="preserve">Tale collaborazione prevedrà la comunicazione di tutte le informazioni richieste dall'organizzazione pubblica, la comunicazione di informazioni sul sistema di gestione dei rischi attuato, la messa a disposizione del personale del fornitore per i colloqui e la garanzia di accesso alle sedi del fornitore.</w:t>
      </w:r>
    </w:p>
    <w:p w14:paraId="4C5B6841"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L'organizzazione pubblica redige o fa redigere una relazione nella quale sono registrate le conclusioni dell'audit.</w:t>
      </w:r>
      <w:r>
        <w:rPr>
          <w:sz w:val="22"/>
          <w:rFonts w:ascii="Arial" w:hAnsi="Arial"/>
        </w:rPr>
        <w:t xml:space="preserve"> </w:t>
      </w:r>
      <w:r>
        <w:rPr>
          <w:sz w:val="22"/>
          <w:rFonts w:ascii="Arial" w:hAnsi="Arial"/>
        </w:rPr>
        <w:t xml:space="preserve">Nella relazione l'organizzazione pubblica indica in che misura il fornitore adempie agli obblighi previsti dall'accordo.</w:t>
      </w:r>
      <w:r>
        <w:rPr>
          <w:sz w:val="22"/>
          <w:rFonts w:ascii="Arial" w:hAnsi="Arial"/>
        </w:rPr>
        <w:t xml:space="preserve"> </w:t>
      </w:r>
      <w:r>
        <w:rPr>
          <w:sz w:val="22"/>
          <w:rFonts w:ascii="Arial" w:hAnsi="Arial"/>
        </w:rPr>
        <w:t xml:space="preserve">Se l'organizzazione pubblica stabilisce che il fornitore non adempie agli obblighi di cui al presente articolo, il fornitore è tenuto a porre rimedio ai difetti individuati dall'organizzazione pubblica entro un termine ragionevole fissato dalla stessa nella relazione.</w:t>
      </w:r>
      <w:r>
        <w:rPr>
          <w:sz w:val="22"/>
          <w:rFonts w:ascii="Arial" w:hAnsi="Arial"/>
        </w:rPr>
        <w:t xml:space="preserve"> </w:t>
      </w:r>
      <w:r>
        <w:rPr>
          <w:sz w:val="22"/>
          <w:rFonts w:ascii="Arial" w:hAnsi="Arial"/>
        </w:rPr>
        <w:t xml:space="preserve">Se il fornitore non pone rimedio ai difetti individuati dall'organizzazione pubblica entro il termine fissato nella relazione per porvi rimedio, il fornitore sarà inadempiente per legge.</w:t>
      </w:r>
    </w:p>
    <w:p w14:paraId="69BB53E9" w14:textId="7457B2C2"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L'organizzazione pubblica avrà il diritto di pubblicare le conclusioni della relazione di cui al paragrafo 20.3.</w:t>
      </w:r>
      <w:r>
        <w:rPr>
          <w:sz w:val="22"/>
          <w:rFonts w:ascii="Arial" w:hAnsi="Arial"/>
        </w:rPr>
        <w:t xml:space="preserve"> </w:t>
      </w:r>
    </w:p>
    <w:p w14:paraId="528F0ABA"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L'organizzazione pubblica avrà il diritto di eseguire o di far eseguire un audit una volta per anno civile o in relazione a qualsiasi modifica sostanziale</w:t>
      </w:r>
    </w:p>
    <w:p w14:paraId="549B6FCA"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e potrà decidere che l'audit sia interamente o parzialmente eseguito da un revisore indipendente.</w:t>
      </w:r>
    </w:p>
    <w:p w14:paraId="6A1C79A3" w14:textId="1DF2CA70" w:rsidR="00CE2EF9" w:rsidRPr="00F973AB" w:rsidRDefault="00CE2EF9" w:rsidP="00CE2EF9">
      <w:pPr>
        <w:pStyle w:val="doLijstnummering7"/>
        <w:numPr>
          <w:ilvl w:val="1"/>
          <w:numId w:val="6"/>
        </w:numPr>
        <w:rPr>
          <w:b/>
          <w:i/>
          <w:sz w:val="22"/>
          <w:szCs w:val="22"/>
          <w:rFonts w:ascii="Arial" w:hAnsi="Arial" w:cs="Arial"/>
        </w:rPr>
      </w:pPr>
      <w:r>
        <w:rPr>
          <w:sz w:val="22"/>
          <w:rFonts w:ascii="Arial" w:hAnsi="Arial"/>
        </w:rPr>
        <w:t xml:space="preserve">Gli eventuali costi per il revisore che l'organizzazione pubblica deve assumere sono a carico della stessa.</w:t>
      </w:r>
      <w:r>
        <w:rPr>
          <w:sz w:val="22"/>
          <w:rFonts w:ascii="Arial" w:hAnsi="Arial"/>
        </w:rPr>
        <w:t xml:space="preserve"> </w:t>
      </w:r>
      <w:r>
        <w:rPr>
          <w:sz w:val="22"/>
          <w:rFonts w:ascii="Arial" w:hAnsi="Arial"/>
        </w:rPr>
        <w:t xml:space="preserve">L'organizzazione pubblica verserà al fornitore un corrispettivo ragionevole per eventuali costi da questo sostenuti nell'ambito dell'audit.</w:t>
      </w:r>
      <w:r>
        <w:rPr>
          <w:sz w:val="22"/>
          <w:rFonts w:ascii="Arial" w:hAnsi="Arial"/>
        </w:rPr>
        <w:t xml:space="preserve"> </w:t>
      </w:r>
      <w:r>
        <w:rPr>
          <w:sz w:val="22"/>
          <w:rFonts w:ascii="Arial" w:hAnsi="Arial"/>
        </w:rPr>
        <w:t xml:space="preserve">In nessun caso una controversia in merito all'importo di tale corrispettivo darà al fornitore il diritto di sospendere gli obblighi che gli incombono in virtù delle presenti CCT-IA-Alto-Rischio.</w:t>
      </w:r>
      <w:r>
        <w:rPr>
          <w:sz w:val="22"/>
          <w:rFonts w:ascii="Arial" w:hAnsi="Arial"/>
        </w:rPr>
        <w:t xml:space="preserve"> </w:t>
      </w:r>
      <w:r>
        <w:rPr>
          <w:sz w:val="22"/>
          <w:rFonts w:ascii="Arial" w:hAnsi="Arial"/>
        </w:rPr>
        <w:t xml:space="preserve">L'organizzazione pubblica non è tenuta a pagare tale corrispettivo se dall'audit risulta che il fornitore non ha adempiuto agli obblighi previsti dalle presenti CCT-IA-Alto-Rischio.</w:t>
      </w:r>
    </w:p>
    <w:p w14:paraId="61735993" w14:textId="77777777" w:rsidR="00CE2EF9" w:rsidRPr="00F973AB" w:rsidRDefault="00CE2EF9" w:rsidP="00CE2EF9">
      <w:pPr>
        <w:rPr>
          <w:rFonts w:ascii="Arial" w:hAnsi="Arial" w:cs="Arial"/>
          <w:b/>
          <w:i/>
          <w:sz w:val="22"/>
          <w:szCs w:val="22"/>
        </w:rPr>
      </w:pPr>
    </w:p>
    <w:p w14:paraId="214043CE" w14:textId="77777777" w:rsidR="00C56C58" w:rsidRPr="00F973AB" w:rsidRDefault="00C56C58" w:rsidP="00CE2EF9">
      <w:pPr>
        <w:rPr>
          <w:rFonts w:ascii="Arial" w:hAnsi="Arial" w:cs="Arial"/>
          <w:b/>
          <w:i/>
          <w:sz w:val="22"/>
          <w:szCs w:val="22"/>
        </w:rPr>
      </w:pPr>
    </w:p>
    <w:p w14:paraId="397602CA" w14:textId="77777777" w:rsidR="00CE2EF9" w:rsidRPr="00F973AB" w:rsidRDefault="00CE2EF9" w:rsidP="00D33B49">
      <w:pPr>
        <w:spacing w:before="120" w:after="240"/>
        <w:rPr>
          <w:b/>
          <w:sz w:val="26"/>
          <w:szCs w:val="26"/>
          <w:rFonts w:ascii="Arial" w:hAnsi="Arial" w:cs="Arial"/>
        </w:rPr>
      </w:pPr>
      <w:r>
        <w:rPr>
          <w:b/>
          <w:sz w:val="26"/>
          <w:rFonts w:ascii="Arial" w:hAnsi="Arial"/>
        </w:rPr>
        <w:t xml:space="preserve">Sezione F – Costi</w:t>
      </w:r>
    </w:p>
    <w:p w14:paraId="7F55C7C3" w14:textId="77777777" w:rsidR="00CE2EF9" w:rsidRPr="00F973AB" w:rsidRDefault="00CE2EF9" w:rsidP="00CE2EF9">
      <w:pPr>
        <w:pStyle w:val="doLijstnummering7"/>
        <w:rPr>
          <w:sz w:val="22"/>
          <w:szCs w:val="22"/>
          <w:rFonts w:ascii="Arial" w:hAnsi="Arial" w:cs="Arial"/>
        </w:rPr>
      </w:pPr>
      <w:r>
        <w:rPr>
          <w:sz w:val="22"/>
          <w:rFonts w:ascii="Arial" w:hAnsi="Arial"/>
        </w:rPr>
        <w:t xml:space="preserve">Costi</w:t>
      </w:r>
    </w:p>
    <w:p w14:paraId="18DD6F84" w14:textId="77777777" w:rsidR="00CE2EF9" w:rsidRPr="00F973AB" w:rsidRDefault="00CE2EF9" w:rsidP="00CE2EF9">
      <w:pPr>
        <w:pStyle w:val="doLijstnummering7"/>
        <w:numPr>
          <w:ilvl w:val="0"/>
          <w:numId w:val="0"/>
        </w:numPr>
        <w:ind w:left="709"/>
        <w:rPr>
          <w:rFonts w:ascii="Arial" w:hAnsi="Arial" w:cs="Arial"/>
          <w:sz w:val="22"/>
          <w:szCs w:val="22"/>
        </w:rPr>
      </w:pPr>
    </w:p>
    <w:p w14:paraId="020BCF2F" w14:textId="52F8A91F" w:rsidR="00CE2EF9" w:rsidRPr="00F973AB" w:rsidRDefault="00CE2EF9" w:rsidP="00CE2EF9">
      <w:pPr>
        <w:pStyle w:val="doLijstnummering7"/>
        <w:numPr>
          <w:ilvl w:val="0"/>
          <w:numId w:val="0"/>
        </w:numPr>
        <w:ind w:left="709"/>
        <w:rPr>
          <w:sz w:val="22"/>
          <w:szCs w:val="22"/>
          <w:rFonts w:ascii="Arial" w:hAnsi="Arial" w:cs="Arial"/>
        </w:rPr>
      </w:pPr>
      <w:r>
        <w:rPr>
          <w:sz w:val="22"/>
          <w:rFonts w:ascii="Arial" w:hAnsi="Arial"/>
        </w:rPr>
        <w:t xml:space="preserve">Salvo diverso accordo tra le parti o espresse disposizioni contrarie contenute nelle presenti CCT-IA-Alto-Rischio, l'organizzazione pubblica non deve al fornitore alcun corrispettivo supplementare per le attività derivanti dalle presenti CCT-IA-Alto-Rischio.</w:t>
      </w:r>
    </w:p>
    <w:p w14:paraId="1A17E258" w14:textId="77777777" w:rsidR="00CE2EF9" w:rsidRPr="00F973AB" w:rsidRDefault="00CE2EF9" w:rsidP="00CE2EF9">
      <w:pPr>
        <w:rPr>
          <w:rFonts w:ascii="Arial" w:hAnsi="Arial" w:cs="Arial"/>
          <w:b/>
          <w:i/>
          <w:sz w:val="22"/>
          <w:szCs w:val="22"/>
        </w:rPr>
      </w:pPr>
    </w:p>
    <w:p w14:paraId="2152FA27" w14:textId="77777777" w:rsidR="00CE2EF9" w:rsidRPr="00F973AB" w:rsidRDefault="00CE2EF9" w:rsidP="00CE2EF9">
      <w:pPr>
        <w:rPr>
          <w:rFonts w:ascii="Arial" w:hAnsi="Arial" w:cs="Arial"/>
          <w:sz w:val="22"/>
          <w:szCs w:val="22"/>
        </w:rPr>
      </w:pPr>
    </w:p>
    <w:p w14:paraId="07536CC8" w14:textId="77777777" w:rsidR="00CE2EF9" w:rsidRPr="00F973AB" w:rsidRDefault="00CE2EF9" w:rsidP="00CE2EF9">
      <w:pPr>
        <w:rPr>
          <w:rFonts w:ascii="Arial" w:hAnsi="Arial" w:cs="Arial"/>
          <w:sz w:val="22"/>
          <w:szCs w:val="22"/>
        </w:rPr>
      </w:pPr>
    </w:p>
    <w:p w14:paraId="2680FA7E" w14:textId="77777777" w:rsidR="00D33B49" w:rsidRPr="00F973AB" w:rsidRDefault="00CE2EF9" w:rsidP="00D33B49">
      <w:pPr>
        <w:spacing w:before="120" w:after="240"/>
        <w:jc w:val="both"/>
        <w:rPr>
          <w:sz w:val="26"/>
          <w:szCs w:val="26"/>
          <w:rFonts w:ascii="Arial" w:hAnsi="Arial" w:cs="Arial"/>
        </w:rPr>
      </w:pPr>
      <w:r>
        <w:br w:type="page"/>
      </w:r>
    </w:p>
    <w:p w14:paraId="3D167257" w14:textId="77777777" w:rsidR="001C5152" w:rsidRPr="00F973AB" w:rsidRDefault="00CE2EF9" w:rsidP="00A74620">
      <w:pPr>
        <w:spacing w:after="360"/>
        <w:rPr>
          <w:b/>
          <w:bCs/>
          <w:sz w:val="26"/>
          <w:szCs w:val="26"/>
          <w:rFonts w:ascii="Arial" w:hAnsi="Arial" w:cs="Arial"/>
        </w:rPr>
      </w:pPr>
      <w:r>
        <w:rPr>
          <w:b/>
          <w:sz w:val="26"/>
          <w:rFonts w:ascii="Arial" w:hAnsi="Arial"/>
        </w:rPr>
        <w:t xml:space="preserve">Allegato A – Il sistema di IA e la finalità prevista</w:t>
      </w:r>
    </w:p>
    <w:p w14:paraId="212D40C9" w14:textId="77777777" w:rsidR="00CE2EF9" w:rsidRPr="00F973AB" w:rsidRDefault="00CE2EF9" w:rsidP="001C5152">
      <w:pPr>
        <w:spacing w:before="120" w:after="210"/>
        <w:jc w:val="both"/>
        <w:rPr>
          <w:bCs/>
          <w:sz w:val="22"/>
          <w:szCs w:val="22"/>
          <w:rFonts w:ascii="Arial" w:hAnsi="Arial" w:cs="Arial"/>
        </w:rPr>
      </w:pPr>
      <w:r>
        <w:rPr>
          <w:sz w:val="22"/>
          <w:u w:val="single"/>
          <w:rFonts w:ascii="Arial" w:hAnsi="Arial"/>
        </w:rPr>
        <w:t xml:space="preserve">Descrizione del sistema di IA</w:t>
      </w:r>
    </w:p>
    <w:p w14:paraId="601B15F1" w14:textId="287CE2FB" w:rsidR="00CE2EF9" w:rsidRPr="00F973AB" w:rsidRDefault="00CE2EF9" w:rsidP="00CE2EF9">
      <w:pPr>
        <w:spacing w:after="210"/>
        <w:jc w:val="both"/>
        <w:rPr>
          <w:bCs/>
          <w:sz w:val="22"/>
          <w:szCs w:val="22"/>
          <w:rFonts w:ascii="Arial" w:hAnsi="Arial" w:cs="Arial"/>
        </w:rPr>
      </w:pPr>
      <w:r>
        <w:rPr>
          <w:sz w:val="22"/>
          <w:rFonts w:ascii="Arial" w:hAnsi="Arial"/>
        </w:rPr>
        <w:t xml:space="preserve">Rientrano nell'ambito di applicazione delle presenti CCT-IA-Alto-Rischio i sistemi o componenti di sistemi indicati di seguito.</w:t>
      </w:r>
      <w:r>
        <w:rPr>
          <w:sz w:val="22"/>
          <w:rFonts w:ascii="Arial" w:hAnsi="Arial"/>
        </w:rPr>
        <w:t xml:space="preserve"> </w:t>
      </w:r>
    </w:p>
    <w:p w14:paraId="0A259DDD" w14:textId="77777777" w:rsidR="00CE2EF9" w:rsidRPr="00F973AB" w:rsidRDefault="00CE2EF9" w:rsidP="00CE2EF9">
      <w:pPr>
        <w:spacing w:after="210"/>
        <w:jc w:val="both"/>
        <w:rPr>
          <w:i/>
          <w:sz w:val="22"/>
          <w:szCs w:val="22"/>
          <w:rFonts w:ascii="Arial" w:hAnsi="Arial" w:cs="Arial"/>
        </w:rPr>
      </w:pPr>
      <w:r>
        <w:rPr>
          <w:i/>
          <w:sz w:val="22"/>
          <w:rFonts w:ascii="Arial" w:hAnsi="Arial"/>
        </w:rPr>
        <w:t xml:space="preserve">Fornire una descrizione del sistema o dei sistemi di IA.</w:t>
      </w:r>
      <w:r>
        <w:rPr>
          <w:i/>
          <w:sz w:val="22"/>
          <w:rFonts w:ascii="Arial" w:hAnsi="Arial"/>
        </w:rPr>
        <w:t xml:space="preserve"> </w:t>
      </w:r>
      <w:r>
        <w:rPr>
          <w:i/>
          <w:sz w:val="22"/>
          <w:rFonts w:ascii="Arial" w:hAnsi="Arial"/>
        </w:rPr>
        <w:t xml:space="preserve">Può trattarsi anche di un sistema algoritmico che non si classifica come sistema di IA ai sensi della legge sull'IA.</w:t>
      </w:r>
    </w:p>
    <w:p w14:paraId="6025DC8F" w14:textId="77777777" w:rsidR="00CE2EF9" w:rsidRPr="00F973AB" w:rsidRDefault="00CE2EF9" w:rsidP="00CE2EF9">
      <w:pPr>
        <w:spacing w:after="210"/>
        <w:jc w:val="both"/>
        <w:rPr>
          <w:sz w:val="22"/>
          <w:szCs w:val="22"/>
          <w:u w:val="single"/>
          <w:rFonts w:ascii="Arial" w:hAnsi="Arial" w:cs="Arial"/>
        </w:rPr>
      </w:pPr>
      <w:r>
        <w:rPr>
          <w:sz w:val="22"/>
          <w:u w:val="single"/>
          <w:rFonts w:ascii="Arial" w:hAnsi="Arial"/>
        </w:rPr>
        <w:t xml:space="preserve">Finalità prevista</w:t>
      </w:r>
    </w:p>
    <w:p w14:paraId="278B3969" w14:textId="77777777" w:rsidR="00CE2EF9" w:rsidRPr="00F973AB" w:rsidRDefault="00CE2EF9" w:rsidP="00CE2EF9">
      <w:pPr>
        <w:spacing w:after="210"/>
        <w:jc w:val="both"/>
        <w:rPr>
          <w:bCs/>
          <w:sz w:val="22"/>
          <w:szCs w:val="22"/>
          <w:rFonts w:ascii="Arial" w:hAnsi="Arial" w:cs="Arial"/>
        </w:rPr>
      </w:pPr>
      <w:r>
        <w:rPr>
          <w:sz w:val="22"/>
          <w:i/>
          <w:rFonts w:ascii="Arial" w:hAnsi="Arial"/>
        </w:rPr>
        <w:t xml:space="preserve">Fornire una descrizione dell'uso cui è destinato il sistema di IA.</w:t>
      </w:r>
      <w:r>
        <w:rPr>
          <w:sz w:val="22"/>
          <w:rFonts w:ascii="Arial" w:hAnsi="Arial"/>
        </w:rPr>
        <w:br w:type="page"/>
      </w:r>
    </w:p>
    <w:p w14:paraId="2326345B" w14:textId="77777777" w:rsidR="00CE2EF9" w:rsidRPr="00F973AB" w:rsidRDefault="00CE2EF9" w:rsidP="00A74620">
      <w:pPr>
        <w:spacing w:after="360" w:line="360" w:lineRule="auto"/>
        <w:rPr>
          <w:b/>
          <w:bCs/>
          <w:sz w:val="26"/>
          <w:szCs w:val="26"/>
          <w:rFonts w:ascii="Arial" w:hAnsi="Arial" w:cs="Arial"/>
        </w:rPr>
      </w:pPr>
      <w:r>
        <w:rPr>
          <w:b/>
          <w:sz w:val="26"/>
          <w:rFonts w:ascii="Arial" w:hAnsi="Arial"/>
        </w:rPr>
        <w:t xml:space="preserve">Allegato B – Set di dati</w:t>
      </w:r>
    </w:p>
    <w:p w14:paraId="0BB35E47" w14:textId="2F6D6C8C" w:rsidR="00CE2EF9" w:rsidRPr="00F973AB" w:rsidRDefault="00CE2EF9" w:rsidP="00CE2EF9">
      <w:pPr>
        <w:spacing w:after="210"/>
        <w:jc w:val="both"/>
        <w:rPr>
          <w:i/>
          <w:iCs/>
          <w:color w:val="000000"/>
          <w:sz w:val="22"/>
          <w:szCs w:val="22"/>
          <w:shd w:val="clear" w:color="auto" w:fill="FFFFFF"/>
          <w:rFonts w:ascii="Arial" w:hAnsi="Arial" w:cs="Arial"/>
        </w:rPr>
      </w:pPr>
      <w:r>
        <w:rPr>
          <w:i/>
          <w:sz w:val="22"/>
          <w:rFonts w:ascii="Arial" w:hAnsi="Arial"/>
        </w:rPr>
        <w:t xml:space="preserve">Fornire una descrizione dei set di dati utilizzati per </w:t>
      </w:r>
      <w:r>
        <w:rPr>
          <w:i/>
          <w:sz w:val="22"/>
          <w:color w:val="000000"/>
          <w:shd w:val="clear" w:color="auto" w:fill="FFFFFF"/>
          <w:rFonts w:ascii="Arial" w:hAnsi="Arial"/>
        </w:rPr>
        <w:t xml:space="preserve">l'addestramento (se del caso), la convalida e la prova del sistema di IA.</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Operare una distinzione tra i set di dati dell'organizzazione pubblica e i set di dati del fornitore e di terzi.</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Nel caso dei set di dati dell'organizzazione pubblica, descrivere le finalità per le quali il fornitore può utilizzarli (diverse dall'esecuzione dell'accordo) e se il fornitore è tenuto a distruggerli al termine del periodo di validità dell'accordo.</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Nel caso dei set di dati del fornitore e di terzi, descrivere le finalità per le quali l'organizzazione pubblica può utilizzarli e se il fornitore è tenuto a consegnarli.</w:t>
      </w:r>
    </w:p>
    <w:p w14:paraId="7B348DC0" w14:textId="2612EA27" w:rsidR="00CE2EF9" w:rsidRPr="00F973AB" w:rsidRDefault="006B6837" w:rsidP="00CE2EF9">
      <w:pPr>
        <w:spacing w:after="210"/>
        <w:jc w:val="both"/>
        <w:rPr>
          <w:iCs/>
          <w:color w:val="000000"/>
          <w:sz w:val="22"/>
          <w:szCs w:val="22"/>
          <w:u w:val="single"/>
          <w:shd w:val="clear" w:color="auto" w:fill="FFFFFF"/>
          <w:rFonts w:ascii="Arial" w:hAnsi="Arial" w:cs="Arial"/>
        </w:rPr>
      </w:pPr>
      <w:r>
        <w:rPr>
          <w:color w:val="000000"/>
          <w:sz w:val="22"/>
          <w:u w:val="single"/>
          <w:shd w:val="clear" w:color="auto" w:fill="FFFFFF"/>
          <w:rFonts w:ascii="Arial" w:hAnsi="Arial"/>
        </w:rPr>
        <w:t xml:space="preserve">Set di dati dell'organizzazione pubblica</w:t>
      </w:r>
    </w:p>
    <w:p w14:paraId="2A2EF54A" w14:textId="77777777" w:rsidR="00CE2EF9" w:rsidRPr="00F973AB" w:rsidRDefault="00CE2EF9" w:rsidP="00CE2EF9">
      <w:pPr>
        <w:spacing w:after="210"/>
        <w:jc w:val="both"/>
        <w:rPr>
          <w:sz w:val="22"/>
          <w:szCs w:val="22"/>
          <w:rFonts w:ascii="Arial" w:hAnsi="Arial" w:cs="Arial"/>
        </w:rPr>
      </w:pPr>
      <w:r>
        <w:rPr>
          <w:sz w:val="22"/>
          <w:rFonts w:ascii="Arial" w:hAnsi="Arial"/>
        </w:rPr>
        <w:t xml:space="preserve">I set di dati indicati di seguito sono trasmessi dall'organizzazione pubblica al fornitore in virtù dell'accordo oppure devono essere creati o raccolti nel quadro dell'accordo.</w:t>
      </w:r>
      <w:r>
        <w:rPr>
          <w:sz w:val="22"/>
          <w:rFonts w:ascii="Arial" w:hAnsi="Arial"/>
        </w:rPr>
        <w:t xml:space="preserve"> </w:t>
      </w:r>
    </w:p>
    <w:tbl>
      <w:tblPr>
        <w:tblStyle w:val="TableGrid"/>
        <w:tblW w:w="0" w:type="auto"/>
        <w:tblLook w:val="04A0" w:firstRow="1" w:lastRow="0" w:firstColumn="1" w:lastColumn="0" w:noHBand="0" w:noVBand="1"/>
      </w:tblPr>
      <w:tblGrid>
        <w:gridCol w:w="3423"/>
        <w:gridCol w:w="2717"/>
        <w:gridCol w:w="2786"/>
      </w:tblGrid>
      <w:tr w:rsidR="00CE2EF9" w:rsidRPr="00F973AB" w14:paraId="6152B9B4" w14:textId="77777777" w:rsidTr="001C5152">
        <w:tc>
          <w:tcPr>
            <w:tcW w:w="3423" w:type="dxa"/>
          </w:tcPr>
          <w:p w14:paraId="6684D925"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Descrizione del set di dati</w:t>
            </w:r>
          </w:p>
        </w:tc>
        <w:tc>
          <w:tcPr>
            <w:tcW w:w="2717" w:type="dxa"/>
          </w:tcPr>
          <w:p w14:paraId="118B424D"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Diritti d'uso del fornitore</w:t>
            </w:r>
          </w:p>
        </w:tc>
        <w:tc>
          <w:tcPr>
            <w:tcW w:w="2786" w:type="dxa"/>
          </w:tcPr>
          <w:p w14:paraId="267B3FFE"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Obbligo di distruggere il set di dati al termine del periodo di validità dell'accordo</w:t>
            </w:r>
          </w:p>
        </w:tc>
      </w:tr>
      <w:tr w:rsidR="00CE2EF9" w:rsidRPr="00F973AB" w14:paraId="1ADA89CE" w14:textId="77777777" w:rsidTr="001C5152">
        <w:tc>
          <w:tcPr>
            <w:tcW w:w="3423" w:type="dxa"/>
          </w:tcPr>
          <w:p w14:paraId="3DAB24B4" w14:textId="77777777" w:rsidR="00CE2EF9" w:rsidRPr="00F973AB" w:rsidRDefault="00CE2EF9" w:rsidP="003216B4">
            <w:pPr>
              <w:spacing w:after="210"/>
              <w:jc w:val="both"/>
              <w:rPr>
                <w:rFonts w:ascii="Arial" w:hAnsi="Arial" w:cs="Arial"/>
                <w:i/>
                <w:sz w:val="22"/>
                <w:szCs w:val="22"/>
              </w:rPr>
            </w:pPr>
          </w:p>
        </w:tc>
        <w:tc>
          <w:tcPr>
            <w:tcW w:w="2717" w:type="dxa"/>
          </w:tcPr>
          <w:p w14:paraId="69ABDFF6" w14:textId="77777777" w:rsidR="00CE2EF9" w:rsidRPr="00F973AB" w:rsidRDefault="00CE2EF9" w:rsidP="003216B4">
            <w:pPr>
              <w:spacing w:after="210"/>
              <w:jc w:val="both"/>
              <w:rPr>
                <w:rFonts w:ascii="Arial" w:hAnsi="Arial" w:cs="Arial"/>
                <w:i/>
                <w:sz w:val="22"/>
                <w:szCs w:val="22"/>
              </w:rPr>
            </w:pPr>
          </w:p>
        </w:tc>
        <w:tc>
          <w:tcPr>
            <w:tcW w:w="2786" w:type="dxa"/>
          </w:tcPr>
          <w:p w14:paraId="01BBC0A7" w14:textId="77777777" w:rsidR="00CE2EF9" w:rsidRPr="00F973AB" w:rsidRDefault="00CE2EF9" w:rsidP="003216B4">
            <w:pPr>
              <w:spacing w:after="210"/>
              <w:jc w:val="both"/>
              <w:rPr>
                <w:sz w:val="22"/>
                <w:szCs w:val="22"/>
                <w:rFonts w:ascii="Arial" w:hAnsi="Arial" w:cs="Arial"/>
              </w:rPr>
            </w:pPr>
            <w:r>
              <w:rPr>
                <w:sz w:val="22"/>
                <w:rFonts w:ascii="Arial" w:hAnsi="Arial"/>
              </w:rPr>
              <w:t xml:space="preserve">Sì/no</w:t>
            </w:r>
          </w:p>
        </w:tc>
      </w:tr>
      <w:tr w:rsidR="00CE2EF9" w:rsidRPr="00F973AB" w14:paraId="6AB7BA75" w14:textId="77777777" w:rsidTr="001C5152">
        <w:tc>
          <w:tcPr>
            <w:tcW w:w="3423" w:type="dxa"/>
          </w:tcPr>
          <w:p w14:paraId="4CE57416" w14:textId="77777777" w:rsidR="00CE2EF9" w:rsidRPr="00F973AB" w:rsidRDefault="00CE2EF9" w:rsidP="003216B4">
            <w:pPr>
              <w:spacing w:after="210"/>
              <w:jc w:val="both"/>
              <w:rPr>
                <w:rFonts w:ascii="Arial" w:hAnsi="Arial" w:cs="Arial"/>
                <w:i/>
                <w:sz w:val="22"/>
                <w:szCs w:val="22"/>
              </w:rPr>
            </w:pPr>
          </w:p>
        </w:tc>
        <w:tc>
          <w:tcPr>
            <w:tcW w:w="2717" w:type="dxa"/>
          </w:tcPr>
          <w:p w14:paraId="19A34F14" w14:textId="77777777" w:rsidR="00CE2EF9" w:rsidRPr="00F973AB" w:rsidRDefault="00CE2EF9" w:rsidP="003216B4">
            <w:pPr>
              <w:spacing w:after="210"/>
              <w:jc w:val="both"/>
              <w:rPr>
                <w:rFonts w:ascii="Arial" w:hAnsi="Arial" w:cs="Arial"/>
                <w:i/>
                <w:sz w:val="22"/>
                <w:szCs w:val="22"/>
              </w:rPr>
            </w:pPr>
          </w:p>
        </w:tc>
        <w:tc>
          <w:tcPr>
            <w:tcW w:w="2786" w:type="dxa"/>
          </w:tcPr>
          <w:p w14:paraId="291D7900"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Sì/no</w:t>
            </w:r>
          </w:p>
        </w:tc>
      </w:tr>
      <w:tr w:rsidR="00CE2EF9" w:rsidRPr="00F973AB" w14:paraId="1817D8DC" w14:textId="77777777" w:rsidTr="001C5152">
        <w:tc>
          <w:tcPr>
            <w:tcW w:w="3423" w:type="dxa"/>
          </w:tcPr>
          <w:p w14:paraId="257902F5" w14:textId="77777777" w:rsidR="00CE2EF9" w:rsidRPr="00F973AB" w:rsidRDefault="00CE2EF9" w:rsidP="003216B4">
            <w:pPr>
              <w:spacing w:after="210"/>
              <w:jc w:val="both"/>
              <w:rPr>
                <w:rFonts w:ascii="Arial" w:hAnsi="Arial" w:cs="Arial"/>
                <w:i/>
                <w:sz w:val="22"/>
                <w:szCs w:val="22"/>
              </w:rPr>
            </w:pPr>
          </w:p>
        </w:tc>
        <w:tc>
          <w:tcPr>
            <w:tcW w:w="2717" w:type="dxa"/>
          </w:tcPr>
          <w:p w14:paraId="2E732C6C" w14:textId="77777777" w:rsidR="00CE2EF9" w:rsidRPr="00F973AB" w:rsidRDefault="00CE2EF9" w:rsidP="003216B4">
            <w:pPr>
              <w:spacing w:after="210"/>
              <w:jc w:val="both"/>
              <w:rPr>
                <w:rFonts w:ascii="Arial" w:hAnsi="Arial" w:cs="Arial"/>
                <w:i/>
                <w:sz w:val="22"/>
                <w:szCs w:val="22"/>
              </w:rPr>
            </w:pPr>
          </w:p>
        </w:tc>
        <w:tc>
          <w:tcPr>
            <w:tcW w:w="2786" w:type="dxa"/>
          </w:tcPr>
          <w:p w14:paraId="137C06A6"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Sì/no</w:t>
            </w:r>
          </w:p>
        </w:tc>
      </w:tr>
      <w:tr w:rsidR="00CE2EF9" w:rsidRPr="00F973AB" w14:paraId="313418A2" w14:textId="77777777" w:rsidTr="001C5152">
        <w:tc>
          <w:tcPr>
            <w:tcW w:w="3423" w:type="dxa"/>
          </w:tcPr>
          <w:p w14:paraId="65E73F7E" w14:textId="77777777" w:rsidR="00CE2EF9" w:rsidRPr="00F973AB" w:rsidRDefault="00CE2EF9" w:rsidP="003216B4">
            <w:pPr>
              <w:spacing w:after="210"/>
              <w:jc w:val="both"/>
              <w:rPr>
                <w:rFonts w:ascii="Arial" w:hAnsi="Arial" w:cs="Arial"/>
                <w:i/>
                <w:sz w:val="22"/>
                <w:szCs w:val="22"/>
              </w:rPr>
            </w:pPr>
          </w:p>
        </w:tc>
        <w:tc>
          <w:tcPr>
            <w:tcW w:w="2717" w:type="dxa"/>
          </w:tcPr>
          <w:p w14:paraId="737BC13A" w14:textId="77777777" w:rsidR="00CE2EF9" w:rsidRPr="00F973AB" w:rsidRDefault="00CE2EF9" w:rsidP="003216B4">
            <w:pPr>
              <w:spacing w:after="210"/>
              <w:jc w:val="both"/>
              <w:rPr>
                <w:rFonts w:ascii="Arial" w:hAnsi="Arial" w:cs="Arial"/>
                <w:i/>
                <w:sz w:val="22"/>
                <w:szCs w:val="22"/>
              </w:rPr>
            </w:pPr>
          </w:p>
        </w:tc>
        <w:tc>
          <w:tcPr>
            <w:tcW w:w="2786" w:type="dxa"/>
          </w:tcPr>
          <w:p w14:paraId="6DB0C2F5"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Sì/no</w:t>
            </w:r>
          </w:p>
        </w:tc>
      </w:tr>
    </w:tbl>
    <w:p w14:paraId="36A1BA6C" w14:textId="77777777" w:rsidR="00CE2EF9" w:rsidRPr="00F973AB" w:rsidRDefault="00CE2EF9" w:rsidP="00CE2EF9">
      <w:pPr>
        <w:spacing w:after="210"/>
        <w:jc w:val="both"/>
        <w:rPr>
          <w:rFonts w:ascii="Arial" w:hAnsi="Arial" w:cs="Arial"/>
          <w:i/>
          <w:sz w:val="22"/>
          <w:szCs w:val="22"/>
        </w:rPr>
      </w:pPr>
    </w:p>
    <w:p w14:paraId="75798438" w14:textId="3F224FA1" w:rsidR="00CE2EF9" w:rsidRPr="00F973AB" w:rsidRDefault="00CE2EF9" w:rsidP="00CE2EF9">
      <w:pPr>
        <w:spacing w:after="210"/>
        <w:jc w:val="both"/>
        <w:rPr>
          <w:iCs/>
          <w:color w:val="000000"/>
          <w:sz w:val="22"/>
          <w:szCs w:val="22"/>
          <w:u w:val="single"/>
          <w:shd w:val="clear" w:color="auto" w:fill="FFFFFF"/>
          <w:rFonts w:ascii="Arial" w:hAnsi="Arial" w:cs="Arial"/>
        </w:rPr>
      </w:pPr>
      <w:r>
        <w:rPr>
          <w:color w:val="000000"/>
          <w:sz w:val="22"/>
          <w:u w:val="single"/>
          <w:shd w:val="clear" w:color="auto" w:fill="FFFFFF"/>
          <w:rFonts w:ascii="Arial" w:hAnsi="Arial"/>
        </w:rPr>
        <w:t xml:space="preserve">Set di dati del fornitore e di terzi</w:t>
      </w:r>
    </w:p>
    <w:p w14:paraId="51D24105" w14:textId="6181BDE1" w:rsidR="00CE2EF9" w:rsidRPr="00F973AB" w:rsidRDefault="00CE2EF9" w:rsidP="00CE2EF9">
      <w:pPr>
        <w:spacing w:after="210"/>
        <w:jc w:val="both"/>
        <w:rPr>
          <w:sz w:val="22"/>
          <w:szCs w:val="22"/>
          <w:rFonts w:ascii="Arial" w:hAnsi="Arial" w:cs="Arial"/>
        </w:rPr>
      </w:pPr>
      <w:r>
        <w:rPr>
          <w:sz w:val="22"/>
          <w:rFonts w:ascii="Arial" w:hAnsi="Arial"/>
        </w:rPr>
        <w:t xml:space="preserve">I set di dati del fornitore e di terzi indicati di seguito saranno o sono stati utilizzati per l'addestramento (se del caso), la convalida e la prova del sistema di IA.</w:t>
      </w:r>
    </w:p>
    <w:tbl>
      <w:tblPr>
        <w:tblStyle w:val="TableGrid"/>
        <w:tblW w:w="0" w:type="auto"/>
        <w:tblLook w:val="04A0" w:firstRow="1" w:lastRow="0" w:firstColumn="1" w:lastColumn="0" w:noHBand="0" w:noVBand="1"/>
      </w:tblPr>
      <w:tblGrid>
        <w:gridCol w:w="2793"/>
        <w:gridCol w:w="2859"/>
        <w:gridCol w:w="3274"/>
      </w:tblGrid>
      <w:tr w:rsidR="00CE2EF9" w:rsidRPr="00F973AB" w14:paraId="68331355" w14:textId="77777777" w:rsidTr="001C5152">
        <w:tc>
          <w:tcPr>
            <w:tcW w:w="2793" w:type="dxa"/>
          </w:tcPr>
          <w:p w14:paraId="0A152D38"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Descrizione del set di dati</w:t>
            </w:r>
          </w:p>
        </w:tc>
        <w:tc>
          <w:tcPr>
            <w:tcW w:w="2859" w:type="dxa"/>
          </w:tcPr>
          <w:p w14:paraId="69746CFF"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Diritti d'uso dell'organizzazione pubblica</w:t>
            </w:r>
          </w:p>
        </w:tc>
        <w:tc>
          <w:tcPr>
            <w:tcW w:w="3274" w:type="dxa"/>
          </w:tcPr>
          <w:p w14:paraId="3286608F"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Obbligo di consegna</w:t>
            </w:r>
            <w:r>
              <w:rPr>
                <w:rStyle w:val="FootnoteReference"/>
                <w:rFonts w:ascii="Arial" w:hAnsi="Arial" w:cs="Arial"/>
                <w:b/>
                <w:sz w:val="22"/>
                <w:szCs w:val="22"/>
              </w:rPr>
              <w:footnoteReference w:id="2"/>
            </w:r>
          </w:p>
        </w:tc>
      </w:tr>
      <w:tr w:rsidR="00CE2EF9" w:rsidRPr="00F973AB" w14:paraId="03D464F4" w14:textId="77777777" w:rsidTr="001C5152">
        <w:tc>
          <w:tcPr>
            <w:tcW w:w="2793" w:type="dxa"/>
          </w:tcPr>
          <w:p w14:paraId="0A79855D" w14:textId="77777777" w:rsidR="00CE2EF9" w:rsidRPr="00F973AB" w:rsidRDefault="00CE2EF9" w:rsidP="003216B4">
            <w:pPr>
              <w:spacing w:after="210"/>
              <w:jc w:val="both"/>
              <w:rPr>
                <w:rFonts w:ascii="Arial" w:hAnsi="Arial" w:cs="Arial"/>
                <w:i/>
                <w:sz w:val="22"/>
                <w:szCs w:val="22"/>
              </w:rPr>
            </w:pPr>
          </w:p>
        </w:tc>
        <w:tc>
          <w:tcPr>
            <w:tcW w:w="2859" w:type="dxa"/>
          </w:tcPr>
          <w:p w14:paraId="72FE0052" w14:textId="77777777" w:rsidR="00CE2EF9" w:rsidRPr="00F973AB" w:rsidRDefault="00CE2EF9" w:rsidP="003216B4">
            <w:pPr>
              <w:spacing w:after="210"/>
              <w:jc w:val="both"/>
              <w:rPr>
                <w:rFonts w:ascii="Arial" w:hAnsi="Arial" w:cs="Arial"/>
                <w:i/>
                <w:sz w:val="22"/>
                <w:szCs w:val="22"/>
              </w:rPr>
            </w:pPr>
          </w:p>
        </w:tc>
        <w:tc>
          <w:tcPr>
            <w:tcW w:w="3274" w:type="dxa"/>
          </w:tcPr>
          <w:p w14:paraId="155F4B31"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Sì/no</w:t>
            </w:r>
          </w:p>
        </w:tc>
      </w:tr>
      <w:tr w:rsidR="00CE2EF9" w:rsidRPr="00F973AB" w14:paraId="76930306" w14:textId="77777777" w:rsidTr="001C5152">
        <w:tc>
          <w:tcPr>
            <w:tcW w:w="2793" w:type="dxa"/>
          </w:tcPr>
          <w:p w14:paraId="0631A96E" w14:textId="77777777" w:rsidR="00CE2EF9" w:rsidRPr="00F973AB" w:rsidRDefault="00CE2EF9" w:rsidP="003216B4">
            <w:pPr>
              <w:spacing w:after="210"/>
              <w:jc w:val="both"/>
              <w:rPr>
                <w:rFonts w:ascii="Arial" w:hAnsi="Arial" w:cs="Arial"/>
                <w:i/>
                <w:sz w:val="22"/>
                <w:szCs w:val="22"/>
              </w:rPr>
            </w:pPr>
          </w:p>
        </w:tc>
        <w:tc>
          <w:tcPr>
            <w:tcW w:w="2859" w:type="dxa"/>
          </w:tcPr>
          <w:p w14:paraId="3A3D8AB2" w14:textId="77777777" w:rsidR="00CE2EF9" w:rsidRPr="00F973AB" w:rsidRDefault="00CE2EF9" w:rsidP="003216B4">
            <w:pPr>
              <w:spacing w:after="210"/>
              <w:jc w:val="both"/>
              <w:rPr>
                <w:rFonts w:ascii="Arial" w:hAnsi="Arial" w:cs="Arial"/>
                <w:i/>
                <w:sz w:val="22"/>
                <w:szCs w:val="22"/>
              </w:rPr>
            </w:pPr>
          </w:p>
        </w:tc>
        <w:tc>
          <w:tcPr>
            <w:tcW w:w="3274" w:type="dxa"/>
          </w:tcPr>
          <w:p w14:paraId="65FEAF2B"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Sì/no</w:t>
            </w:r>
          </w:p>
        </w:tc>
      </w:tr>
      <w:tr w:rsidR="00CE2EF9" w:rsidRPr="00F973AB" w14:paraId="1EA4D25A" w14:textId="77777777" w:rsidTr="001C5152">
        <w:tc>
          <w:tcPr>
            <w:tcW w:w="2793" w:type="dxa"/>
          </w:tcPr>
          <w:p w14:paraId="00E7E76F" w14:textId="77777777" w:rsidR="00CE2EF9" w:rsidRPr="00F973AB" w:rsidRDefault="00CE2EF9" w:rsidP="003216B4">
            <w:pPr>
              <w:spacing w:after="210"/>
              <w:jc w:val="both"/>
              <w:rPr>
                <w:rFonts w:ascii="Arial" w:hAnsi="Arial" w:cs="Arial"/>
                <w:i/>
                <w:sz w:val="22"/>
                <w:szCs w:val="22"/>
              </w:rPr>
            </w:pPr>
          </w:p>
        </w:tc>
        <w:tc>
          <w:tcPr>
            <w:tcW w:w="2859" w:type="dxa"/>
          </w:tcPr>
          <w:p w14:paraId="5BA63050" w14:textId="77777777" w:rsidR="00CE2EF9" w:rsidRPr="00F973AB" w:rsidRDefault="00CE2EF9" w:rsidP="003216B4">
            <w:pPr>
              <w:spacing w:after="210"/>
              <w:jc w:val="both"/>
              <w:rPr>
                <w:rFonts w:ascii="Arial" w:hAnsi="Arial" w:cs="Arial"/>
                <w:i/>
                <w:sz w:val="22"/>
                <w:szCs w:val="22"/>
              </w:rPr>
            </w:pPr>
          </w:p>
        </w:tc>
        <w:tc>
          <w:tcPr>
            <w:tcW w:w="3274" w:type="dxa"/>
          </w:tcPr>
          <w:p w14:paraId="1198669A"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Sì/no</w:t>
            </w:r>
          </w:p>
        </w:tc>
      </w:tr>
      <w:tr w:rsidR="00CE2EF9" w:rsidRPr="00F973AB" w14:paraId="6A8281BD" w14:textId="77777777" w:rsidTr="001C5152">
        <w:tc>
          <w:tcPr>
            <w:tcW w:w="2793" w:type="dxa"/>
          </w:tcPr>
          <w:p w14:paraId="34268736" w14:textId="77777777" w:rsidR="00CE2EF9" w:rsidRPr="00F973AB" w:rsidRDefault="00CE2EF9" w:rsidP="003216B4">
            <w:pPr>
              <w:spacing w:after="210"/>
              <w:jc w:val="both"/>
              <w:rPr>
                <w:rFonts w:ascii="Arial" w:hAnsi="Arial" w:cs="Arial"/>
                <w:i/>
                <w:sz w:val="22"/>
                <w:szCs w:val="22"/>
              </w:rPr>
            </w:pPr>
          </w:p>
        </w:tc>
        <w:tc>
          <w:tcPr>
            <w:tcW w:w="2859" w:type="dxa"/>
          </w:tcPr>
          <w:p w14:paraId="451DE527" w14:textId="77777777" w:rsidR="00CE2EF9" w:rsidRPr="00F973AB" w:rsidRDefault="00CE2EF9" w:rsidP="003216B4">
            <w:pPr>
              <w:spacing w:after="210"/>
              <w:jc w:val="both"/>
              <w:rPr>
                <w:rFonts w:ascii="Arial" w:hAnsi="Arial" w:cs="Arial"/>
                <w:i/>
                <w:sz w:val="22"/>
                <w:szCs w:val="22"/>
              </w:rPr>
            </w:pPr>
          </w:p>
        </w:tc>
        <w:tc>
          <w:tcPr>
            <w:tcW w:w="3274" w:type="dxa"/>
          </w:tcPr>
          <w:p w14:paraId="26ECEE66"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Sì/no</w:t>
            </w:r>
          </w:p>
        </w:tc>
      </w:tr>
    </w:tbl>
    <w:p w14:paraId="2BB822D4" w14:textId="77777777" w:rsidR="00CE2EF9" w:rsidRPr="00F973AB" w:rsidRDefault="00CE2EF9" w:rsidP="00CE2EF9">
      <w:pPr>
        <w:spacing w:after="210"/>
        <w:jc w:val="both"/>
        <w:rPr>
          <w:sz w:val="22"/>
          <w:szCs w:val="22"/>
          <w:u w:val="single"/>
          <w:rFonts w:ascii="Arial" w:hAnsi="Arial" w:cs="Arial"/>
        </w:rPr>
      </w:pPr>
      <w:r>
        <w:br w:type="page"/>
      </w:r>
    </w:p>
    <w:p w14:paraId="521CD975" w14:textId="77777777" w:rsidR="00CE2EF9" w:rsidRPr="00F973AB" w:rsidRDefault="00CE2EF9" w:rsidP="00A74620">
      <w:pPr>
        <w:spacing w:after="360"/>
        <w:rPr>
          <w:b/>
          <w:bCs/>
          <w:sz w:val="26"/>
          <w:szCs w:val="26"/>
          <w:rFonts w:ascii="Arial" w:hAnsi="Arial" w:cs="Arial"/>
        </w:rPr>
      </w:pPr>
      <w:r>
        <w:rPr>
          <w:b/>
          <w:sz w:val="26"/>
          <w:rFonts w:ascii="Arial" w:hAnsi="Arial"/>
        </w:rPr>
        <w:t xml:space="preserve">Allegato C – Documentazione tecnica</w:t>
      </w:r>
    </w:p>
    <w:p w14:paraId="37CF516B" w14:textId="5A1C6D0E" w:rsidR="00CE2EF9" w:rsidRPr="00F973AB" w:rsidRDefault="00CE2EF9" w:rsidP="00D33B49">
      <w:pPr>
        <w:spacing w:before="120" w:after="210"/>
        <w:jc w:val="both"/>
        <w:rPr>
          <w:sz w:val="22"/>
          <w:szCs w:val="22"/>
          <w:rFonts w:ascii="Arial" w:hAnsi="Arial" w:cs="Arial"/>
        </w:rPr>
      </w:pPr>
      <w:r>
        <w:rPr>
          <w:sz w:val="22"/>
          <w:rFonts w:ascii="Arial" w:hAnsi="Arial"/>
        </w:rPr>
        <w:t xml:space="preserve">La documentazione tecnica deve includere almeno le seguenti informazioni, a seconda dell'applicabilità al sistema di IA.</w:t>
      </w:r>
    </w:p>
    <w:p w14:paraId="27734FA3" w14:textId="77777777" w:rsidR="00CE2EF9" w:rsidRPr="00F973AB" w:rsidRDefault="00CE2EF9" w:rsidP="00CE2EF9">
      <w:pPr>
        <w:pStyle w:val="doLijstnummering5"/>
        <w:rPr>
          <w:sz w:val="22"/>
          <w:szCs w:val="22"/>
          <w:rFonts w:ascii="Arial" w:hAnsi="Arial" w:cs="Arial"/>
        </w:rPr>
      </w:pPr>
      <w:r>
        <w:rPr>
          <w:sz w:val="22"/>
          <w:rFonts w:ascii="Arial" w:hAnsi="Arial"/>
        </w:rPr>
        <w:t xml:space="preserve">Una descrizione generale del sistema di IA comprendente:</w:t>
      </w:r>
    </w:p>
    <w:p w14:paraId="0DC2EAEC" w14:textId="3AC74D11" w:rsidR="00CE2EF9" w:rsidRPr="00F973AB" w:rsidRDefault="00CE2EF9" w:rsidP="009B4B27">
      <w:pPr>
        <w:pStyle w:val="doLijstnummering5"/>
        <w:numPr>
          <w:ilvl w:val="1"/>
          <w:numId w:val="9"/>
        </w:numPr>
        <w:rPr>
          <w:sz w:val="22"/>
          <w:szCs w:val="22"/>
          <w:rFonts w:ascii="Arial" w:hAnsi="Arial" w:cs="Arial"/>
        </w:rPr>
      </w:pPr>
      <w:r>
        <w:rPr>
          <w:sz w:val="22"/>
          <w:rFonts w:ascii="Arial" w:hAnsi="Arial"/>
        </w:rPr>
        <w:t xml:space="preserve">la finalità prevista, il nome del fornitore e la versione del sistema che indichi il suo rapporto con le versioni precedenti;</w:t>
      </w:r>
    </w:p>
    <w:p w14:paraId="6969A9F3" w14:textId="70ADE282"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il modo in cui il sistema può interagire o essere utilizzato per interagire con hardware o software, compresi altri sistemi di IA, che non fanno parte del sistema di IA stesso, ove applicabile;</w:t>
      </w:r>
      <w:r>
        <w:rPr>
          <w:sz w:val="22"/>
          <w:rFonts w:ascii="Arial" w:hAnsi="Arial"/>
        </w:rPr>
        <w:t xml:space="preserve"> </w:t>
      </w:r>
    </w:p>
    <w:p w14:paraId="15A9C4EB"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le versioni dei pertinenti software o firmware e qualsiasi requisito relativo all'aggiornamento della versione;</w:t>
      </w:r>
    </w:p>
    <w:p w14:paraId="2D52F0DE"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la descrizione dell'hardware su cui è destinato a operare il sistema di IA;</w:t>
      </w:r>
    </w:p>
    <w:p w14:paraId="61EF3469"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se il sistema di IA è un componente di prodotti, le fotografie o le illustrazioni che mostrino le caratteristiche esterne, la marcatura e il layout interno di tali prodotti;</w:t>
      </w:r>
    </w:p>
    <w:p w14:paraId="30BA9017" w14:textId="77777777" w:rsidR="009B4B27" w:rsidRPr="00F973AB" w:rsidRDefault="009B4B27" w:rsidP="009B4B27">
      <w:pPr>
        <w:pStyle w:val="doLijstnummering5"/>
        <w:numPr>
          <w:ilvl w:val="1"/>
          <w:numId w:val="9"/>
        </w:numPr>
        <w:rPr>
          <w:sz w:val="22"/>
          <w:szCs w:val="22"/>
          <w:rFonts w:ascii="Arial" w:hAnsi="Arial" w:cs="Arial"/>
        </w:rPr>
      </w:pPr>
      <w:r>
        <w:rPr>
          <w:sz w:val="22"/>
          <w:rFonts w:ascii="Arial" w:hAnsi="Arial"/>
        </w:rPr>
        <w:t xml:space="preserve">una descrizione di base dell'interfaccia utente fornita all'organizzazione pubblica;</w:t>
      </w:r>
    </w:p>
    <w:p w14:paraId="707E85AB" w14:textId="18ADAD72" w:rsidR="00CE2EF9" w:rsidRPr="00F973AB" w:rsidRDefault="009B4B27" w:rsidP="00CE2EF9">
      <w:pPr>
        <w:pStyle w:val="doLijstnummering5"/>
        <w:numPr>
          <w:ilvl w:val="1"/>
          <w:numId w:val="9"/>
        </w:numPr>
        <w:rPr>
          <w:sz w:val="22"/>
          <w:szCs w:val="22"/>
          <w:rFonts w:ascii="Arial" w:hAnsi="Arial" w:cs="Arial"/>
        </w:rPr>
      </w:pPr>
      <w:r>
        <w:rPr>
          <w:sz w:val="22"/>
          <w:rFonts w:ascii="Arial" w:hAnsi="Arial"/>
        </w:rPr>
        <w:t xml:space="preserve">le istruzioni per l'uso destinate al deployer e una descrizione di base dell'interfaccia utente, se applicabile.</w:t>
      </w:r>
    </w:p>
    <w:p w14:paraId="40DAF3DF" w14:textId="77777777" w:rsidR="00CE2EF9" w:rsidRPr="00F973AB" w:rsidRDefault="00CE2EF9" w:rsidP="00CE2EF9">
      <w:pPr>
        <w:pStyle w:val="doLijstnummering5"/>
        <w:numPr>
          <w:ilvl w:val="0"/>
          <w:numId w:val="0"/>
        </w:numPr>
        <w:ind w:left="1702"/>
        <w:rPr>
          <w:rFonts w:ascii="Arial" w:hAnsi="Arial" w:cs="Arial"/>
          <w:sz w:val="22"/>
          <w:szCs w:val="22"/>
        </w:rPr>
      </w:pPr>
    </w:p>
    <w:p w14:paraId="2ACA8A81" w14:textId="77777777" w:rsidR="00CE2EF9" w:rsidRPr="00F973AB" w:rsidRDefault="00CE2EF9" w:rsidP="00CE2EF9">
      <w:pPr>
        <w:pStyle w:val="doLijstnummering5"/>
        <w:rPr>
          <w:sz w:val="22"/>
          <w:szCs w:val="22"/>
          <w:rFonts w:ascii="Arial" w:hAnsi="Arial" w:cs="Arial"/>
        </w:rPr>
      </w:pPr>
      <w:r>
        <w:rPr>
          <w:sz w:val="22"/>
          <w:rFonts w:ascii="Arial" w:hAnsi="Arial"/>
        </w:rPr>
        <w:t xml:space="preserve">Una descrizione dettagliata degli elementi del sistema di IA e del processo relativo al suo sviluppo che includa:</w:t>
      </w:r>
    </w:p>
    <w:p w14:paraId="37303E32"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i metodi applicati e le azioni eseguite per lo sviluppo del sistema di IA, compresi, ove opportuno, il ricorso a sistemi o strumenti preaddestrati forniti da terzi e il modo in cui sono stati utilizzati, integrati o modificati dal fornitore, tra cui una descrizione di eventuali licenze o altri accordi contrattuali relativi a tali input di terzi;</w:t>
      </w:r>
    </w:p>
    <w:p w14:paraId="50CEDB01" w14:textId="696F3D1C" w:rsidR="00CE2EF9" w:rsidRPr="00F973AB" w:rsidRDefault="00CE2EF9" w:rsidP="009B4B27">
      <w:pPr>
        <w:pStyle w:val="doLijstnummering5"/>
        <w:numPr>
          <w:ilvl w:val="1"/>
          <w:numId w:val="9"/>
        </w:numPr>
        <w:rPr>
          <w:sz w:val="22"/>
          <w:szCs w:val="22"/>
          <w:rFonts w:ascii="Arial" w:hAnsi="Arial" w:cs="Arial"/>
        </w:rPr>
      </w:pPr>
      <w:r>
        <w:rPr>
          <w:sz w:val="22"/>
          <w:rFonts w:ascii="Arial" w:hAnsi="Arial"/>
        </w:rPr>
        <w:t xml:space="preserve">le specifiche di progettazione del sistema, vale a dire la logica generale del sistema di IA e degli algoritmi;</w:t>
      </w:r>
      <w:r>
        <w:rPr>
          <w:sz w:val="22"/>
          <w:rFonts w:ascii="Arial" w:hAnsi="Arial"/>
        </w:rPr>
        <w:t xml:space="preserve"> </w:t>
      </w:r>
      <w:r>
        <w:rPr>
          <w:sz w:val="22"/>
          <w:rFonts w:ascii="Arial" w:hAnsi="Arial"/>
        </w:rPr>
        <w:t xml:space="preserve">le principali scelte di progettazione, comprese le motivazioni e le ipotesi formulate, anche per quanto riguarda le persone o i gruppi di persone sui quali il sistema è destinato a essere utilizzato;</w:t>
      </w:r>
      <w:r>
        <w:rPr>
          <w:sz w:val="22"/>
          <w:rFonts w:ascii="Arial" w:hAnsi="Arial"/>
        </w:rPr>
        <w:t xml:space="preserve"> </w:t>
      </w:r>
      <w:r>
        <w:rPr>
          <w:sz w:val="22"/>
          <w:rFonts w:ascii="Arial" w:hAnsi="Arial"/>
        </w:rPr>
        <w:t xml:space="preserve">le principali scelte di classificazione;</w:t>
      </w:r>
      <w:r>
        <w:rPr>
          <w:sz w:val="22"/>
          <w:rFonts w:ascii="Arial" w:hAnsi="Arial"/>
        </w:rPr>
        <w:t xml:space="preserve"> </w:t>
      </w:r>
      <w:r>
        <w:rPr>
          <w:sz w:val="22"/>
          <w:rFonts w:ascii="Arial" w:hAnsi="Arial"/>
        </w:rPr>
        <w:t xml:space="preserve">gli aspetti che il sistema è progettato per ottimizzare e la pertinenza dei diversi parametri;</w:t>
      </w:r>
      <w:r>
        <w:rPr>
          <w:sz w:val="22"/>
          <w:rFonts w:ascii="Arial" w:hAnsi="Arial"/>
        </w:rPr>
        <w:t xml:space="preserve"> </w:t>
      </w:r>
      <w:r>
        <w:rPr>
          <w:sz w:val="22"/>
          <w:rFonts w:ascii="Arial" w:hAnsi="Arial"/>
        </w:rPr>
        <w:t xml:space="preserve">la descrizione dell'output atteso e della qualità dell'output del sistema;</w:t>
      </w:r>
      <w:r>
        <w:rPr>
          <w:sz w:val="22"/>
          <w:rFonts w:ascii="Arial" w:hAnsi="Arial"/>
        </w:rPr>
        <w:t xml:space="preserve"> </w:t>
      </w:r>
      <w:r>
        <w:rPr>
          <w:sz w:val="22"/>
          <w:rFonts w:ascii="Arial" w:hAnsi="Arial"/>
        </w:rPr>
        <w:t xml:space="preserve">le decisioni in merito a eventuali compromessi posti in essere con riguardo alle soluzioni tecniche adottate per soddisfare i requisiti di cui alle presenti CCT-IA-Alto-Rischio;</w:t>
      </w:r>
    </w:p>
    <w:p w14:paraId="2AB4A336"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la descrizione dell'architettura del sistema che spiega in che modo i componenti software si basano l'uno sull'altro o si alimentano reciprocamente e si integrano nel processo complessivo;</w:t>
      </w:r>
      <w:r>
        <w:rPr>
          <w:sz w:val="22"/>
          <w:rFonts w:ascii="Arial" w:hAnsi="Arial"/>
        </w:rPr>
        <w:t xml:space="preserve"> </w:t>
      </w:r>
      <w:r>
        <w:rPr>
          <w:sz w:val="22"/>
          <w:rFonts w:ascii="Arial" w:hAnsi="Arial"/>
        </w:rPr>
        <w:t xml:space="preserve">le risorse computazionali utilizzate per sviluppare, addestrare, sottoporre a prova e convalidare il sistema di IA;</w:t>
      </w:r>
    </w:p>
    <w:p w14:paraId="6EE60D08" w14:textId="7C674916"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ove pertinente, i requisiti in materia di dati mediante schede tecniche che descrivono le metodologie e le tecniche di addestramento e i set di dati di addestramento utilizzati, compresa una descrizione generale di tali set di dati, informazioni sulla loro origine, sul loro ambito di applicazione e sulle loro principali caratteristiche;</w:t>
      </w:r>
      <w:r>
        <w:rPr>
          <w:sz w:val="22"/>
          <w:rFonts w:ascii="Arial" w:hAnsi="Arial"/>
        </w:rPr>
        <w:t xml:space="preserve"> </w:t>
      </w:r>
      <w:r>
        <w:rPr>
          <w:sz w:val="22"/>
          <w:rFonts w:ascii="Arial" w:hAnsi="Arial"/>
        </w:rPr>
        <w:t xml:space="preserve">le modalità di ottenimento e di selezione dei dati;</w:t>
      </w:r>
      <w:r>
        <w:rPr>
          <w:sz w:val="22"/>
          <w:rFonts w:ascii="Arial" w:hAnsi="Arial"/>
        </w:rPr>
        <w:t xml:space="preserve"> </w:t>
      </w:r>
      <w:r>
        <w:rPr>
          <w:sz w:val="22"/>
          <w:rFonts w:ascii="Arial" w:hAnsi="Arial"/>
        </w:rPr>
        <w:t xml:space="preserve">le procedure di etichettatura, ad esempio per l'apprendimento supervisionato, e le metodologie di pulizia dei dati, ad esempio il rilevamento di valori anomali (outlier);</w:t>
      </w:r>
    </w:p>
    <w:p w14:paraId="0A8ED183" w14:textId="177B1273" w:rsidR="009B4B27" w:rsidRPr="00F973AB" w:rsidRDefault="009B4B27" w:rsidP="009B4B27">
      <w:pPr>
        <w:pStyle w:val="doLijstnummering5"/>
        <w:numPr>
          <w:ilvl w:val="1"/>
          <w:numId w:val="9"/>
        </w:numPr>
        <w:rPr>
          <w:sz w:val="22"/>
          <w:szCs w:val="22"/>
          <w:rFonts w:ascii="Arial" w:hAnsi="Arial" w:cs="Arial"/>
        </w:rPr>
      </w:pPr>
      <w:r>
        <w:rPr>
          <w:sz w:val="22"/>
          <w:rFonts w:ascii="Arial" w:hAnsi="Arial"/>
        </w:rPr>
        <w:t xml:space="preserve">la valutazione delle misure di sorveglianza umana necessarie in conformità delle presenti CCT-IA-Alto-Rischio, compresa una valutazione delle misure tecniche necessarie per facilitare l'interpretazione degli output dei sistemi di IA da parte dell'organizzazione pubblica, in conformità delle presenti CCT-IA-Alto-Rischio;</w:t>
      </w:r>
    </w:p>
    <w:p w14:paraId="24084DC2" w14:textId="677F870A"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ove applicabile, una descrizione dettagliata delle modifiche predeterminate del sistema di IA e delle sue prestazioni, unitamente a tutte le informazioni pertinenti relative alle soluzioni tecniche adottate per garantire la conformità costante del sistema di IA ai requisiti pertinenti di cui alle presenti CCT-IA-Alto-Rischio;</w:t>
      </w:r>
    </w:p>
    <w:p w14:paraId="6D9BC3AC" w14:textId="348AD9CB"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le procedure di convalida e di prova utilizzate, comprese le informazioni sui dati di convalida e di prova utilizzati e sulle loro principali caratteristiche;</w:t>
      </w:r>
      <w:r>
        <w:rPr>
          <w:sz w:val="22"/>
          <w:rFonts w:ascii="Arial" w:hAnsi="Arial"/>
        </w:rPr>
        <w:t xml:space="preserve"> </w:t>
      </w:r>
      <w:r>
        <w:rPr>
          <w:sz w:val="22"/>
          <w:rFonts w:ascii="Arial" w:hAnsi="Arial"/>
        </w:rPr>
        <w:t xml:space="preserve">le metriche utilizzate per misurare l'accuratezza, la robustezza e la conformità ad altri requisiti pertinenti di cui alle presenti CCT-IA-Alto-Rischio, nonché gli impatti potenzialmente discriminatori;</w:t>
      </w:r>
      <w:r>
        <w:rPr>
          <w:sz w:val="22"/>
          <w:rFonts w:ascii="Arial" w:hAnsi="Arial"/>
        </w:rPr>
        <w:t xml:space="preserve"> </w:t>
      </w:r>
      <w:r>
        <w:rPr>
          <w:sz w:val="22"/>
          <w:rFonts w:ascii="Arial" w:hAnsi="Arial"/>
        </w:rPr>
        <w:t xml:space="preserve">i log delle prove e tutte le relazioni di prova corredate di data e firma delle persone responsabili, anche per quanto riguarda le modifiche predeterminate di cui al paragrafo 2.5;</w:t>
      </w:r>
    </w:p>
    <w:p w14:paraId="0BAE802B"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le misure di cibersicurezza poste in essere.</w:t>
      </w:r>
    </w:p>
    <w:p w14:paraId="4077ADA4" w14:textId="77777777" w:rsidR="00CE2EF9" w:rsidRPr="00F973AB" w:rsidRDefault="00CE2EF9" w:rsidP="00CE2EF9">
      <w:pPr>
        <w:pStyle w:val="doLijstnummering5"/>
        <w:numPr>
          <w:ilvl w:val="0"/>
          <w:numId w:val="0"/>
        </w:numPr>
        <w:ind w:left="1702"/>
        <w:rPr>
          <w:rFonts w:ascii="Arial" w:hAnsi="Arial" w:cs="Arial"/>
          <w:sz w:val="22"/>
          <w:szCs w:val="22"/>
        </w:rPr>
      </w:pPr>
    </w:p>
    <w:p w14:paraId="4A4D3303" w14:textId="7AE1D309" w:rsidR="00CE2EF9" w:rsidRPr="00F973AB" w:rsidRDefault="00052363" w:rsidP="00564A63">
      <w:pPr>
        <w:pStyle w:val="doLijstnummering5"/>
        <w:rPr>
          <w:sz w:val="22"/>
          <w:szCs w:val="22"/>
          <w:rFonts w:ascii="Arial" w:hAnsi="Arial" w:cs="Arial"/>
        </w:rPr>
      </w:pPr>
      <w:r>
        <w:rPr>
          <w:sz w:val="22"/>
          <w:rFonts w:ascii="Arial" w:hAnsi="Arial"/>
        </w:rPr>
        <w:t xml:space="preserve">Informazioni dettagliate sul monitoraggio, sul funzionamento e sul controllo del sistema di IA, in particolare per quanto riguarda:</w:t>
      </w:r>
      <w:r>
        <w:rPr>
          <w:sz w:val="22"/>
          <w:rFonts w:ascii="Arial" w:hAnsi="Arial"/>
        </w:rPr>
        <w:t xml:space="preserve"> </w:t>
      </w:r>
      <w:r>
        <w:rPr>
          <w:sz w:val="22"/>
          <w:rFonts w:ascii="Arial" w:hAnsi="Arial"/>
        </w:rPr>
        <w:t xml:space="preserve">le sue capacità e limitazioni in termini di prestazioni, compresi i gradi di accuratezza relativi a determinate persone o determinati gruppi di persone sui quali il sistema è destinato a essere utilizzato e il livello di accuratezza complessivo atteso in relazione alla finalità prevista del sistema;</w:t>
      </w:r>
      <w:r>
        <w:rPr>
          <w:sz w:val="22"/>
          <w:rFonts w:ascii="Arial" w:hAnsi="Arial"/>
        </w:rPr>
        <w:t xml:space="preserve"> </w:t>
      </w:r>
      <w:r>
        <w:rPr>
          <w:sz w:val="22"/>
          <w:rFonts w:ascii="Arial" w:hAnsi="Arial"/>
        </w:rPr>
        <w:t xml:space="preserve">i prevedibili risultati indesiderati e fonti di rischio per la salute, la sicurezza e i diritti fondamentali, nonché di rischio di discriminazione in considerazione della finalità prevista del sistema di IA;</w:t>
      </w:r>
    </w:p>
    <w:p w14:paraId="0EAACA0B" w14:textId="77777777" w:rsidR="00CE2EF9" w:rsidRPr="00F973AB" w:rsidRDefault="00CE2EF9" w:rsidP="00CE2EF9">
      <w:pPr>
        <w:pStyle w:val="doLijstnummering5"/>
        <w:numPr>
          <w:ilvl w:val="0"/>
          <w:numId w:val="0"/>
        </w:numPr>
        <w:ind w:left="851"/>
        <w:rPr>
          <w:rFonts w:ascii="Arial" w:hAnsi="Arial" w:cs="Arial"/>
          <w:sz w:val="22"/>
          <w:szCs w:val="22"/>
        </w:rPr>
      </w:pPr>
    </w:p>
    <w:p w14:paraId="4915B434" w14:textId="1C009D58" w:rsidR="009B4B27" w:rsidRPr="00F973AB" w:rsidRDefault="00052363" w:rsidP="00CE2EF9">
      <w:pPr>
        <w:pStyle w:val="doLijstnummering5"/>
        <w:rPr>
          <w:sz w:val="22"/>
          <w:szCs w:val="22"/>
          <w:rFonts w:ascii="Arial" w:hAnsi="Arial" w:cs="Arial"/>
        </w:rPr>
      </w:pPr>
      <w:r>
        <w:rPr>
          <w:sz w:val="22"/>
          <w:rFonts w:ascii="Arial" w:hAnsi="Arial"/>
        </w:rPr>
        <w:t xml:space="preserve">una descrizione dell'adeguatezza delle metriche di prestazione per il sistema di IA specifico;</w:t>
      </w:r>
    </w:p>
    <w:p w14:paraId="60AF0F2C" w14:textId="77777777" w:rsidR="009B4B27" w:rsidRPr="00F973AB" w:rsidRDefault="009B4B27" w:rsidP="00564A63">
      <w:pPr>
        <w:pStyle w:val="doLijstnummering5"/>
        <w:numPr>
          <w:ilvl w:val="0"/>
          <w:numId w:val="0"/>
        </w:numPr>
        <w:ind w:left="851"/>
        <w:rPr>
          <w:rFonts w:ascii="Arial" w:hAnsi="Arial" w:cs="Arial"/>
          <w:sz w:val="22"/>
          <w:szCs w:val="22"/>
        </w:rPr>
      </w:pPr>
    </w:p>
    <w:p w14:paraId="36E5F47C" w14:textId="01DBF04B" w:rsidR="00CE2EF9" w:rsidRPr="00F973AB" w:rsidRDefault="00052363" w:rsidP="00CE2EF9">
      <w:pPr>
        <w:pStyle w:val="doLijstnummering5"/>
        <w:rPr>
          <w:sz w:val="22"/>
          <w:szCs w:val="22"/>
          <w:rFonts w:ascii="Arial" w:hAnsi="Arial" w:cs="Arial"/>
        </w:rPr>
      </w:pPr>
      <w:r>
        <w:rPr>
          <w:sz w:val="22"/>
          <w:rFonts w:ascii="Arial" w:hAnsi="Arial"/>
        </w:rPr>
        <w:t xml:space="preserve">una descrizione dettagliata del sistema di gestione dei rischi in conformità dell'articolo 2;</w:t>
      </w:r>
    </w:p>
    <w:p w14:paraId="2EE1094C" w14:textId="77777777" w:rsidR="00CE2EF9" w:rsidRPr="00F973AB" w:rsidRDefault="00CE2EF9" w:rsidP="00CE2EF9">
      <w:pPr>
        <w:pStyle w:val="doLijstnummering5"/>
        <w:numPr>
          <w:ilvl w:val="0"/>
          <w:numId w:val="0"/>
        </w:numPr>
        <w:ind w:left="851"/>
        <w:rPr>
          <w:rFonts w:ascii="Arial" w:hAnsi="Arial" w:cs="Arial"/>
          <w:sz w:val="22"/>
          <w:szCs w:val="22"/>
        </w:rPr>
      </w:pPr>
    </w:p>
    <w:p w14:paraId="0A2E70B2" w14:textId="35CCEBD9" w:rsidR="001C5152" w:rsidRPr="00F973AB" w:rsidRDefault="00052363" w:rsidP="001C5152">
      <w:pPr>
        <w:pStyle w:val="doLijstnummering5"/>
        <w:rPr>
          <w:sz w:val="22"/>
          <w:szCs w:val="22"/>
          <w:rFonts w:ascii="Arial" w:hAnsi="Arial" w:cs="Arial"/>
        </w:rPr>
      </w:pPr>
      <w:r>
        <w:rPr>
          <w:sz w:val="22"/>
          <w:rFonts w:ascii="Arial" w:hAnsi="Arial"/>
        </w:rPr>
        <w:t xml:space="preserve">una descrizione di qualsiasi modifica pertinente apportata dal fornitore al sistema durante il suo ciclo di vita.</w:t>
      </w:r>
      <w:r>
        <w:rPr>
          <w:sz w:val="22"/>
          <w:rFonts w:ascii="Arial" w:hAnsi="Arial"/>
        </w:rPr>
        <w:br w:type="page"/>
      </w:r>
    </w:p>
    <w:p w14:paraId="32A6061A" w14:textId="77777777" w:rsidR="00CE2EF9" w:rsidRPr="00F973AB" w:rsidRDefault="00CE2EF9" w:rsidP="00A74620">
      <w:pPr>
        <w:spacing w:after="360"/>
        <w:rPr>
          <w:b/>
          <w:sz w:val="26"/>
          <w:szCs w:val="26"/>
          <w:rFonts w:ascii="Arial" w:hAnsi="Arial" w:cs="Arial"/>
        </w:rPr>
      </w:pPr>
      <w:r>
        <w:rPr>
          <w:b/>
          <w:sz w:val="26"/>
          <w:rFonts w:ascii="Arial" w:hAnsi="Arial"/>
        </w:rPr>
        <w:t xml:space="preserve">Allegato D – Istruzioni per l'uso</w:t>
      </w:r>
    </w:p>
    <w:p w14:paraId="2644D815" w14:textId="77777777" w:rsidR="00CE2EF9" w:rsidRPr="00F973AB" w:rsidRDefault="00CE2EF9" w:rsidP="00CE2EF9">
      <w:pPr>
        <w:spacing w:after="210"/>
        <w:jc w:val="both"/>
        <w:rPr>
          <w:sz w:val="22"/>
          <w:szCs w:val="22"/>
          <w:rFonts w:ascii="Arial" w:hAnsi="Arial" w:cs="Arial"/>
        </w:rPr>
      </w:pPr>
      <w:r>
        <w:rPr>
          <w:sz w:val="22"/>
          <w:rFonts w:ascii="Arial" w:hAnsi="Arial"/>
        </w:rPr>
        <w:t xml:space="preserve">Le istruzioni per l'uso devono includere almeno le seguenti informazioni, a seconda dell'applicabilità al sistema di IA:</w:t>
      </w:r>
    </w:p>
    <w:p w14:paraId="3A225FCB" w14:textId="77777777" w:rsidR="00CE2EF9" w:rsidRPr="00F973AB" w:rsidRDefault="00CE2EF9" w:rsidP="00CE2EF9">
      <w:pPr>
        <w:pStyle w:val="doLijstnummering5"/>
        <w:numPr>
          <w:ilvl w:val="0"/>
          <w:numId w:val="10"/>
        </w:numPr>
        <w:rPr>
          <w:sz w:val="22"/>
          <w:szCs w:val="22"/>
          <w:rFonts w:ascii="Arial" w:hAnsi="Arial" w:cs="Arial"/>
        </w:rPr>
      </w:pPr>
      <w:r>
        <w:rPr>
          <w:sz w:val="22"/>
          <w:rFonts w:ascii="Arial" w:hAnsi="Arial"/>
        </w:rPr>
        <w:t xml:space="preserve">l'identità e i dati di contatto del fornitore e, ove applicabile, dei suoi rappresentanti autorizzati;</w:t>
      </w:r>
    </w:p>
    <w:p w14:paraId="53C1B122" w14:textId="77777777" w:rsidR="00CE2EF9" w:rsidRPr="00F973AB" w:rsidRDefault="00CE2EF9" w:rsidP="00CE2EF9">
      <w:pPr>
        <w:pStyle w:val="doLijstnummering5"/>
        <w:numPr>
          <w:ilvl w:val="0"/>
          <w:numId w:val="0"/>
        </w:numPr>
        <w:ind w:left="851"/>
        <w:rPr>
          <w:rFonts w:ascii="Arial" w:hAnsi="Arial" w:cs="Arial"/>
          <w:sz w:val="22"/>
          <w:szCs w:val="22"/>
        </w:rPr>
      </w:pPr>
    </w:p>
    <w:p w14:paraId="48B53CA5" w14:textId="77777777" w:rsidR="00CE2EF9" w:rsidRPr="00F973AB" w:rsidRDefault="00CE2EF9" w:rsidP="00CE2EF9">
      <w:pPr>
        <w:pStyle w:val="doLijstnummering5"/>
        <w:numPr>
          <w:ilvl w:val="0"/>
          <w:numId w:val="10"/>
        </w:numPr>
        <w:rPr>
          <w:sz w:val="22"/>
          <w:szCs w:val="22"/>
          <w:rFonts w:ascii="Arial" w:hAnsi="Arial" w:cs="Arial"/>
        </w:rPr>
      </w:pPr>
      <w:r>
        <w:rPr>
          <w:sz w:val="22"/>
          <w:rFonts w:ascii="Arial" w:hAnsi="Arial"/>
        </w:rPr>
        <w:t xml:space="preserve">le caratteristiche, le capacità e i limiti delle prestazioni del sistema di IA, tra cui se del caso:</w:t>
      </w:r>
    </w:p>
    <w:p w14:paraId="6BE450DE" w14:textId="77777777" w:rsidR="00CE2EF9" w:rsidRPr="00F973AB" w:rsidRDefault="00CE2EF9" w:rsidP="00CE2EF9">
      <w:pPr>
        <w:pStyle w:val="doLijstnummering5"/>
        <w:numPr>
          <w:ilvl w:val="1"/>
          <w:numId w:val="10"/>
        </w:numPr>
        <w:rPr>
          <w:sz w:val="22"/>
          <w:szCs w:val="22"/>
          <w:rFonts w:ascii="Arial" w:hAnsi="Arial" w:cs="Arial"/>
        </w:rPr>
      </w:pPr>
      <w:r>
        <w:rPr>
          <w:sz w:val="22"/>
          <w:rFonts w:ascii="Arial" w:hAnsi="Arial"/>
        </w:rPr>
        <w:t xml:space="preserve">la finalità prevista;</w:t>
      </w:r>
    </w:p>
    <w:p w14:paraId="30FF4711" w14:textId="452EB214" w:rsidR="00CE2EF9" w:rsidRPr="00F973AB" w:rsidRDefault="00CE2EF9" w:rsidP="00CE2EF9">
      <w:pPr>
        <w:pStyle w:val="doLijstnummering5"/>
        <w:numPr>
          <w:ilvl w:val="1"/>
          <w:numId w:val="10"/>
        </w:numPr>
        <w:rPr>
          <w:sz w:val="22"/>
          <w:szCs w:val="22"/>
          <w:rFonts w:ascii="Arial" w:hAnsi="Arial" w:cs="Arial"/>
        </w:rPr>
      </w:pPr>
      <w:r>
        <w:rPr>
          <w:sz w:val="22"/>
          <w:rFonts w:ascii="Arial" w:hAnsi="Arial"/>
        </w:rPr>
        <w:t xml:space="preserve">il livello di accuratezza, comprese le relative metriche, robustezza e cibersicurezza di cui all'articolo 8 rispetto al quale il sistema di IA è stato sottoposto a prova e convalidato e che ci si può attendere, e qualsiasi circostanza chiaramente nota e prevedibile che possa avere un impatto sul livello atteso di accuratezza, robustezza e cibersicurezza;</w:t>
      </w:r>
    </w:p>
    <w:p w14:paraId="4C5618BD" w14:textId="401908F7" w:rsidR="00CE2EF9" w:rsidRPr="00F973AB" w:rsidRDefault="00CE2EF9" w:rsidP="00CE2EF9">
      <w:pPr>
        <w:pStyle w:val="doLijstnummering5"/>
        <w:numPr>
          <w:ilvl w:val="1"/>
          <w:numId w:val="10"/>
        </w:numPr>
        <w:rPr>
          <w:sz w:val="22"/>
          <w:szCs w:val="22"/>
          <w:rFonts w:ascii="Arial" w:hAnsi="Arial" w:cs="Arial"/>
        </w:rPr>
      </w:pPr>
      <w:r>
        <w:rPr>
          <w:sz w:val="22"/>
          <w:rFonts w:ascii="Arial" w:hAnsi="Arial"/>
        </w:rPr>
        <w:t xml:space="preserve">qualsiasi circostanza nota o prevedibile connessa all'uso del sistema di IA in conformità alla sua finalità prevista o in condizioni di uso improprio ragionevolmente prevedibile, che possa comportare rischi per la salute e la sicurezza o per i diritti fondamentali;</w:t>
      </w:r>
    </w:p>
    <w:p w14:paraId="1DFFE207" w14:textId="1B79CC04" w:rsidR="00CE2EF9" w:rsidRPr="00F973AB" w:rsidRDefault="00D3678A" w:rsidP="00D3678A">
      <w:pPr>
        <w:pStyle w:val="doLijstnummering5"/>
        <w:numPr>
          <w:ilvl w:val="1"/>
          <w:numId w:val="10"/>
        </w:numPr>
        <w:rPr>
          <w:sz w:val="22"/>
          <w:szCs w:val="22"/>
          <w:rFonts w:ascii="Arial" w:hAnsi="Arial" w:cs="Arial"/>
        </w:rPr>
      </w:pPr>
      <w:r>
        <w:rPr>
          <w:sz w:val="22"/>
          <w:rFonts w:ascii="Arial" w:hAnsi="Arial"/>
        </w:rPr>
        <w:t xml:space="preserve">se del caso, le capacità e caratteristiche tecniche del sistema di IA ad alto rischio connesse alla fornitura di informazioni pertinenti per spiegarne l'output;</w:t>
      </w:r>
      <w:r>
        <w:rPr>
          <w:sz w:val="22"/>
          <w:rFonts w:ascii="Arial" w:hAnsi="Arial"/>
        </w:rPr>
        <w:cr/>
      </w:r>
    </w:p>
    <w:p w14:paraId="7C8EF870" w14:textId="2A947897" w:rsidR="00CE2EF9" w:rsidRPr="00F973AB" w:rsidRDefault="00D3678A" w:rsidP="00D3678A">
      <w:pPr>
        <w:pStyle w:val="doLijstnummering5"/>
        <w:numPr>
          <w:ilvl w:val="1"/>
          <w:numId w:val="10"/>
        </w:numPr>
        <w:rPr>
          <w:sz w:val="22"/>
          <w:szCs w:val="22"/>
          <w:rFonts w:ascii="Arial" w:hAnsi="Arial" w:cs="Arial"/>
        </w:rPr>
      </w:pPr>
      <w:r>
        <w:rPr>
          <w:sz w:val="22"/>
          <w:rFonts w:ascii="Arial" w:hAnsi="Arial"/>
        </w:rPr>
        <w:t xml:space="preserve">ove opportuno, le sue prestazioni per quanto riguarda le persone o i gruppi di persone specifici sui quali il sistema di IA è destinato a essere utilizzato;</w:t>
      </w:r>
    </w:p>
    <w:p w14:paraId="154A99A7" w14:textId="77777777" w:rsidR="002F066E" w:rsidRDefault="00D3678A" w:rsidP="002F066E">
      <w:pPr>
        <w:pStyle w:val="doLijstnummering5"/>
        <w:numPr>
          <w:ilvl w:val="1"/>
          <w:numId w:val="10"/>
        </w:numPr>
        <w:rPr>
          <w:sz w:val="22"/>
          <w:szCs w:val="22"/>
          <w:rFonts w:ascii="Arial" w:hAnsi="Arial" w:cs="Arial"/>
        </w:rPr>
      </w:pPr>
      <w:r>
        <w:rPr>
          <w:sz w:val="22"/>
          <w:rFonts w:ascii="Arial" w:hAnsi="Arial"/>
        </w:rPr>
        <w:t xml:space="preserve">ove opportuno, le specifiche per i dati di input o qualsiasi altra informazione pertinente in termini di set di dati di addestramento, convalida e prova, tenendo conto della finalità prevista del sistema di IA;</w:t>
      </w:r>
    </w:p>
    <w:p w14:paraId="5C4B93A6" w14:textId="6AE60494" w:rsidR="00CE2EF9" w:rsidRPr="002F066E" w:rsidRDefault="00D3678A" w:rsidP="002F066E">
      <w:pPr>
        <w:pStyle w:val="doLijstnummering5"/>
        <w:numPr>
          <w:ilvl w:val="1"/>
          <w:numId w:val="10"/>
        </w:numPr>
        <w:rPr>
          <w:sz w:val="22"/>
          <w:szCs w:val="22"/>
          <w:rFonts w:ascii="Arial" w:hAnsi="Arial" w:cs="Arial"/>
        </w:rPr>
      </w:pPr>
      <w:r>
        <w:rPr>
          <w:sz w:val="22"/>
          <w:rFonts w:ascii="Arial" w:hAnsi="Arial"/>
        </w:rPr>
        <w:t xml:space="preserve">se del caso, informazioni che consentano ai deployer di interpretare l'output del sistema di IA e di usarlo in modo opportuno;</w:t>
      </w:r>
      <w:r>
        <w:rPr>
          <w:sz w:val="22"/>
          <w:rFonts w:ascii="Arial" w:hAnsi="Arial"/>
        </w:rPr>
        <w:cr/>
      </w:r>
    </w:p>
    <w:p w14:paraId="5A6C2171" w14:textId="77777777" w:rsidR="00CE2EF9" w:rsidRPr="00F973AB" w:rsidRDefault="00CE2EF9" w:rsidP="00CE2EF9">
      <w:pPr>
        <w:pStyle w:val="doLijstnummering5"/>
        <w:numPr>
          <w:ilvl w:val="0"/>
          <w:numId w:val="10"/>
        </w:numPr>
        <w:rPr>
          <w:sz w:val="22"/>
          <w:szCs w:val="22"/>
          <w:rFonts w:ascii="Arial" w:hAnsi="Arial" w:cs="Arial"/>
        </w:rPr>
      </w:pPr>
      <w:r>
        <w:rPr>
          <w:sz w:val="22"/>
          <w:rFonts w:ascii="Arial" w:hAnsi="Arial"/>
        </w:rPr>
        <w:t xml:space="preserve">le eventuali modifiche apportate al sistema di IA e alle sue prestazioni, che sono state predeterminate dal fornitore;</w:t>
      </w:r>
      <w:r>
        <w:rPr>
          <w:sz w:val="22"/>
          <w:rFonts w:ascii="Arial" w:hAnsi="Arial"/>
        </w:rPr>
        <w:t xml:space="preserve"> </w:t>
      </w:r>
    </w:p>
    <w:p w14:paraId="014BD99A" w14:textId="77777777" w:rsidR="00CE2EF9" w:rsidRPr="00F973AB" w:rsidRDefault="00CE2EF9" w:rsidP="00CE2EF9">
      <w:pPr>
        <w:pStyle w:val="doLijstnummering5"/>
        <w:numPr>
          <w:ilvl w:val="0"/>
          <w:numId w:val="0"/>
        </w:numPr>
        <w:ind w:left="851"/>
        <w:rPr>
          <w:rFonts w:ascii="Arial" w:hAnsi="Arial" w:cs="Arial"/>
          <w:sz w:val="22"/>
          <w:szCs w:val="22"/>
        </w:rPr>
      </w:pPr>
    </w:p>
    <w:p w14:paraId="55E78B7C" w14:textId="77777777" w:rsidR="00CE2EF9" w:rsidRPr="00F973AB" w:rsidRDefault="00CE2EF9" w:rsidP="00CE2EF9">
      <w:pPr>
        <w:pStyle w:val="doLijstnummering5"/>
        <w:numPr>
          <w:ilvl w:val="0"/>
          <w:numId w:val="10"/>
        </w:numPr>
        <w:rPr>
          <w:sz w:val="22"/>
          <w:szCs w:val="22"/>
          <w:rFonts w:ascii="Arial" w:hAnsi="Arial" w:cs="Arial"/>
        </w:rPr>
      </w:pPr>
      <w:r>
        <w:rPr>
          <w:sz w:val="22"/>
          <w:rFonts w:ascii="Arial" w:hAnsi="Arial"/>
        </w:rPr>
        <w:t xml:space="preserve">le misure di sorveglianza umana di cui all'</w:t>
      </w:r>
      <w:bookmarkStart w:id="3" w:name="OpenAt"/>
      <w:r>
        <w:rPr>
          <w:sz w:val="22"/>
          <w:rFonts w:ascii="Arial" w:hAnsi="Arial"/>
        </w:rPr>
        <w:t xml:space="preserve">articolo</w:t>
      </w:r>
      <w:bookmarkEnd w:id="3"/>
      <w:r>
        <w:rPr>
          <w:sz w:val="22"/>
          <w:rFonts w:ascii="Arial" w:hAnsi="Arial"/>
        </w:rPr>
        <w:t xml:space="preserve"> 7, comprese le misure tecniche poste in essere per facilitare l'interpretazione degli output del sistema di IA da parte dell'organizzazione pubblica;</w:t>
      </w:r>
    </w:p>
    <w:p w14:paraId="2EDF0A23" w14:textId="77777777" w:rsidR="00CE2EF9" w:rsidRPr="00F973AB" w:rsidRDefault="00CE2EF9" w:rsidP="00CE2EF9">
      <w:pPr>
        <w:pStyle w:val="doLijstnummering5"/>
        <w:numPr>
          <w:ilvl w:val="0"/>
          <w:numId w:val="0"/>
        </w:numPr>
        <w:ind w:left="851"/>
        <w:rPr>
          <w:rFonts w:ascii="Arial" w:hAnsi="Arial" w:cs="Arial"/>
          <w:sz w:val="22"/>
          <w:szCs w:val="22"/>
        </w:rPr>
      </w:pPr>
    </w:p>
    <w:p w14:paraId="3D94A9D8" w14:textId="77777777" w:rsidR="00CE2EF9" w:rsidRPr="00F973AB" w:rsidRDefault="00D3678A" w:rsidP="00D3678A">
      <w:pPr>
        <w:pStyle w:val="doLijstnummering5"/>
        <w:numPr>
          <w:ilvl w:val="0"/>
          <w:numId w:val="10"/>
        </w:numPr>
        <w:rPr>
          <w:sz w:val="22"/>
          <w:szCs w:val="22"/>
          <w:rFonts w:ascii="Arial" w:hAnsi="Arial" w:cs="Arial"/>
        </w:rPr>
      </w:pPr>
      <w:r>
        <w:rPr>
          <w:sz w:val="22"/>
          <w:rFonts w:ascii="Arial" w:hAnsi="Arial"/>
        </w:rPr>
        <w:t xml:space="preserve">le risorse computazionali e di hardware necessarie, la durata prevista del sistema di IA e tutte le misure di manutenzione e cura, compresa la relativa frequenza, necessarie per garantire il corretto funzionamento di tale sistema, anche per quanto riguarda gli aggiornamenti software;</w:t>
      </w:r>
    </w:p>
    <w:p w14:paraId="0B44A81A" w14:textId="77777777" w:rsidR="00CE2EF9" w:rsidRPr="00F973AB" w:rsidRDefault="00CE2EF9" w:rsidP="00CE2EF9">
      <w:pPr>
        <w:pStyle w:val="doLijstnummering5"/>
        <w:numPr>
          <w:ilvl w:val="0"/>
          <w:numId w:val="0"/>
        </w:numPr>
        <w:ind w:left="851"/>
        <w:rPr>
          <w:rFonts w:ascii="Arial" w:hAnsi="Arial" w:cs="Arial"/>
          <w:sz w:val="22"/>
          <w:szCs w:val="22"/>
        </w:rPr>
      </w:pPr>
    </w:p>
    <w:p w14:paraId="4763F328" w14:textId="112987C6" w:rsidR="00CE2EF9" w:rsidRPr="00F973AB" w:rsidRDefault="00D3678A" w:rsidP="00564A63">
      <w:pPr>
        <w:pStyle w:val="doLijstnummering5"/>
        <w:rPr>
          <w:b/>
        </w:rPr>
      </w:pPr>
      <w:r>
        <w:rPr>
          <w:sz w:val="22"/>
          <w:rFonts w:ascii="Arial" w:hAnsi="Arial"/>
        </w:rPr>
        <w:t xml:space="preserve">se del caso, una descrizione dei meccanismi inclusi nel sistema di IA che consente all'organizzazione pubblica di raccogliere, conservare e interpretare correttamente i log in conformità dell'articolo 5 delle presenti CCT-IA-Alto-Rischio.</w:t>
      </w:r>
      <w:r>
        <w:rPr>
          <w:sz w:val="22"/>
          <w:rFonts w:ascii="Arial" w:hAnsi="Arial"/>
        </w:rPr>
        <w:t xml:space="preserve"> </w:t>
      </w:r>
      <w:r>
        <w:br w:type="page"/>
      </w:r>
    </w:p>
    <w:p w14:paraId="60742357" w14:textId="77777777" w:rsidR="00CE2EF9" w:rsidRPr="00F973AB" w:rsidRDefault="00CE2EF9" w:rsidP="00A74620">
      <w:pPr>
        <w:spacing w:after="360"/>
        <w:jc w:val="both"/>
        <w:rPr>
          <w:b/>
          <w:sz w:val="26"/>
          <w:szCs w:val="26"/>
          <w:rFonts w:ascii="Arial" w:hAnsi="Arial" w:cs="Arial"/>
        </w:rPr>
      </w:pPr>
      <w:r>
        <w:rPr>
          <w:b/>
          <w:sz w:val="26"/>
          <w:rFonts w:ascii="Arial" w:hAnsi="Arial"/>
        </w:rPr>
        <w:t xml:space="preserve">Allegato E – Misure volte a garantire la trasparenza</w:t>
      </w:r>
    </w:p>
    <w:p w14:paraId="627CAA54" w14:textId="014A67DD" w:rsidR="00CE2EF9" w:rsidRPr="00F973AB" w:rsidRDefault="00CE2EF9" w:rsidP="00CE2EF9">
      <w:pPr>
        <w:spacing w:after="210"/>
        <w:jc w:val="both"/>
        <w:rPr>
          <w:i/>
          <w:sz w:val="22"/>
          <w:szCs w:val="22"/>
          <w:rFonts w:ascii="Arial" w:hAnsi="Arial" w:cs="Arial"/>
        </w:rPr>
      </w:pPr>
      <w:r>
        <w:rPr>
          <w:i/>
          <w:sz w:val="22"/>
          <w:rFonts w:ascii="Arial" w:hAnsi="Arial"/>
        </w:rPr>
        <w:t xml:space="preserve">Fornire in questa parte una descrizione delle misure tecniche e organizzative che il fornitore deve adottare per garantire la trasparenza a norma dell'articolo 6 delle CCT-IA-Alto-Rischio.</w:t>
      </w:r>
    </w:p>
    <w:p w14:paraId="639F3DAB" w14:textId="77777777" w:rsidR="00CE2EF9" w:rsidRPr="00F973AB" w:rsidRDefault="00CE2EF9" w:rsidP="00CE2EF9">
      <w:pPr>
        <w:spacing w:after="210"/>
        <w:jc w:val="both"/>
        <w:rPr>
          <w:b/>
          <w:sz w:val="22"/>
          <w:szCs w:val="22"/>
          <w:rFonts w:ascii="Arial" w:hAnsi="Arial" w:cs="Arial"/>
        </w:rPr>
      </w:pPr>
      <w:r>
        <w:br w:type="page"/>
      </w:r>
    </w:p>
    <w:p w14:paraId="6F0DAB33" w14:textId="77777777" w:rsidR="00CE2EF9" w:rsidRPr="00F973AB" w:rsidRDefault="00CE2EF9" w:rsidP="00A74620">
      <w:pPr>
        <w:spacing w:after="360"/>
        <w:jc w:val="both"/>
        <w:rPr>
          <w:b/>
          <w:sz w:val="26"/>
          <w:szCs w:val="26"/>
          <w:rFonts w:ascii="Arial" w:hAnsi="Arial" w:cs="Arial"/>
        </w:rPr>
      </w:pPr>
      <w:r>
        <w:rPr>
          <w:b/>
          <w:sz w:val="26"/>
          <w:rFonts w:ascii="Arial" w:hAnsi="Arial"/>
        </w:rPr>
        <w:t xml:space="preserve">Allegato F – Misure volte a garantire la sorveglianza umana</w:t>
      </w:r>
    </w:p>
    <w:p w14:paraId="7A6DBACF" w14:textId="1E7F2DDA" w:rsidR="00CE2EF9" w:rsidRPr="00F973AB" w:rsidRDefault="00CE2EF9" w:rsidP="00CE2EF9">
      <w:pPr>
        <w:spacing w:after="210"/>
        <w:jc w:val="both"/>
        <w:rPr>
          <w:i/>
          <w:sz w:val="22"/>
          <w:szCs w:val="22"/>
          <w:rFonts w:ascii="Arial" w:hAnsi="Arial" w:cs="Arial"/>
        </w:rPr>
      </w:pPr>
      <w:r>
        <w:rPr>
          <w:i/>
          <w:sz w:val="22"/>
          <w:rFonts w:ascii="Arial" w:hAnsi="Arial"/>
        </w:rPr>
        <w:t xml:space="preserve">Fornire in questa parte una descrizione delle misure tecniche e organizzative che il fornitore deve adottare per garantire la sorveglianza umana a norma dell'articolo 7 delle CCT-IA-Alto-Rischio.</w:t>
      </w:r>
    </w:p>
    <w:p w14:paraId="5EA49DFE" w14:textId="77777777" w:rsidR="00CE2EF9" w:rsidRPr="00F973AB" w:rsidRDefault="00CE2EF9" w:rsidP="00CE2EF9">
      <w:pPr>
        <w:spacing w:after="210"/>
        <w:jc w:val="both"/>
        <w:rPr>
          <w:b/>
          <w:sz w:val="22"/>
          <w:szCs w:val="22"/>
          <w:rFonts w:ascii="Arial" w:hAnsi="Arial" w:cs="Arial"/>
        </w:rPr>
      </w:pPr>
      <w:r>
        <w:br w:type="page"/>
      </w:r>
    </w:p>
    <w:p w14:paraId="6C4E10C8" w14:textId="77777777" w:rsidR="00CE2EF9" w:rsidRPr="00F973AB" w:rsidRDefault="00CE2EF9" w:rsidP="00A74620">
      <w:pPr>
        <w:spacing w:after="360"/>
        <w:jc w:val="both"/>
        <w:rPr>
          <w:b/>
          <w:sz w:val="26"/>
          <w:szCs w:val="26"/>
          <w:rFonts w:ascii="Arial" w:hAnsi="Arial" w:cs="Arial"/>
        </w:rPr>
      </w:pPr>
      <w:r>
        <w:rPr>
          <w:b/>
          <w:sz w:val="26"/>
          <w:rFonts w:ascii="Arial" w:hAnsi="Arial"/>
        </w:rPr>
        <w:t xml:space="preserve">Allegato G – Livelli di accuratezza</w:t>
      </w:r>
    </w:p>
    <w:p w14:paraId="09E6BDFF" w14:textId="77777777" w:rsidR="00CE2EF9" w:rsidRPr="00F973AB" w:rsidRDefault="00CE2EF9" w:rsidP="00CE2EF9">
      <w:pPr>
        <w:spacing w:after="210"/>
        <w:jc w:val="both"/>
        <w:rPr>
          <w:i/>
          <w:sz w:val="22"/>
          <w:szCs w:val="22"/>
          <w:rFonts w:ascii="Arial" w:hAnsi="Arial" w:cs="Arial"/>
        </w:rPr>
      </w:pPr>
      <w:r>
        <w:rPr>
          <w:i/>
          <w:sz w:val="22"/>
          <w:rFonts w:ascii="Arial" w:hAnsi="Arial"/>
        </w:rPr>
        <w:t xml:space="preserve">Descrivere in questa parte i livelli di accuratezza richiesti.</w:t>
      </w:r>
    </w:p>
    <w:p w14:paraId="7413A47E" w14:textId="77777777" w:rsidR="00CE2EF9" w:rsidRPr="00F973AB" w:rsidRDefault="00CE2EF9" w:rsidP="00CE2EF9">
      <w:pPr>
        <w:spacing w:after="210"/>
        <w:jc w:val="both"/>
        <w:rPr>
          <w:i/>
          <w:sz w:val="22"/>
          <w:szCs w:val="22"/>
          <w:rFonts w:ascii="Arial" w:hAnsi="Arial" w:cs="Arial"/>
        </w:rPr>
      </w:pPr>
      <w:r>
        <w:br w:type="page"/>
      </w:r>
    </w:p>
    <w:p w14:paraId="309A7334" w14:textId="77777777" w:rsidR="00CE2EF9" w:rsidRPr="00F973AB" w:rsidRDefault="00CE2EF9" w:rsidP="00A74620">
      <w:pPr>
        <w:spacing w:after="360"/>
        <w:jc w:val="both"/>
        <w:rPr>
          <w:b/>
          <w:sz w:val="26"/>
          <w:szCs w:val="26"/>
          <w:rFonts w:ascii="Arial" w:hAnsi="Arial" w:cs="Arial"/>
        </w:rPr>
      </w:pPr>
      <w:r>
        <w:rPr>
          <w:b/>
          <w:sz w:val="26"/>
          <w:rFonts w:ascii="Arial" w:hAnsi="Arial"/>
        </w:rPr>
        <w:t xml:space="preserve">Allegato H – Misure volte a garantire un livello adeguato di robustezza, sicurezza e cibersicurezza</w:t>
      </w:r>
    </w:p>
    <w:p w14:paraId="30426E6E" w14:textId="100ED041" w:rsidR="00CE2EF9" w:rsidRPr="00F973AB" w:rsidRDefault="00CE2EF9" w:rsidP="00CE2EF9">
      <w:pPr>
        <w:spacing w:after="210"/>
        <w:jc w:val="both"/>
        <w:rPr>
          <w:i/>
          <w:sz w:val="22"/>
          <w:szCs w:val="22"/>
          <w:rFonts w:ascii="Arial" w:hAnsi="Arial" w:cs="Arial"/>
        </w:rPr>
      </w:pPr>
      <w:r>
        <w:rPr>
          <w:i/>
          <w:sz w:val="22"/>
          <w:rFonts w:ascii="Arial" w:hAnsi="Arial"/>
        </w:rPr>
        <w:t xml:space="preserve">Fornire in questa parte una descrizione delle misure tecniche e organizzative che il fornitore deve adottare per garantire un livello adeguato di robustezza, sicurezza e cibersicurezza a norma dell'articolo 8 delle CCT-IA-Alto-Rischio.</w:t>
      </w:r>
    </w:p>
    <w:p w14:paraId="7F9331F2" w14:textId="77777777" w:rsidR="00CE2EF9" w:rsidRPr="00F973AB" w:rsidRDefault="00CE2EF9" w:rsidP="00CE2EF9">
      <w:pPr>
        <w:spacing w:after="210"/>
        <w:jc w:val="both"/>
        <w:rPr>
          <w:i/>
          <w:sz w:val="22"/>
          <w:szCs w:val="22"/>
          <w:rFonts w:ascii="Arial" w:hAnsi="Arial" w:cs="Arial"/>
        </w:rPr>
      </w:pPr>
      <w:r>
        <w:rPr>
          <w:i/>
          <w:sz w:val="22"/>
          <w:rFonts w:ascii="Arial" w:hAnsi="Arial"/>
        </w:rPr>
        <w:t xml:space="preserve">Tali misure devono garantire che il sistema di IA sia il più resiliente possibile per quanto riguarda errori, guasti o incongruenze che possono verificarsi all'interno del sistema o nell'ambiente in cui esso opera, in particolare a causa della loro interazione con persone fisiche o altri sistemi.</w:t>
      </w:r>
    </w:p>
    <w:p w14:paraId="4CF015C3" w14:textId="3A128485" w:rsidR="00CE2EF9" w:rsidRPr="00F973AB" w:rsidRDefault="00CE2EF9" w:rsidP="00CE2EF9">
      <w:pPr>
        <w:spacing w:after="210"/>
        <w:jc w:val="both"/>
        <w:rPr>
          <w:i/>
          <w:sz w:val="22"/>
          <w:szCs w:val="22"/>
          <w:rFonts w:ascii="Arial" w:hAnsi="Arial" w:cs="Arial"/>
        </w:rPr>
      </w:pPr>
      <w:r>
        <w:rPr>
          <w:i/>
          <w:sz w:val="22"/>
          <w:rFonts w:ascii="Arial" w:hAnsi="Arial"/>
        </w:rPr>
        <w:t xml:space="preserve">Il sistema di IA è resiliente ai tentativi di terzi non autorizzati di modificarne l'uso, il comportamento, gli output o le prestazioni sfruttando le vulnerabilità del sistema.</w:t>
      </w:r>
      <w:r>
        <w:rPr>
          <w:i/>
          <w:sz w:val="22"/>
          <w:rFonts w:ascii="Arial" w:hAnsi="Arial"/>
        </w:rPr>
        <w:t xml:space="preserve"> </w:t>
      </w:r>
      <w:r>
        <w:rPr>
          <w:i/>
          <w:sz w:val="22"/>
          <w:rFonts w:ascii="Arial" w:hAnsi="Arial"/>
        </w:rPr>
        <w:t xml:space="preserve">Le soluzioni tecniche finalizzate ad affrontare le vulnerabilità specifiche dell'IA possono includere, ove opportuno, misure volte a prevenire, individuare, contrastare, risolvere e controllare gli attacchi che cercano di manipolare il set di dati di addestramento ("avvelenamento dei dati", data poisoning) o i componenti preaddestrati utilizzati nell'addestramento ("avvelenamento del modello", model poisoning), gli input progettati in modo da far sì che il modello commetta un errore ("esempi antagonistici", adversarial examples o "evasione dal modello", model evasion), gli attacchi alla riservatezza o i difetti del modello che potrebbero comportare un processo decisionale dannoso.</w:t>
      </w:r>
    </w:p>
    <w:p w14:paraId="317FB5A1" w14:textId="77777777" w:rsidR="00CE2EF9" w:rsidRPr="00F973AB" w:rsidRDefault="00CE2EF9" w:rsidP="00CE2EF9">
      <w:pPr>
        <w:spacing w:after="210"/>
        <w:jc w:val="both"/>
        <w:rPr>
          <w:rFonts w:ascii="Arial" w:hAnsi="Arial" w:cs="Arial"/>
          <w:i/>
          <w:sz w:val="22"/>
          <w:szCs w:val="22"/>
        </w:rPr>
      </w:pPr>
    </w:p>
    <w:p w14:paraId="0B67A886" w14:textId="77777777" w:rsidR="00CE2EF9" w:rsidRPr="00F973AB" w:rsidRDefault="00CE2EF9" w:rsidP="00CE2EF9">
      <w:pPr>
        <w:spacing w:after="210"/>
        <w:jc w:val="both"/>
        <w:rPr>
          <w:rFonts w:ascii="Arial" w:hAnsi="Arial" w:cs="Arial"/>
          <w:b/>
          <w:sz w:val="22"/>
          <w:szCs w:val="22"/>
        </w:rPr>
      </w:pPr>
    </w:p>
    <w:p w14:paraId="22B8D7A6" w14:textId="77777777" w:rsidR="000F6F09" w:rsidRPr="00F973AB" w:rsidRDefault="000F6F09" w:rsidP="000F6F09">
      <w:pPr>
        <w:rPr>
          <w:rFonts w:ascii="Arial" w:hAnsi="Arial" w:cs="Arial"/>
          <w:sz w:val="22"/>
          <w:szCs w:val="22"/>
          <w:lang w:eastAsia="en-GB"/>
        </w:rPr>
      </w:pPr>
    </w:p>
    <w:p w14:paraId="2835D346" w14:textId="77777777" w:rsidR="000F6F09" w:rsidRPr="00F973AB" w:rsidRDefault="000F6F09" w:rsidP="000F6F09">
      <w:pPr>
        <w:rPr>
          <w:rFonts w:ascii="Arial" w:hAnsi="Arial" w:cs="Arial"/>
          <w:sz w:val="22"/>
          <w:szCs w:val="22"/>
          <w:lang w:eastAsia="en-GB"/>
        </w:rPr>
      </w:pPr>
    </w:p>
    <w:p w14:paraId="33F6E159" w14:textId="77777777" w:rsidR="000F6F09" w:rsidRPr="00F973AB" w:rsidRDefault="000F6F09" w:rsidP="000F6F09">
      <w:pPr>
        <w:rPr>
          <w:rFonts w:ascii="Arial" w:hAnsi="Arial" w:cs="Arial"/>
          <w:sz w:val="22"/>
          <w:szCs w:val="22"/>
          <w:lang w:eastAsia="en-GB"/>
        </w:rPr>
      </w:pPr>
    </w:p>
    <w:sectPr w:rsidR="000F6F09" w:rsidRPr="00F973AB" w:rsidSect="00C56C58">
      <w:headerReference w:type="default" r:id="rId12"/>
      <w:footerReference w:type="even" r:id="rId13"/>
      <w:footerReference w:type="default" r:id="rId14"/>
      <w:headerReference w:type="first" r:id="rId15"/>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B0583" w14:textId="77777777" w:rsidR="00C96A67" w:rsidRDefault="00C96A67" w:rsidP="000B1A35">
      <w:r>
        <w:separator/>
      </w:r>
    </w:p>
  </w:endnote>
  <w:endnote w:type="continuationSeparator" w:id="0">
    <w:p w14:paraId="5B3F3334" w14:textId="77777777" w:rsidR="00C96A67" w:rsidRDefault="00C96A67" w:rsidP="000B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Content>
      <w:p w14:paraId="13B88CE4" w14:textId="77777777" w:rsidR="003216B4" w:rsidRDefault="003216B4" w:rsidP="00321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 xml:space="preserve">1</w:t>
        </w:r>
        <w:r>
          <w:rPr>
            <w:rStyle w:val="PageNumber"/>
          </w:rPr>
          <w:fldChar w:fldCharType="end"/>
        </w:r>
      </w:p>
    </w:sdtContent>
  </w:sdt>
  <w:p w14:paraId="2A01B61C" w14:textId="77777777" w:rsidR="003216B4" w:rsidRDefault="003216B4"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7E86403C" w14:textId="4BEE578E" w:rsidR="003216B4" w:rsidRPr="00B55AC3" w:rsidRDefault="003216B4" w:rsidP="003216B4">
        <w:pPr>
          <w:pStyle w:val="Footer"/>
          <w:framePr w:wrap="none" w:vAnchor="text" w:hAnchor="margin" w:xAlign="right" w:y="1"/>
          <w:rPr>
            <w:rStyle w:val="PageNumber"/>
            <w:b/>
            <w:bCs/>
            <w:color w:val="104D54"/>
            <w:rFonts w:ascii="Arial" w:hAnsi="Arial" w:cs="Arial"/>
          </w:rPr>
        </w:pPr>
        <w:r>
          <w:rPr>
            <w:rStyle w:val="PageNumber"/>
            <w:b/>
            <w:color w:val="104D54"/>
            <w:rFonts w:ascii="Arial" w:hAnsi="Arial" w:cs="Arial"/>
          </w:rPr>
          <w:fldChar w:fldCharType="begin"/>
        </w:r>
        <w:r>
          <w:rPr>
            <w:rStyle w:val="PageNumber"/>
            <w:b/>
            <w:color w:val="104D54"/>
            <w:rFonts w:ascii="Arial" w:hAnsi="Arial" w:cs="Arial"/>
          </w:rPr>
          <w:instrText xml:space="preserve"> PAGE </w:instrText>
        </w:r>
        <w:r>
          <w:rPr>
            <w:rStyle w:val="PageNumber"/>
            <w:b/>
            <w:color w:val="104D54"/>
            <w:rFonts w:ascii="Arial" w:hAnsi="Arial" w:cs="Arial"/>
          </w:rPr>
          <w:fldChar w:fldCharType="separate"/>
        </w:r>
        <w:r>
          <w:rPr>
            <w:rStyle w:val="PageNumber"/>
            <w:b/>
            <w:color w:val="104D54"/>
            <w:rFonts w:ascii="Arial" w:hAnsi="Arial" w:cs="Arial"/>
          </w:rPr>
          <w:t xml:space="preserve">19</w:t>
        </w:r>
        <w:r>
          <w:rPr>
            <w:rStyle w:val="PageNumber"/>
            <w:b/>
            <w:color w:val="104D54"/>
            <w:rFonts w:ascii="Arial" w:hAnsi="Arial" w:cs="Arial"/>
          </w:rPr>
          <w:fldChar w:fldCharType="end"/>
        </w:r>
      </w:p>
    </w:sdtContent>
  </w:sdt>
  <w:p w14:paraId="7F5B43C4" w14:textId="77777777" w:rsidR="003216B4" w:rsidRPr="00B55AC3" w:rsidRDefault="003216B4" w:rsidP="000B1A35">
    <w:pPr>
      <w:pStyle w:val="Footer"/>
      <w:ind w:right="360"/>
      <w:rPr>
        <w:rFonts w:ascii="Arial" w:hAnsi="Arial" w:cs="Arial"/>
        <w:b/>
        <w:bCs/>
        <w:color w:val="104D5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0905EA" w14:textId="77777777" w:rsidR="00C96A67" w:rsidRDefault="00C96A67" w:rsidP="000B1A35">
      <w:r>
        <w:separator/>
      </w:r>
    </w:p>
  </w:footnote>
  <w:footnote w:type="continuationSeparator" w:id="0">
    <w:p w14:paraId="20930B75" w14:textId="77777777" w:rsidR="00C96A67" w:rsidRDefault="00C96A67" w:rsidP="000B1A35">
      <w:r>
        <w:continuationSeparator/>
      </w:r>
    </w:p>
  </w:footnote>
  <w:footnote w:id="1">
    <w:p w14:paraId="4F352ED7" w14:textId="320E49BB" w:rsidR="00A81582" w:rsidRPr="00A81582" w:rsidRDefault="00A81582">
      <w:pPr>
        <w:pStyle w:val="FootnoteText"/>
      </w:pPr>
      <w:r>
        <w:rPr>
          <w:rStyle w:val="FootnoteReference"/>
        </w:rPr>
        <w:footnoteRef/>
      </w:r>
      <w:r>
        <w:t xml:space="preserve"> </w:t>
      </w:r>
      <w:hyperlink r:id="rId1" w:history="1">
        <w:r>
          <w:rPr>
            <w:rStyle w:val="Hyperlink"/>
          </w:rPr>
          <w:t xml:space="preserve">La Commissione pubblica orientamenti sulla definizione del sistema di IA per facilitare l'applicazione delle norme della prima legge sull'IA |</w:t>
        </w:r>
      </w:hyperlink>
      <w:hyperlink r:id="rId1" w:history="1">
        <w:r>
          <w:rPr>
            <w:rStyle w:val="Hyperlink"/>
          </w:rPr>
          <w:t xml:space="preserve"> Plasmare il futuro digitale dell'Europa</w:t>
        </w:r>
      </w:hyperlink>
    </w:p>
  </w:footnote>
  <w:footnote w:id="2">
    <w:p w14:paraId="4500DEBA" w14:textId="4CEE3FD1" w:rsidR="003216B4" w:rsidRPr="00D33B49" w:rsidRDefault="003216B4" w:rsidP="00CE2EF9">
      <w:pPr>
        <w:pStyle w:val="FootnoteText"/>
        <w:rPr>
          <w:sz w:val="18"/>
          <w:szCs w:val="24"/>
          <w:rFonts w:ascii="Arial" w:hAnsi="Arial" w:cs="Arial"/>
        </w:rPr>
      </w:pPr>
      <w:r>
        <w:rPr>
          <w:rStyle w:val="FootnoteReference"/>
          <w:rFonts w:ascii="Arial" w:hAnsi="Arial" w:cs="Arial"/>
          <w:sz w:val="18"/>
          <w:szCs w:val="24"/>
        </w:rPr>
        <w:footnoteRef/>
      </w:r>
      <w:r>
        <w:rPr>
          <w:sz w:val="18"/>
          <w:rFonts w:ascii="Arial" w:hAnsi="Arial"/>
        </w:rPr>
        <w:t xml:space="preserve"> </w:t>
      </w:r>
      <w:r>
        <w:tab/>
      </w:r>
      <w:r>
        <w:rPr>
          <w:sz w:val="18"/>
          <w:rFonts w:ascii="Arial" w:hAnsi="Arial"/>
        </w:rPr>
        <w:t xml:space="preserve">Una limitazione dell'obbligo di consegna dei set di dati del fornitore e di terzi non limita gli obblighi del fornitore di cui agli articoli 6 e 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5F39" w14:textId="493D3A31" w:rsidR="003216B4" w:rsidRPr="005A1B9E" w:rsidRDefault="003216B4">
    <w:pPr>
      <w:pStyle w:val="Header"/>
      <w:rPr>
        <w:b/>
        <w:bCs/>
        <w:color w:val="FFFFFF" w:themeColor="background1"/>
        <w:rFonts w:ascii="Arial" w:hAnsi="Arial" w:cs="Arial"/>
      </w:rPr>
    </w:pPr>
    <w:r>
      <w:rPr>
        <w:color w:val="FFFFFF" w:themeColor="background1"/>
      </w:rPr>
      <w:drawing>
        <wp:anchor distT="0" distB="0" distL="114300" distR="114300" simplePos="0" relativeHeight="251660288" behindDoc="1" locked="0" layoutInCell="1" allowOverlap="1" wp14:anchorId="22B134E5" wp14:editId="034709CA">
          <wp:simplePos x="0" y="0"/>
          <wp:positionH relativeFrom="column">
            <wp:posOffset>-914400</wp:posOffset>
          </wp:positionH>
          <wp:positionV relativeFrom="paragraph">
            <wp:posOffset>-450216</wp:posOffset>
          </wp:positionV>
          <wp:extent cx="7585656" cy="927135"/>
          <wp:effectExtent l="0" t="0" r="0" b="0"/>
          <wp:wrapNone/>
          <wp:docPr id="1683704020" name="Picture 168370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bookmarkStart w:id="4" w:name="_Hlk189934907"/>
    <w:r>
      <w:t xml:space="preserve"> </w:t>
    </w:r>
    <w:hyperlink r:id="rId2" w:history="1">
      <w:r>
        <w:rPr>
          <w:rStyle w:val="Hyperlink"/>
          <w:color w:val="FFFFFF" w:themeColor="background1"/>
          <w:sz w:val="20"/>
          <w:rFonts w:ascii="Arial" w:hAnsi="Arial"/>
        </w:rPr>
        <w:t xml:space="preserve">Acquisto di IA |</w:t>
      </w:r>
    </w:hyperlink>
    <w:hyperlink r:id="rId2" w:history="1">
      <w:r>
        <w:rPr>
          <w:rStyle w:val="Hyperlink"/>
          <w:color w:val="FFFFFF" w:themeColor="background1"/>
          <w:sz w:val="20"/>
          <w:rFonts w:ascii="Arial" w:hAnsi="Arial"/>
        </w:rPr>
        <w:t xml:space="preserve"> Comunità degli acquirenti pubblici</w:t>
      </w:r>
    </w:hyperlink>
    <w:bookmarkEnd w:id="4"/>
    <w:r>
      <w:tab/>
    </w:r>
    <w:r>
      <w:rPr>
        <w:color w:val="FFFFFF" w:themeColor="background1"/>
        <w:rFonts w:ascii="Arial" w:hAnsi="Arial"/>
      </w:rPr>
      <w:t xml:space="preserve"> </w:t>
    </w:r>
    <w:r>
      <w:tab/>
    </w:r>
    <w:r>
      <w:rPr>
        <w:color w:val="FFFFFF" w:themeColor="background1"/>
        <w:rFonts w:ascii="Arial" w:hAnsi="Arial"/>
      </w:rPr>
      <w:t xml:space="preserve"> </w:t>
    </w:r>
    <w:r>
      <w:rPr>
        <w:color w:val="FFFFFF" w:themeColor="background1"/>
        <w:b/>
        <w:rFonts w:ascii="Arial" w:hAnsi="Arial"/>
      </w:rPr>
      <w:t xml:space="preserve">CCT-IA-Alto-Rischio</w:t>
    </w:r>
    <w:r>
      <w:rPr>
        <w:color w:val="FFFFFF" w:themeColor="background1"/>
        <w:b/>
        <w:rFonts w:ascii="Arial" w:hAnsi="Arial"/>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1488" w14:textId="77777777" w:rsidR="003216B4" w:rsidRDefault="003216B4">
    <w:pPr>
      <w:pStyle w:val="Header"/>
    </w:pPr>
    <w:r>
      <w:drawing>
        <wp:anchor distT="0" distB="0" distL="114300" distR="114300" simplePos="0" relativeHeight="251659264" behindDoc="1" locked="0" layoutInCell="1" allowOverlap="1" wp14:anchorId="574F40A1" wp14:editId="166F4DD0">
          <wp:simplePos x="0" y="0"/>
          <wp:positionH relativeFrom="column">
            <wp:posOffset>-1009015</wp:posOffset>
          </wp:positionH>
          <wp:positionV relativeFrom="paragraph">
            <wp:posOffset>-812891</wp:posOffset>
          </wp:positionV>
          <wp:extent cx="7823865" cy="11068162"/>
          <wp:effectExtent l="0" t="0" r="0" b="6350"/>
          <wp:wrapNone/>
          <wp:docPr id="432765360" name="Picture 43276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823865" cy="110681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0434824A"/>
    <w:lvl w:ilvl="0">
      <w:start w:val="1"/>
      <w:numFmt w:val="decimal"/>
      <w:pStyle w:val="doLijstnummering7"/>
      <w:lvlText w:val="Article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A9628022"/>
    <w:lvl w:ilvl="0">
      <w:start w:val="1"/>
      <w:numFmt w:val="decimal"/>
      <w:pStyle w:val="doLijstnummering5"/>
      <w:lvlText w:val="%1."/>
      <w:lvlJc w:val="left"/>
      <w:pPr>
        <w:tabs>
          <w:tab w:val="num" w:pos="851"/>
        </w:tabs>
        <w:ind w:left="851" w:hanging="851"/>
      </w:pPr>
      <w:rPr>
        <w:rFonts w:hint="default"/>
        <w:b w:val="0"/>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9633253">
    <w:abstractNumId w:val="3"/>
  </w:num>
  <w:num w:numId="2" w16cid:durableId="2047483329">
    <w:abstractNumId w:val="4"/>
  </w:num>
  <w:num w:numId="3" w16cid:durableId="1385371387">
    <w:abstractNumId w:val="8"/>
  </w:num>
  <w:num w:numId="4" w16cid:durableId="1517502109">
    <w:abstractNumId w:val="7"/>
  </w:num>
  <w:num w:numId="5" w16cid:durableId="2145268333">
    <w:abstractNumId w:val="0"/>
  </w:num>
  <w:num w:numId="6" w16cid:durableId="947471421">
    <w:abstractNumId w:val="1"/>
  </w:num>
  <w:num w:numId="7" w16cid:durableId="355009267">
    <w:abstractNumId w:val="5"/>
  </w:num>
  <w:num w:numId="8" w16cid:durableId="1843741350">
    <w:abstractNumId w:val="2"/>
  </w:num>
  <w:num w:numId="9" w16cid:durableId="1445883148">
    <w:abstractNumId w:val="6"/>
  </w:num>
  <w:num w:numId="10" w16cid:durableId="12227155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9623238">
    <w:abstractNumId w:val="1"/>
  </w:num>
  <w:num w:numId="12" w16cid:durableId="3089000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342793">
    <w:abstractNumId w:val="6"/>
  </w:num>
  <w:num w:numId="14" w16cid:durableId="333651219">
    <w:abstractNumId w:val="1"/>
  </w:num>
  <w:num w:numId="15" w16cid:durableId="559748463">
    <w:abstractNumId w:val="1"/>
  </w:num>
  <w:num w:numId="16" w16cid:durableId="1695765638">
    <w:abstractNumId w:val="1"/>
  </w:num>
  <w:num w:numId="17" w16cid:durableId="766850134">
    <w:abstractNumId w:val="1"/>
  </w:num>
  <w:num w:numId="18" w16cid:durableId="70516881">
    <w:abstractNumId w:val="1"/>
  </w:num>
  <w:num w:numId="19" w16cid:durableId="777874114">
    <w:abstractNumId w:val="1"/>
  </w:num>
  <w:num w:numId="20" w16cid:durableId="1179915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dirty" w:grammar="dirty"/>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1A35"/>
    <w:rsid w:val="00007FF9"/>
    <w:rsid w:val="00016837"/>
    <w:rsid w:val="000325AC"/>
    <w:rsid w:val="00037A5B"/>
    <w:rsid w:val="00050F12"/>
    <w:rsid w:val="00052363"/>
    <w:rsid w:val="00055689"/>
    <w:rsid w:val="00057539"/>
    <w:rsid w:val="000575AB"/>
    <w:rsid w:val="000603C2"/>
    <w:rsid w:val="00061A77"/>
    <w:rsid w:val="0006305F"/>
    <w:rsid w:val="00074956"/>
    <w:rsid w:val="0007646C"/>
    <w:rsid w:val="0008024C"/>
    <w:rsid w:val="000822F8"/>
    <w:rsid w:val="00094BB7"/>
    <w:rsid w:val="000B1A35"/>
    <w:rsid w:val="000D2464"/>
    <w:rsid w:val="000D2CCC"/>
    <w:rsid w:val="000D7C70"/>
    <w:rsid w:val="000E3EA0"/>
    <w:rsid w:val="000E6BB9"/>
    <w:rsid w:val="000F39AD"/>
    <w:rsid w:val="000F5C89"/>
    <w:rsid w:val="000F6F09"/>
    <w:rsid w:val="00100543"/>
    <w:rsid w:val="00115AFB"/>
    <w:rsid w:val="00124648"/>
    <w:rsid w:val="0012712E"/>
    <w:rsid w:val="00137BC0"/>
    <w:rsid w:val="00145DBC"/>
    <w:rsid w:val="00166C6F"/>
    <w:rsid w:val="00172B4F"/>
    <w:rsid w:val="00173B57"/>
    <w:rsid w:val="00176170"/>
    <w:rsid w:val="00176E68"/>
    <w:rsid w:val="001908A2"/>
    <w:rsid w:val="001C026D"/>
    <w:rsid w:val="001C1C2C"/>
    <w:rsid w:val="001C5152"/>
    <w:rsid w:val="001D0478"/>
    <w:rsid w:val="001D0885"/>
    <w:rsid w:val="001D0F97"/>
    <w:rsid w:val="001D5BD8"/>
    <w:rsid w:val="001E207C"/>
    <w:rsid w:val="002240A8"/>
    <w:rsid w:val="002356D6"/>
    <w:rsid w:val="00241911"/>
    <w:rsid w:val="00250DE3"/>
    <w:rsid w:val="002521BB"/>
    <w:rsid w:val="002532EE"/>
    <w:rsid w:val="00257095"/>
    <w:rsid w:val="00260A93"/>
    <w:rsid w:val="0026274B"/>
    <w:rsid w:val="0027316C"/>
    <w:rsid w:val="0028697D"/>
    <w:rsid w:val="002920C6"/>
    <w:rsid w:val="002974E8"/>
    <w:rsid w:val="002B3169"/>
    <w:rsid w:val="002B6F1F"/>
    <w:rsid w:val="002C7FA3"/>
    <w:rsid w:val="002D5D9E"/>
    <w:rsid w:val="002F066E"/>
    <w:rsid w:val="002F6EA4"/>
    <w:rsid w:val="00310B73"/>
    <w:rsid w:val="003135AD"/>
    <w:rsid w:val="00314680"/>
    <w:rsid w:val="003216B4"/>
    <w:rsid w:val="00324614"/>
    <w:rsid w:val="00327AA8"/>
    <w:rsid w:val="00333DE7"/>
    <w:rsid w:val="0034183C"/>
    <w:rsid w:val="0034344C"/>
    <w:rsid w:val="003438F3"/>
    <w:rsid w:val="00370488"/>
    <w:rsid w:val="0038084E"/>
    <w:rsid w:val="00383C49"/>
    <w:rsid w:val="003868C1"/>
    <w:rsid w:val="003B3A40"/>
    <w:rsid w:val="003C2AF0"/>
    <w:rsid w:val="003D2CB0"/>
    <w:rsid w:val="003D3930"/>
    <w:rsid w:val="003E1753"/>
    <w:rsid w:val="003F7670"/>
    <w:rsid w:val="004019AA"/>
    <w:rsid w:val="00406A76"/>
    <w:rsid w:val="004110BF"/>
    <w:rsid w:val="00412D17"/>
    <w:rsid w:val="00420EEF"/>
    <w:rsid w:val="00432E34"/>
    <w:rsid w:val="0043428A"/>
    <w:rsid w:val="004359CC"/>
    <w:rsid w:val="0044298A"/>
    <w:rsid w:val="00463418"/>
    <w:rsid w:val="00465AE1"/>
    <w:rsid w:val="00467E4D"/>
    <w:rsid w:val="00471F60"/>
    <w:rsid w:val="00485C37"/>
    <w:rsid w:val="00486941"/>
    <w:rsid w:val="0049021A"/>
    <w:rsid w:val="004A255F"/>
    <w:rsid w:val="004B6414"/>
    <w:rsid w:val="004C37ED"/>
    <w:rsid w:val="004C4F77"/>
    <w:rsid w:val="004C6E67"/>
    <w:rsid w:val="004D3081"/>
    <w:rsid w:val="004D3DB3"/>
    <w:rsid w:val="004D4A5B"/>
    <w:rsid w:val="004E436F"/>
    <w:rsid w:val="004E48B6"/>
    <w:rsid w:val="004E4B13"/>
    <w:rsid w:val="00500EF9"/>
    <w:rsid w:val="00514B73"/>
    <w:rsid w:val="005328F9"/>
    <w:rsid w:val="00544ECB"/>
    <w:rsid w:val="0054518D"/>
    <w:rsid w:val="0056368F"/>
    <w:rsid w:val="00564A63"/>
    <w:rsid w:val="00574E15"/>
    <w:rsid w:val="00592734"/>
    <w:rsid w:val="005944BF"/>
    <w:rsid w:val="00595C68"/>
    <w:rsid w:val="005A1B9E"/>
    <w:rsid w:val="005A3D5D"/>
    <w:rsid w:val="005A49B9"/>
    <w:rsid w:val="005E4F80"/>
    <w:rsid w:val="005E7DC7"/>
    <w:rsid w:val="006027CB"/>
    <w:rsid w:val="006043F8"/>
    <w:rsid w:val="00604EB1"/>
    <w:rsid w:val="00615CE6"/>
    <w:rsid w:val="006240D0"/>
    <w:rsid w:val="00627B16"/>
    <w:rsid w:val="00634526"/>
    <w:rsid w:val="00636C8D"/>
    <w:rsid w:val="006420F3"/>
    <w:rsid w:val="0064285F"/>
    <w:rsid w:val="006574EA"/>
    <w:rsid w:val="00663E0A"/>
    <w:rsid w:val="006818EB"/>
    <w:rsid w:val="0069290B"/>
    <w:rsid w:val="0069530D"/>
    <w:rsid w:val="0069571E"/>
    <w:rsid w:val="006B3717"/>
    <w:rsid w:val="006B6837"/>
    <w:rsid w:val="006D06B6"/>
    <w:rsid w:val="006D2B23"/>
    <w:rsid w:val="006F3E34"/>
    <w:rsid w:val="00703D6D"/>
    <w:rsid w:val="00715BC6"/>
    <w:rsid w:val="00727DD8"/>
    <w:rsid w:val="00737015"/>
    <w:rsid w:val="00757F3C"/>
    <w:rsid w:val="00762B0D"/>
    <w:rsid w:val="00765059"/>
    <w:rsid w:val="0077280F"/>
    <w:rsid w:val="00777C2E"/>
    <w:rsid w:val="00785D3E"/>
    <w:rsid w:val="007872D1"/>
    <w:rsid w:val="00795109"/>
    <w:rsid w:val="007B4344"/>
    <w:rsid w:val="007B79BA"/>
    <w:rsid w:val="007B7C42"/>
    <w:rsid w:val="007C13FB"/>
    <w:rsid w:val="007C7792"/>
    <w:rsid w:val="007E4829"/>
    <w:rsid w:val="007F08ED"/>
    <w:rsid w:val="007F5306"/>
    <w:rsid w:val="008059EE"/>
    <w:rsid w:val="00805C45"/>
    <w:rsid w:val="00806100"/>
    <w:rsid w:val="008071B6"/>
    <w:rsid w:val="0081106B"/>
    <w:rsid w:val="00827671"/>
    <w:rsid w:val="00836755"/>
    <w:rsid w:val="008403E5"/>
    <w:rsid w:val="008469D5"/>
    <w:rsid w:val="00851485"/>
    <w:rsid w:val="008523A3"/>
    <w:rsid w:val="00855458"/>
    <w:rsid w:val="00865785"/>
    <w:rsid w:val="00866279"/>
    <w:rsid w:val="0086671A"/>
    <w:rsid w:val="00881CEB"/>
    <w:rsid w:val="008824F4"/>
    <w:rsid w:val="00883216"/>
    <w:rsid w:val="00896A6B"/>
    <w:rsid w:val="008A1402"/>
    <w:rsid w:val="008A5629"/>
    <w:rsid w:val="008A7F0B"/>
    <w:rsid w:val="008B4759"/>
    <w:rsid w:val="008E21C6"/>
    <w:rsid w:val="008F5F39"/>
    <w:rsid w:val="00906988"/>
    <w:rsid w:val="00922E4D"/>
    <w:rsid w:val="0092737B"/>
    <w:rsid w:val="009514A3"/>
    <w:rsid w:val="00961B29"/>
    <w:rsid w:val="00965985"/>
    <w:rsid w:val="00973B3F"/>
    <w:rsid w:val="00973E84"/>
    <w:rsid w:val="0097576F"/>
    <w:rsid w:val="00975D0E"/>
    <w:rsid w:val="00977772"/>
    <w:rsid w:val="009813B5"/>
    <w:rsid w:val="00981757"/>
    <w:rsid w:val="0098199B"/>
    <w:rsid w:val="00982CDF"/>
    <w:rsid w:val="0099306E"/>
    <w:rsid w:val="009B2357"/>
    <w:rsid w:val="009B4B27"/>
    <w:rsid w:val="009D390D"/>
    <w:rsid w:val="009D6B55"/>
    <w:rsid w:val="009E5B43"/>
    <w:rsid w:val="009E7717"/>
    <w:rsid w:val="009F4894"/>
    <w:rsid w:val="00A06133"/>
    <w:rsid w:val="00A35938"/>
    <w:rsid w:val="00A4676A"/>
    <w:rsid w:val="00A4741E"/>
    <w:rsid w:val="00A50D4D"/>
    <w:rsid w:val="00A72007"/>
    <w:rsid w:val="00A74620"/>
    <w:rsid w:val="00A81582"/>
    <w:rsid w:val="00A83C95"/>
    <w:rsid w:val="00A91BAC"/>
    <w:rsid w:val="00A923CC"/>
    <w:rsid w:val="00AA2BBE"/>
    <w:rsid w:val="00AA50AD"/>
    <w:rsid w:val="00AC0847"/>
    <w:rsid w:val="00AC304D"/>
    <w:rsid w:val="00AD1C65"/>
    <w:rsid w:val="00AE662B"/>
    <w:rsid w:val="00B170E8"/>
    <w:rsid w:val="00B3405F"/>
    <w:rsid w:val="00B35164"/>
    <w:rsid w:val="00B43750"/>
    <w:rsid w:val="00B544B1"/>
    <w:rsid w:val="00B55AC3"/>
    <w:rsid w:val="00B63D89"/>
    <w:rsid w:val="00B774F3"/>
    <w:rsid w:val="00B81FA9"/>
    <w:rsid w:val="00B90676"/>
    <w:rsid w:val="00BA4360"/>
    <w:rsid w:val="00BB3419"/>
    <w:rsid w:val="00BB7E2F"/>
    <w:rsid w:val="00BC4A48"/>
    <w:rsid w:val="00BD4826"/>
    <w:rsid w:val="00BD5ED5"/>
    <w:rsid w:val="00BE54C4"/>
    <w:rsid w:val="00BE6485"/>
    <w:rsid w:val="00BF1059"/>
    <w:rsid w:val="00C00240"/>
    <w:rsid w:val="00C11B26"/>
    <w:rsid w:val="00C36498"/>
    <w:rsid w:val="00C42541"/>
    <w:rsid w:val="00C56C58"/>
    <w:rsid w:val="00C63829"/>
    <w:rsid w:val="00C64D3F"/>
    <w:rsid w:val="00C77C3E"/>
    <w:rsid w:val="00C94B15"/>
    <w:rsid w:val="00C96A67"/>
    <w:rsid w:val="00CA3D74"/>
    <w:rsid w:val="00CD6D58"/>
    <w:rsid w:val="00CE2EF9"/>
    <w:rsid w:val="00CE54A9"/>
    <w:rsid w:val="00CE7205"/>
    <w:rsid w:val="00CF1790"/>
    <w:rsid w:val="00CF3257"/>
    <w:rsid w:val="00CF5A67"/>
    <w:rsid w:val="00CF6657"/>
    <w:rsid w:val="00D170E9"/>
    <w:rsid w:val="00D228EB"/>
    <w:rsid w:val="00D33B49"/>
    <w:rsid w:val="00D35373"/>
    <w:rsid w:val="00D3678A"/>
    <w:rsid w:val="00D52D57"/>
    <w:rsid w:val="00D573E8"/>
    <w:rsid w:val="00D663FA"/>
    <w:rsid w:val="00D7180C"/>
    <w:rsid w:val="00D74FE9"/>
    <w:rsid w:val="00D81335"/>
    <w:rsid w:val="00D837BF"/>
    <w:rsid w:val="00DB00F0"/>
    <w:rsid w:val="00DC0722"/>
    <w:rsid w:val="00DC2430"/>
    <w:rsid w:val="00DE1F32"/>
    <w:rsid w:val="00DE20B9"/>
    <w:rsid w:val="00DF19E1"/>
    <w:rsid w:val="00DF4A67"/>
    <w:rsid w:val="00E01E41"/>
    <w:rsid w:val="00E16661"/>
    <w:rsid w:val="00E2316F"/>
    <w:rsid w:val="00E23A23"/>
    <w:rsid w:val="00E23CDD"/>
    <w:rsid w:val="00E30182"/>
    <w:rsid w:val="00E319F5"/>
    <w:rsid w:val="00E33CA8"/>
    <w:rsid w:val="00E3799A"/>
    <w:rsid w:val="00E37CA5"/>
    <w:rsid w:val="00E47CF6"/>
    <w:rsid w:val="00E510EE"/>
    <w:rsid w:val="00E63068"/>
    <w:rsid w:val="00E77197"/>
    <w:rsid w:val="00E772FC"/>
    <w:rsid w:val="00E837C0"/>
    <w:rsid w:val="00EB2CDA"/>
    <w:rsid w:val="00EC48D6"/>
    <w:rsid w:val="00EC4F98"/>
    <w:rsid w:val="00ED0843"/>
    <w:rsid w:val="00ED5807"/>
    <w:rsid w:val="00EF0D2A"/>
    <w:rsid w:val="00F22146"/>
    <w:rsid w:val="00F237EA"/>
    <w:rsid w:val="00F23C53"/>
    <w:rsid w:val="00F41D3D"/>
    <w:rsid w:val="00F435ED"/>
    <w:rsid w:val="00F576F3"/>
    <w:rsid w:val="00F5778B"/>
    <w:rsid w:val="00F671D7"/>
    <w:rsid w:val="00F77A72"/>
    <w:rsid w:val="00F80072"/>
    <w:rsid w:val="00F87ADD"/>
    <w:rsid w:val="00F9107C"/>
    <w:rsid w:val="00F973AB"/>
    <w:rsid w:val="00FB2F6C"/>
    <w:rsid w:val="00FB3AFD"/>
    <w:rsid w:val="00FB6D67"/>
    <w:rsid w:val="00FC16B4"/>
    <w:rsid w:val="00FC2BCA"/>
    <w:rsid w:val="00FE5E28"/>
    <w:rsid w:val="00FF13F0"/>
    <w:rsid w:val="115E0F49"/>
    <w:rsid w:val="129E1B62"/>
    <w:rsid w:val="201699DE"/>
    <w:rsid w:val="407C7CD8"/>
    <w:rsid w:val="488CE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42DAA"/>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it-IT"/>
    </w:rPr>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it-IT"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it-IT"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it-IT"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it-IT"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val="it-IT"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CE2EF9"/>
    <w:rPr>
      <w:color w:val="0563C1" w:themeColor="hyperlink"/>
      <w:u w:val="singl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it-IT"/>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E16661"/>
    <w:rPr>
      <w:color w:val="954F72" w:themeColor="followedHyperlink"/>
      <w:u w:val="single"/>
    </w:rPr>
  </w:style>
  <w:style w:type="paragraph" w:customStyle="1" w:styleId="TITLEStyle">
    <w:name w:val="TITLE_Style"/>
    <w:basedOn w:val="Normal"/>
    <w:qFormat/>
    <w:rsid w:val="00E16661"/>
    <w:rPr>
      <w:rFonts w:ascii="Arial" w:hAnsi="Arial" w:cs="Arial"/>
      <w:b/>
      <w:bCs/>
      <w:color w:val="104D54"/>
      <w:sz w:val="44"/>
      <w:szCs w:val="44"/>
    </w:rPr>
  </w:style>
  <w:style w:type="paragraph" w:customStyle="1" w:styleId="COMMUNITY">
    <w:name w:val="COMMUNITY"/>
    <w:basedOn w:val="Heading1"/>
    <w:qFormat/>
    <w:rsid w:val="00795109"/>
    <w:rPr>
      <w:color w:val="104D54"/>
    </w:rPr>
  </w:style>
  <w:style w:type="paragraph" w:styleId="BalloonText">
    <w:name w:val="Balloon Text"/>
    <w:basedOn w:val="Normal"/>
    <w:link w:val="BalloonTextChar"/>
    <w:uiPriority w:val="99"/>
    <w:semiHidden/>
    <w:unhideWhenUsed/>
    <w:rsid w:val="009817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757"/>
    <w:rPr>
      <w:rFonts w:ascii="Segoe UI" w:hAnsi="Segoe UI" w:cs="Segoe UI"/>
      <w:sz w:val="18"/>
      <w:szCs w:val="18"/>
    </w:rPr>
  </w:style>
  <w:style w:type="paragraph" w:styleId="Revision">
    <w:name w:val="Revision"/>
    <w:hidden/>
    <w:uiPriority w:val="99"/>
    <w:semiHidden/>
    <w:rsid w:val="00F80072"/>
  </w:style>
  <w:style w:type="character" w:styleId="CommentReference">
    <w:name w:val="annotation reference"/>
    <w:basedOn w:val="DefaultParagraphFont"/>
    <w:uiPriority w:val="99"/>
    <w:semiHidden/>
    <w:unhideWhenUsed/>
    <w:rsid w:val="00F80072"/>
    <w:rPr>
      <w:sz w:val="16"/>
      <w:szCs w:val="16"/>
    </w:rPr>
  </w:style>
  <w:style w:type="paragraph" w:styleId="CommentText">
    <w:name w:val="annotation text"/>
    <w:basedOn w:val="Normal"/>
    <w:link w:val="CommentTextChar"/>
    <w:uiPriority w:val="99"/>
    <w:unhideWhenUsed/>
    <w:rsid w:val="00F80072"/>
    <w:rPr>
      <w:sz w:val="20"/>
      <w:szCs w:val="20"/>
    </w:rPr>
  </w:style>
  <w:style w:type="character" w:customStyle="1" w:styleId="CommentTextChar">
    <w:name w:val="Comment Text Char"/>
    <w:basedOn w:val="DefaultParagraphFont"/>
    <w:link w:val="CommentText"/>
    <w:uiPriority w:val="99"/>
    <w:rsid w:val="00F80072"/>
    <w:rPr>
      <w:sz w:val="20"/>
      <w:szCs w:val="20"/>
    </w:rPr>
  </w:style>
  <w:style w:type="paragraph" w:styleId="CommentSubject">
    <w:name w:val="annotation subject"/>
    <w:basedOn w:val="CommentText"/>
    <w:next w:val="CommentText"/>
    <w:link w:val="CommentSubjectChar"/>
    <w:uiPriority w:val="99"/>
    <w:semiHidden/>
    <w:unhideWhenUsed/>
    <w:rsid w:val="00F80072"/>
    <w:rPr>
      <w:b/>
      <w:bCs/>
    </w:rPr>
  </w:style>
  <w:style w:type="character" w:customStyle="1" w:styleId="CommentSubjectChar">
    <w:name w:val="Comment Subject Char"/>
    <w:basedOn w:val="CommentTextChar"/>
    <w:link w:val="CommentSubject"/>
    <w:uiPriority w:val="99"/>
    <w:semiHidden/>
    <w:rsid w:val="00F80072"/>
    <w:rPr>
      <w:b/>
      <w:bCs/>
      <w:sz w:val="20"/>
      <w:szCs w:val="20"/>
    </w:rPr>
  </w:style>
  <w:style w:type="character" w:styleId="UnresolvedMention">
    <w:name w:val="Unresolved Mention"/>
    <w:basedOn w:val="DefaultParagraphFont"/>
    <w:uiPriority w:val="99"/>
    <w:semiHidden/>
    <w:unhideWhenUsed/>
    <w:rsid w:val="00A815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900185">
      <w:bodyDiv w:val="1"/>
      <w:marLeft w:val="0"/>
      <w:marRight w:val="0"/>
      <w:marTop w:val="0"/>
      <w:marBottom w:val="0"/>
      <w:divBdr>
        <w:top w:val="none" w:sz="0" w:space="0" w:color="auto"/>
        <w:left w:val="none" w:sz="0" w:space="0" w:color="auto"/>
        <w:bottom w:val="none" w:sz="0" w:space="0" w:color="auto"/>
        <w:right w:val="none" w:sz="0" w:space="0" w:color="auto"/>
      </w:divBdr>
      <w:divsChild>
        <w:div w:id="1319458839">
          <w:marLeft w:val="0"/>
          <w:marRight w:val="0"/>
          <w:marTop w:val="0"/>
          <w:marBottom w:val="0"/>
          <w:divBdr>
            <w:top w:val="none" w:sz="0" w:space="0" w:color="auto"/>
            <w:left w:val="none" w:sz="0" w:space="0" w:color="auto"/>
            <w:bottom w:val="none" w:sz="0" w:space="0" w:color="auto"/>
            <w:right w:val="none" w:sz="0" w:space="0" w:color="auto"/>
          </w:divBdr>
        </w:div>
      </w:divsChild>
    </w:div>
    <w:div w:id="187684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blic-buyers-community.ec.europa.eu/communities/procurement-ai"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&#65279;<?xml version="1.0" encoding="UTF-8" standalone="yes"?>
<Relationships xmlns="http://schemas.openxmlformats.org/package/2006/relationships"><Relationship Id="rId1" Type="http://schemas.openxmlformats.org/officeDocument/2006/relationships/hyperlink" Target="https://digital-strategy.ec.europa.eu/it/library/commission-publishes-guidelines-ai-system-definition-facilitate-first-ai-acts-rules-application" TargetMode="External"/></Relationships>
</file>

<file path=word/_rels/header1.xml.rels>&#65279;<?xml version="1.0" encoding="UTF-8" standalone="yes"?>
<Relationships xmlns="http://schemas.openxmlformats.org/package/2006/relationships"><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CC72DA-40C8-47E9-A6AD-7AA105BC5488}">
  <ds:schemaRefs>
    <ds:schemaRef ds:uri="http://schemas.microsoft.com/office/2006/metadata/properties"/>
    <ds:schemaRef ds:uri="http://schemas.microsoft.com/office/infopath/2007/PartnerControls"/>
    <ds:schemaRef ds:uri="6d5ad584-533d-4d9e-8d12-f1eda2044479"/>
  </ds:schemaRefs>
</ds:datastoreItem>
</file>

<file path=customXml/itemProps2.xml><?xml version="1.0" encoding="utf-8"?>
<ds:datastoreItem xmlns:ds="http://schemas.openxmlformats.org/officeDocument/2006/customXml" ds:itemID="{9EB284E6-4543-464A-93FE-2D43E8BDF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A11DF03-4E2F-4055-B76C-DF3D6E4F6050}">
  <ds:schemaRefs>
    <ds:schemaRef ds:uri="http://schemas.microsoft.com/sharepoint/v3/contenttype/forms"/>
  </ds:schemaRefs>
</ds:datastoreItem>
</file>

<file path=customXml/itemProps4.xml><?xml version="1.0" encoding="utf-8"?>
<ds:datastoreItem xmlns:ds="http://schemas.openxmlformats.org/officeDocument/2006/customXml" ds:itemID="{92811281-38B1-43E1-A073-E27EBF10D7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6077</Words>
  <Characters>32577</Characters>
  <Application>Microsoft Office Word</Application>
  <DocSecurity>0</DocSecurity>
  <Lines>740</Lines>
  <Paragraphs>262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DAINOTTI Federico (GROW)</cp:lastModifiedBy>
  <cp:revision>2</cp:revision>
  <dcterms:created xsi:type="dcterms:W3CDTF">2025-05-21T14:43:00Z</dcterms:created>
  <dcterms:modified xsi:type="dcterms:W3CDTF">2025-05-21T14:43:00Z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2023-10-16T12:38:12Z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a8501ab0-9169-49b1-a3e1-7da5ede2dd1a</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e8d42e91-6505-4f35-b159-29b34eb7246e</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ies>
</file>