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6E17D205" w:rsidR="00E16661" w:rsidRPr="00F973AB" w:rsidRDefault="00000000" w:rsidP="005A1B9E">
      <w:pPr>
        <w:pStyle w:val="COMMUNITY"/>
        <w:rPr>
          <w:rStyle w:val="Hyperlink"/>
          <w:color w:val="104D54"/>
          <w:u w:val="none"/>
        </w:rPr>
      </w:pPr>
      <w:hyperlink r:id="rId11" w:history="1">
        <w:r>
          <w:rPr>
            <w:rStyle w:val="Hyperlink"/>
            <w:color w:val="104D54"/>
            <w:u w:val="none"/>
          </w:rPr>
          <w:t>DI viešųjų pirkimų</w:t>
        </w:r>
      </w:hyperlink>
      <w:r w:rsidR="00C82B5F">
        <w:rPr>
          <w:rStyle w:val="Hyperlink"/>
          <w:color w:val="104D54"/>
          <w:u w:val="none"/>
        </w:rPr>
        <w:t xml:space="preserve"> </w:t>
      </w:r>
      <w:hyperlink r:id="rId12" w:history="1">
        <w:r>
          <w:rPr>
            <w:rStyle w:val="Hyperlink"/>
            <w:color w:val="104D54"/>
            <w:u w:val="none"/>
          </w:rPr>
          <w:t>bendruomenė</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Pavyzdinės didelės rizikos DI viešųjų pirkimų sutarčių sąlygos</w:t>
      </w:r>
      <w:bookmarkEnd w:id="0"/>
      <w:r>
        <w:t xml:space="preserve"> (toliau – Pavyzdinės didelės rizikos DI sutarčių sąlygos)</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391818" w:rsidRDefault="003216B4" w:rsidP="00E16661">
                            <w:pPr>
                              <w:spacing w:line="360" w:lineRule="auto"/>
                              <w:rPr>
                                <w:rFonts w:ascii="Arial" w:hAnsi="Arial" w:cs="Arial"/>
                                <w:color w:val="104D55"/>
                                <w:sz w:val="32"/>
                                <w:szCs w:val="32"/>
                              </w:rPr>
                            </w:pPr>
                            <w:r w:rsidRPr="00391818">
                              <w:rPr>
                                <w:rFonts w:ascii="Arial" w:hAnsi="Arial"/>
                                <w:color w:val="104D55"/>
                                <w:sz w:val="32"/>
                                <w:szCs w:val="32"/>
                              </w:rPr>
                              <w:t xml:space="preserve">2025 m. vasario mėn. versija. Didelės rizikos DI viešieji pirkimai </w:t>
                            </w:r>
                          </w:p>
                          <w:p w14:paraId="188F1615" w14:textId="77777777" w:rsidR="003216B4" w:rsidRPr="00C82B5F" w:rsidRDefault="003216B4" w:rsidP="00E16661">
                            <w:pPr>
                              <w:rPr>
                                <w:rFonts w:ascii="Arial" w:hAnsi="Arial" w:cs="Arial"/>
                                <w:b/>
                                <w:bCs/>
                                <w:color w:val="104D54"/>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391818" w:rsidRDefault="003216B4" w:rsidP="00E16661">
                      <w:pPr>
                        <w:spacing w:line="360" w:lineRule="auto"/>
                        <w:rPr>
                          <w:rFonts w:ascii="Arial" w:hAnsi="Arial" w:cs="Arial"/>
                          <w:color w:val="104D55"/>
                          <w:sz w:val="32"/>
                          <w:szCs w:val="32"/>
                        </w:rPr>
                      </w:pPr>
                      <w:r w:rsidRPr="00391818">
                        <w:rPr>
                          <w:rFonts w:ascii="Arial" w:hAnsi="Arial"/>
                          <w:color w:val="104D55"/>
                          <w:sz w:val="32"/>
                          <w:szCs w:val="32"/>
                        </w:rPr>
                        <w:t xml:space="preserve">2025 m. vasario mėn. versija. Didelės rizikos DI viešieji pirkimai </w:t>
                      </w:r>
                    </w:p>
                    <w:p w14:paraId="188F1615" w14:textId="77777777" w:rsidR="003216B4" w:rsidRPr="00C82B5F" w:rsidRDefault="003216B4" w:rsidP="00E16661">
                      <w:pPr>
                        <w:rPr>
                          <w:rFonts w:ascii="Arial" w:hAnsi="Arial" w:cs="Arial"/>
                          <w:b/>
                          <w:bCs/>
                          <w:color w:val="104D54"/>
                          <w:sz w:val="28"/>
                          <w:szCs w:val="28"/>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ATSAKOMYBĖS RIBOJIMO PAREIŠKIMAS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Šį darbo dokumentą Europos Komisija parengė siekdama padėti DI viešųjų pirkimų praktikos bendruomenei, kad viešojo administravimo institucijos galėtų lengviau įsigyti DI sprendimus. Tai šiuo metu rengiamas darbo dokumentas, kuris neatspindi oficialios Europos Komisijos pozicijos.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Subjektai, kurie nusprendžia pasinaudoti šiuo darbo dokumentu, prisiima visą atsakomybę už jo naudojimą viešuosiuose pirkimuose.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Šios Pavyzdinės didelės rizikos DI sąlygos nedaro poveikio DI akte nustatytiems reikalavimams.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ATSAKOMYBĖS RIBOJIMO PAREIŠKIMAS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Šį darbo dokumentą Europos Komisija parengė siekdama padėti DI viešųjų pirkimų praktikos bendruomenei, kad viešojo administravimo institucijos galėtų lengviau įsigyti DI sprendimus. Tai šiuo metu rengiamas darbo dokumentas, kuris neatspindi oficialios Europos Komisijos pozicijos.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Subjektai, kurie nusprendžia pasinaudoti šiuo darbo dokumentu, prisiima visą atsakomybę už jo naudojimą viešuosiuose pirkimuose.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Šios Pavyzdinės didelės rizikos DI sąlygos nedaro poveikio DI akte nustatytiems reikalavimams.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A skirsnis. Terminų apibrėžtys</w:t>
      </w:r>
    </w:p>
    <w:p w14:paraId="6A99E349" w14:textId="2D951991" w:rsidR="000F6F09" w:rsidRPr="00F973AB" w:rsidRDefault="000F6F09" w:rsidP="00880478">
      <w:pPr>
        <w:pStyle w:val="doLijstnummering7"/>
        <w:rPr>
          <w:rFonts w:eastAsia="Calibri" w:cs="Arial"/>
          <w:szCs w:val="22"/>
        </w:rPr>
      </w:pPr>
      <w:r>
        <w:t>Terminų apibrėžtys. Šiose Pavyzdinėse didelės rizikos DI sutarčių sąlygose vartojami terminai turi šiame straipsnyje apibrėžtą reikšmę:</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susitarimas</w:t>
      </w:r>
      <w:r>
        <w:rPr>
          <w:rFonts w:ascii="Arial" w:hAnsi="Arial"/>
          <w:color w:val="3B3838" w:themeColor="background2" w:themeShade="40"/>
          <w:sz w:val="22"/>
        </w:rPr>
        <w:t xml:space="preserve"> – </w:t>
      </w:r>
      <w:r>
        <w:rPr>
          <w:rFonts w:ascii="Arial" w:hAnsi="Arial"/>
          <w:sz w:val="22"/>
        </w:rPr>
        <w:t>visas susitarimas, kurio neatsiejama dalis, pridedama kaip priedas, yra Pavyzdinės didelės rizikos DI sutarčių sąlygos;</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DI sistema</w:t>
      </w:r>
      <w:r>
        <w:rPr>
          <w:rFonts w:ascii="Arial" w:hAnsi="Arial"/>
          <w:sz w:val="22"/>
        </w:rPr>
        <w:t> – mašina grindžiama sistema (-</w:t>
      </w:r>
      <w:proofErr w:type="spellStart"/>
      <w:r>
        <w:rPr>
          <w:rFonts w:ascii="Arial" w:hAnsi="Arial"/>
          <w:sz w:val="22"/>
        </w:rPr>
        <w:t>os</w:t>
      </w:r>
      <w:proofErr w:type="spellEnd"/>
      <w:r>
        <w:rPr>
          <w:rFonts w:ascii="Arial" w:hAnsi="Arial"/>
          <w:sz w:val="22"/>
        </w:rPr>
        <w:t>), suprojektuota (-</w:t>
      </w:r>
      <w:proofErr w:type="spellStart"/>
      <w:r>
        <w:rPr>
          <w:rFonts w:ascii="Arial" w:hAnsi="Arial"/>
          <w:sz w:val="22"/>
        </w:rPr>
        <w:t>os</w:t>
      </w:r>
      <w:proofErr w:type="spellEnd"/>
      <w:r>
        <w:rPr>
          <w:rFonts w:ascii="Arial" w:hAnsi="Arial"/>
          <w:sz w:val="22"/>
        </w:rPr>
        <w:t>) veikti įvairiais autonomijos lygiais, kuri (-</w:t>
      </w:r>
      <w:proofErr w:type="spellStart"/>
      <w:r>
        <w:rPr>
          <w:rFonts w:ascii="Arial" w:hAnsi="Arial"/>
          <w:sz w:val="22"/>
        </w:rPr>
        <w:t>ios</w:t>
      </w:r>
      <w:proofErr w:type="spellEnd"/>
      <w:r>
        <w:rPr>
          <w:rFonts w:ascii="Arial" w:hAnsi="Arial"/>
          <w:sz w:val="22"/>
        </w:rPr>
        <w:t>) po diegimo gali veikti prisitaikydama (-</w:t>
      </w:r>
      <w:proofErr w:type="spellStart"/>
      <w:r>
        <w:rPr>
          <w:rFonts w:ascii="Arial" w:hAnsi="Arial"/>
          <w:sz w:val="22"/>
        </w:rPr>
        <w:t>os</w:t>
      </w:r>
      <w:proofErr w:type="spellEnd"/>
      <w:r>
        <w:rPr>
          <w:rFonts w:ascii="Arial" w:hAnsi="Arial"/>
          <w:sz w:val="22"/>
        </w:rPr>
        <w:t>) ir kuri (-</w:t>
      </w:r>
      <w:proofErr w:type="spellStart"/>
      <w:r>
        <w:rPr>
          <w:rFonts w:ascii="Arial" w:hAnsi="Arial"/>
          <w:sz w:val="22"/>
        </w:rPr>
        <w:t>ios</w:t>
      </w:r>
      <w:proofErr w:type="spellEnd"/>
      <w:r>
        <w:rPr>
          <w:rFonts w:ascii="Arial" w:hAnsi="Arial"/>
          <w:sz w:val="22"/>
        </w:rPr>
        <w:t xml:space="preserve">), siekiant aiškių ar numanomų tikslų, iš gautos įvesties duomenų daro išvadą, kaip generuoti </w:t>
      </w:r>
      <w:proofErr w:type="spellStart"/>
      <w:r>
        <w:rPr>
          <w:rFonts w:ascii="Arial" w:hAnsi="Arial"/>
          <w:sz w:val="22"/>
        </w:rPr>
        <w:t>išvedinius</w:t>
      </w:r>
      <w:proofErr w:type="spellEnd"/>
      <w:r>
        <w:rPr>
          <w:rFonts w:ascii="Arial" w:hAnsi="Arial"/>
          <w:sz w:val="22"/>
        </w:rPr>
        <w:t xml:space="preserve">, pavyzdžiui, </w:t>
      </w:r>
      <w:proofErr w:type="spellStart"/>
      <w:r>
        <w:rPr>
          <w:rFonts w:ascii="Arial" w:hAnsi="Arial"/>
          <w:sz w:val="22"/>
        </w:rPr>
        <w:t>predikcijas</w:t>
      </w:r>
      <w:proofErr w:type="spellEnd"/>
      <w:r>
        <w:rPr>
          <w:rFonts w:ascii="Arial" w:hAnsi="Arial"/>
          <w:sz w:val="22"/>
        </w:rPr>
        <w:t>, turinį, rekomendacijas ar sprendimus, kurie gali turėti įtakos fizinei ar virtualiai aplinkai, išsamiau apibūdinta (-</w:t>
      </w:r>
      <w:proofErr w:type="spellStart"/>
      <w:r>
        <w:rPr>
          <w:rFonts w:ascii="Arial" w:hAnsi="Arial"/>
          <w:sz w:val="22"/>
        </w:rPr>
        <w:t>os</w:t>
      </w:r>
      <w:proofErr w:type="spellEnd"/>
      <w:r>
        <w:rPr>
          <w:rFonts w:ascii="Arial" w:hAnsi="Arial"/>
          <w:sz w:val="22"/>
        </w:rPr>
        <w:t>) ir aprašyta (-</w:t>
      </w:r>
      <w:proofErr w:type="spellStart"/>
      <w:r>
        <w:rPr>
          <w:rFonts w:ascii="Arial" w:hAnsi="Arial"/>
          <w:sz w:val="22"/>
        </w:rPr>
        <w:t>os</w:t>
      </w:r>
      <w:proofErr w:type="spellEnd"/>
      <w:r>
        <w:rPr>
          <w:rFonts w:ascii="Arial" w:hAnsi="Arial"/>
          <w:sz w:val="22"/>
        </w:rPr>
        <w:t xml:space="preserve">) </w:t>
      </w:r>
      <w:r>
        <w:rPr>
          <w:rFonts w:ascii="Arial" w:hAnsi="Arial"/>
          <w:b/>
          <w:sz w:val="22"/>
        </w:rPr>
        <w:t>A priede</w:t>
      </w:r>
      <w:r>
        <w:rPr>
          <w:rFonts w:ascii="Arial" w:hAnsi="Arial"/>
          <w:sz w:val="22"/>
        </w:rPr>
        <w:t>, įskaitant bet kokias naujas jos (-ų) versijas</w:t>
      </w:r>
      <w:r w:rsidR="00A81582" w:rsidRPr="00F973AB">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Pavyzdinės didelės rizikos DI sutarčių sąlygos</w:t>
      </w:r>
      <w:r>
        <w:rPr>
          <w:rFonts w:ascii="Arial" w:hAnsi="Arial"/>
          <w:sz w:val="22"/>
        </w:rPr>
        <w:t xml:space="preserve"> – šios viešųjų organizacijų vykdomų didelės rizikos DI viešųjų pirkimų sutarčių sąlygos;</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viešosios organizacijos duomenų rinkiniai</w:t>
      </w:r>
      <w:r>
        <w:rPr>
          <w:rFonts w:ascii="Arial" w:hAnsi="Arial"/>
          <w:sz w:val="22"/>
        </w:rPr>
        <w:t> – duomenų rinkiniai (arba jų dalys), i) kuriuos viešoji organizacija pateikė tiekėjui pagal susitarimą arba ii) kurie turi būti sukurti ar surinkti įgyvendinant susitarimą, įskaitant bet kokias pakeistas ar išplėstas i ir ii punktuose nurodytų duomenų rinkinių versijas (pavyzdžiui, dėl anotavimo, žymėjimo, valymo, papildymo ar apibendrinimo);</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duomenų rinkiniai</w:t>
      </w:r>
      <w:r>
        <w:rPr>
          <w:rFonts w:ascii="Arial" w:hAnsi="Arial"/>
          <w:sz w:val="22"/>
        </w:rPr>
        <w:t xml:space="preserve"> – visi duomenų rinkiniai, naudojami kuriant DI sistemą, įskaitant </w:t>
      </w:r>
      <w:r>
        <w:rPr>
          <w:rFonts w:ascii="Arial" w:hAnsi="Arial"/>
          <w:b/>
          <w:sz w:val="22"/>
        </w:rPr>
        <w:t>B priede</w:t>
      </w:r>
      <w:r>
        <w:rPr>
          <w:rFonts w:ascii="Arial" w:hAnsi="Arial"/>
          <w:sz w:val="22"/>
        </w:rPr>
        <w:t xml:space="preserve"> aprašytą (-</w:t>
      </w:r>
      <w:proofErr w:type="spellStart"/>
      <w:r>
        <w:rPr>
          <w:rFonts w:ascii="Arial" w:hAnsi="Arial"/>
          <w:sz w:val="22"/>
        </w:rPr>
        <w:t>us</w:t>
      </w:r>
      <w:proofErr w:type="spellEnd"/>
      <w:r>
        <w:rPr>
          <w:rFonts w:ascii="Arial" w:hAnsi="Arial"/>
          <w:sz w:val="22"/>
        </w:rPr>
        <w:t>) duomenų rinkinį (-</w:t>
      </w:r>
      <w:proofErr w:type="spellStart"/>
      <w:r>
        <w:rPr>
          <w:rFonts w:ascii="Arial" w:hAnsi="Arial"/>
          <w:sz w:val="22"/>
        </w:rPr>
        <w:t>ius</w:t>
      </w:r>
      <w:proofErr w:type="spellEnd"/>
      <w:r>
        <w:rPr>
          <w:rFonts w:ascii="Arial" w:hAnsi="Arial"/>
          <w:sz w:val="22"/>
        </w:rPr>
        <w: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pristatymas</w:t>
      </w:r>
      <w:r>
        <w:rPr>
          <w:rFonts w:ascii="Arial" w:hAnsi="Arial"/>
          <w:sz w:val="22"/>
        </w:rPr>
        <w:t> – laikas, kai tiekėjas informuoja viešąją organizaciją, kad DI sistema atitinka visas sutartas sąlygas ir yra paruošta naudoti;</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numatyta paskirtis</w:t>
      </w:r>
      <w:r>
        <w:rPr>
          <w:rFonts w:ascii="Arial" w:hAnsi="Arial"/>
          <w:sz w:val="22"/>
        </w:rPr>
        <w:t> – viešosios organizacijos numatyta DI sistemos paskirtis, įskaitant konkrečias naudojimo aplinkybes ir sąlygas, kaip nurodyta B priede, informacijoje, kurią tiekėjas pateikė naudojimo instrukcijoje, reklaminėje ar pardavimo medžiagoje bei teiginiuose ir techniniuose dokumentuose;</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pagrįstai numatomas netinkamas naudojimas</w:t>
      </w:r>
      <w:r>
        <w:rPr>
          <w:rFonts w:ascii="Arial" w:hAnsi="Arial"/>
          <w:color w:val="000000"/>
          <w:sz w:val="22"/>
          <w:shd w:val="clear" w:color="auto" w:fill="FFFFFF"/>
        </w:rPr>
        <w:t> – DI sistemos naudojimas ne pagal numatytą paskirtį, kurį gali nulemti pagrįstai numatomas žmogaus elgesys ar sąveika su kitomis sistemomis, įskaitant kitas DI sistemas;</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lastRenderedPageBreak/>
        <w:t>esminis pakeitimas</w:t>
      </w:r>
      <w:r>
        <w:rPr>
          <w:rFonts w:ascii="Arial" w:hAnsi="Arial"/>
          <w:sz w:val="22"/>
        </w:rPr>
        <w:t> – po pristatymo atliekamas DI sistemos pakeitimas, kuris tiekėjo atliktame pradiniame atitikties vertinime nenumatytas ar neplanuotas ir kuris daro poveikį DI sistemos atitikčiai šiose Pavyzdinės didelės rizikos DI sutarčių sąlygose nustatytiems reikalavimams (nedarant poveikio DI akto III skyriaus 2 skirsniui) arba dėl kurio pasikeičia numatyta paskirtis, dėl kurios DI sistema buvo įvertinta;</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tiekėjas</w:t>
      </w:r>
      <w:r>
        <w:rPr>
          <w:rFonts w:ascii="Arial" w:hAnsi="Arial"/>
          <w:sz w:val="22"/>
        </w:rPr>
        <w:t xml:space="preserve"> – </w:t>
      </w:r>
      <w:r>
        <w:rPr>
          <w:rFonts w:ascii="Arial" w:hAnsi="Arial"/>
          <w:color w:val="000000"/>
          <w:sz w:val="22"/>
          <w:shd w:val="clear" w:color="auto" w:fill="FFFFFF"/>
        </w:rPr>
        <w:t>fizinis ar juridinis asmuo, valdžios institucija, agentūra ar kita įstaiga, kuri teikia DI sistemą viešajai organizacijai pagal susitarimą;</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tiekėjo duomenų rinkiniai ir trečiosios šalies duomenų rinkiniai</w:t>
      </w:r>
      <w:r>
        <w:rPr>
          <w:rFonts w:ascii="Arial" w:hAnsi="Arial"/>
          <w:sz w:val="22"/>
        </w:rPr>
        <w:t> – duomenų rinkiniai (arba jų dalys), kurie nelaikomi viešosios organizacijos duomenų rinkiniais.</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B skirsnis. Su DI sistema susiję esminiai reikalavimai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Rizikos valdymo sistema</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Tiekėjas užtikrina, kad prieš pristatant DI sistemą būtų </w:t>
      </w:r>
      <w:r>
        <w:rPr>
          <w:rFonts w:ascii="Arial" w:hAnsi="Arial"/>
          <w:color w:val="000000"/>
          <w:sz w:val="22"/>
          <w:shd w:val="clear" w:color="auto" w:fill="FFFFFF"/>
        </w:rPr>
        <w:t>sukurta, įgyvendinta, dokumentuota ir prižiūrima su DI sistema susijusi rizikos valdymo sistema.</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Rizikos valdymo sistemą sudaro bent šie etapai:</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žinomos ir pagrįstai numatomos rizikos, kurią DI sistema gali kelti sveikatai, saugai ar pagrindinėms teisėms, kai DI sistema naudojama pagal numatytą paskirtį, nustatymas, apskaičiavimas ir įvertinimas;</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rizikos, kuri gali kilti DI sistemą naudojant pagal numatytą paskirtį ir pagrįstai numatomo netinkamo naudojimo sąlygomis, apskaičiavimas ir įvertinimas;</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kitos galinčios kilti rizikos įvertinimas remiantis duomenų, surinktų taikant priežiūros po pateikimo rinkai sistemą, analize;</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tinkamų ir tikslinių rizikos valdymo priemonių, skirtų pagal šios dalies a punktą nustatytai rizikai šalinti, priėmimas pagal tolesnių dalių nuostatas.</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Šiame straipsnyje nurodyta rizika susijusi tik su rizika, kurią galima pagrįstai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sumažinti arba pašalinti kuriant ar projektuojant DI sistemą arba teikiant tinkamą techninę informaciją.</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Nustatant šiame straipsnyje nurodytą riziką tinkamai atsižvelgiama į poveikį ir galimą sąveiką, kuriuos lemia bendras B skirsnyje nustatytų reikalavimų taikymas, siekiant veiksmingiau iki minimumo sumažinti riziką, kartu užtikrinant tinkamą pusiausvyrą įgyvendinant priemones, skirtas tiems reikalavimams įvykdyti.</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2 straipsnio 2 dalies d punkte nurodytos rizikos valdymo priemonės turi būti tokios, kad su kiekvienu pavojumi susijusi atitinkama likutinė rizika, taip pat bendra DI sistemos likutinė rizika tiekėjo būtų vertinama kaip priimtina, jeigu DI sistema naudojama pagal numatytą paskirtį arba pagrįstai numatomo netinkamo naudojimo sąlygomis.</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Nustatant tinkamiausias 2 straipsnio 2 dalies d punkte nurodytas rizikos valdymo priemones, užtikrinama, kad:</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pagal 2 straipsnio 2 dalį nustatyta ir įvertinta rizika būtų šalinama arba mažinama tinkamomis didelės rizikos DI sistemos projektavimo ir kūrimo priemonėmis, kiek tai techniškai įmanoma;</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jei rizikos pašalinti neįmanoma, kai tikslinga, į ją reaguojant būtų įgyvendinamos tinkamos rizikos mažinimo ir kontrolės priemonės;</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viešajai organizacijai būtų teikiama tinkama informacija ir, jei taikoma, diegėjams būtų rengiami mokymai.</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Tiekėjas užtikrina, kad prieš pristatant DI sistemą ji būtų išbandyta, siekiant nustatyti, ar DI sistema atitinka Pavyzdines didelės rizikos DI sutarčių sąlygas ir ar 2 straipsnio 2 dalies d punkte nurodytos rizikos valdymo priemonės yra veiksmingos, atsižvelgiant į numatytą paskirtį ir</w:t>
      </w:r>
      <w:r>
        <w:rPr>
          <w:rFonts w:ascii="Arial" w:hAnsi="Arial"/>
          <w:sz w:val="22"/>
        </w:rPr>
        <w:t xml:space="preserve"> pagrįstai numatomą netinkamą naudojimą</w:t>
      </w:r>
      <w:r>
        <w:rPr>
          <w:rFonts w:ascii="Arial" w:hAnsi="Arial"/>
          <w:sz w:val="22"/>
          <w:bdr w:val="none" w:sz="0" w:space="0" w:color="auto" w:frame="1"/>
        </w:rPr>
        <w:t xml:space="preserve">. Viešosios organizacijos prašymu tiekėjas privalo išbandyti DI sistemą viešosios organizacijos aplinkoje.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Prireikus DI sistemos bandymai atliekami atitinkamai bet kuriuo jų kūrimo proceso metu ir bet kuriuo atveju prieš jas pristatant. Bandymai atliekami taikant iš anksto </w:t>
      </w:r>
      <w:r>
        <w:rPr>
          <w:rFonts w:ascii="Arial" w:hAnsi="Arial"/>
          <w:sz w:val="22"/>
          <w:bdr w:val="none" w:sz="0" w:space="0" w:color="auto" w:frame="1"/>
        </w:rPr>
        <w:lastRenderedPageBreak/>
        <w:t>nustatytą metriką ir tikimybines ribines vertes, atitinkančias numatytą DI sistemos paskirtį.</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Tiekėjas privalo dokumentuoti visą nustatytą riziką, priemones, kurių buvo imtasi, ir bandymus, atliktus siekiant užtikrinti, kad būtų laikomasi šio straipsnio. Tiekėjas turi pateikti šiuos dokumentus viešajai organizacijai bent jau pristatant DI sistemą. Šie dokumentai gali būti techninių dokumentų ir (arba) naudojimo instrukcijos dalis.</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Rizikos valdymo sistema suprantama kaip nuolatinis ir kartotinis procesas, planuojamas ir vykstantis visą susitarimo galiojimo laikotarpį. Todėl, pristačius DI sistemą, tiekėjas privalo:</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reguliariai peržiūrėti ir atnaujinti rizikos valdymo procesą, kad būtų užtikrintas nuolatinis jo veiksmingumas;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rPr>
        <w:t>nuolat atnaujinti 2 straipsnio 7 dalyje aprašytus dokumentus</w:t>
      </w:r>
      <w:r>
        <w:rPr>
          <w:rFonts w:ascii="Arial" w:hAnsi="Arial"/>
          <w:sz w:val="22"/>
          <w:bdr w:val="none" w:sz="0" w:space="0" w:color="auto" w:frame="1"/>
        </w:rPr>
        <w:t xml:space="preserve"> ir</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nedelsdamas pateikti viešajai organizacijai visas naujas 2 straipsnio 7 dalyje aprašytų dokumentų versijas.</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Jei to pagrįstai reikia, kad tiekėjas galėtų tinkamai įgyvendinti rizikos valdymo sistemą, viešoji organizacija tiekėjui paprašius pateiks informaciją, jei ji nėra konfidenciali.</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&lt;Neprivaloma&gt;</w:t>
      </w:r>
      <w:r>
        <w:rPr>
          <w:rFonts w:ascii="Arial" w:hAnsi="Arial"/>
          <w:sz w:val="22"/>
          <w:bdr w:val="none" w:sz="0" w:space="0" w:color="auto" w:frame="1"/>
        </w:rPr>
        <w:t xml:space="preserve"> Jei viešoji organizacija DI sistemą naudoja ir pasibaigus susitarimo galiojimo laikotarpiui, pasibaigus susitarimo galiojimo laikotarpiui tiekėjas pateikia viešajai organizacijai informaciją, reikalingą tam, kad ji pati galėtų prižiūrėti rizikos valdymo sistemą.</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 3 straipsnis taikomas tik toms DI sistemoms, kai taikomi su mokymo modeliais susiję metodai naudojant duomenis. 3 straipsnyje daroma prielaida, kad tiekėjas (arba jo subrangovai) gali visapusiškai naudotis duomenų rinkiniais. Jei duomenų rinkinius turi tik viešoji organizacija, būtina imtis kitų priemonių.&gt;</w:t>
      </w:r>
      <w:r>
        <w:rPr>
          <w:rFonts w:ascii="Arial" w:hAnsi="Arial"/>
          <w:sz w:val="22"/>
        </w:rPr>
        <w:t xml:space="preserve"> Duomenys ir duomenų valdymas</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Tiekėjas užtikrina, kad kuriant DI sistemą, įskaitant mokymą, </w:t>
      </w:r>
      <w:proofErr w:type="spellStart"/>
      <w:r>
        <w:rPr>
          <w:rFonts w:ascii="Arial" w:hAnsi="Arial"/>
          <w:sz w:val="22"/>
        </w:rPr>
        <w:t>validavimą</w:t>
      </w:r>
      <w:proofErr w:type="spellEnd"/>
      <w:r>
        <w:rPr>
          <w:rFonts w:ascii="Arial" w:hAnsi="Arial"/>
          <w:sz w:val="22"/>
        </w:rPr>
        <w:t xml:space="preserve"> ir bandymą, naudojamiems duomenų rinkiniams buvo ir bus taikoma duomenų valdymo ir administravimo praktika, tinkama numatytai DI sistemos paskirčiai. Minėtos priemonės visų pirma yra susijusios su:</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atitinkamais projektavimo sprendimais;</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duomenų rinkimo procesais ir duomenų kilme, o asmens duomenų atveju – pradiniu duomenų rinkimo tikslu;</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atitinkamomis paruošiamosiomis duomenų tvarkymo operacijomis, pavyzdžiui, anotavimu, žymėjimu, valymu, naujinimu, papildymu ir agregavimu;</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prielaidų, susijusių su informacija, kuri turėtų būti išreikšta ir perteikta duomenimis, formulavimu;</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reikiamų duomenų rinkinių prieinamumo, kiekio ir tinkamumo vertinimu;</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 xml:space="preserve">nagrinėjimu atsižvelgiant į galimą šališkumą, kuris gali turėti įtakos asmenų sveikatai ir saugai, turėti neigiamą poveikį pagrindinėms teisėms arba lemti pagal Sąjungos teisę draudžiamą diskriminaciją, ypač tais atvejais, kai duomenų </w:t>
      </w:r>
      <w:proofErr w:type="spellStart"/>
      <w:r>
        <w:rPr>
          <w:rFonts w:ascii="Arial" w:hAnsi="Arial"/>
          <w:sz w:val="22"/>
        </w:rPr>
        <w:t>išvediniai</w:t>
      </w:r>
      <w:proofErr w:type="spellEnd"/>
      <w:r>
        <w:rPr>
          <w:rFonts w:ascii="Arial" w:hAnsi="Arial"/>
          <w:sz w:val="22"/>
        </w:rPr>
        <w:t xml:space="preserve"> turi įtakos būsimų operacijų </w:t>
      </w:r>
      <w:proofErr w:type="spellStart"/>
      <w:r>
        <w:rPr>
          <w:rFonts w:ascii="Arial" w:hAnsi="Arial"/>
          <w:sz w:val="22"/>
        </w:rPr>
        <w:t>įvediniams</w:t>
      </w:r>
      <w:proofErr w:type="spellEnd"/>
      <w:r>
        <w:rPr>
          <w:rFonts w:ascii="Arial" w:hAnsi="Arial"/>
          <w:sz w:val="22"/>
        </w:rPr>
        <w:t>;</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lastRenderedPageBreak/>
        <w:t>tinkamomis priemonėmis pagal f punktą nustatytam galimam šališkumui aptikti, užkirsti jam kelią ir jį sumažinti;</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atitinkamų duomenų spragų arba trūkumų, kurie trukdo užtikrinti, kad būtų laikomasi šių Pavyzdinių didelės rizikos DI sutarčių sąlygų, ir galimų jų šalinimo būdų nustatymu.</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Tiekėjas užtikrina, kad DI sistemai kurti naudojami duomenų rinkiniai būtų tinkami, reprezentatyvūs, kiek įmanoma be klaidų ir išsamūs, atsižvelgiant į numatytą paskirtį.</w:t>
      </w:r>
      <w:r>
        <w:rPr>
          <w:rFonts w:ascii="Arial" w:hAnsi="Arial"/>
          <w:sz w:val="22"/>
          <w:bdr w:val="none" w:sz="0" w:space="0" w:color="auto" w:frame="1"/>
        </w:rPr>
        <w:t xml:space="preserve"> Tiekėjas užtikrina, kad duomenų rinkiniai turėtų tinkamas statistines savybes, įskaitant, kai taikoma, susijusias su asmenimis ar asmenų grupėmis, kurių atžvilgiu ketinama naudoti DI sistemą. Šias ypatybes turi turėti atskiri duomenų rinkiniai arba jų derinys.</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Tiekėjas užtikrina, kad kuriant DI sistemą naudojamuose duomenų rinkiniuose tiek, kiek to reikia dėl numatytos paskirties arba pagrįstai numatomo netinkamo naudojimo, būtų atsižvelgta į ypatybes ar elementus, būdingus konkrečiai geografinei, kontekstinei, elgsenos ar funkcinei aplinkai, kurioje ketinama naudoti DI sistemą.</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Šiame straipsnyje numatyti įpareigojimai taikomi ne tik kuriant DI sistemą prieš ją pristatant, bet ir visais atvejais, kai tiekėjas naudoja duomenų rinkinius, kurie gali turėti įtakos DI sistemos veikimui bet kuriuo kitu susitarimo galiojimo metu.</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Techniniai dokumentai ir naudojimo instrukcija</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Tiekėjas </w:t>
      </w:r>
      <w:r>
        <w:rPr>
          <w:rFonts w:ascii="Arial" w:hAnsi="Arial"/>
          <w:sz w:val="22"/>
          <w:bdr w:val="none" w:sz="0" w:space="0" w:color="auto" w:frame="1"/>
        </w:rPr>
        <w:t>pristatydamas</w:t>
      </w:r>
      <w:r>
        <w:rPr>
          <w:rFonts w:ascii="Arial" w:hAnsi="Arial"/>
          <w:sz w:val="22"/>
        </w:rPr>
        <w:t xml:space="preserve"> DI sistemą, be kita ko, perduoda techninius dokumentus ir naudojimo instrukciją.</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Techniniai dokumentai turi leisti viešajai organizacijai arba trečiajai šaliai įvertinti DI sistemos atitiktį šiose Pavyzdinėse didelės rizikos DI sutarčių sąlygose nustatytų reikalavimų nuostatoms ir atitikti bent </w:t>
      </w:r>
      <w:r>
        <w:rPr>
          <w:rFonts w:ascii="Arial" w:hAnsi="Arial"/>
          <w:b/>
          <w:sz w:val="22"/>
        </w:rPr>
        <w:t>C priede</w:t>
      </w:r>
      <w:r>
        <w:rPr>
          <w:rFonts w:ascii="Arial" w:hAnsi="Arial"/>
          <w:sz w:val="22"/>
        </w:rPr>
        <w:t xml:space="preserve"> aprašytas sąlygas.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Naudojimo instrukcijoje pateikiama </w:t>
      </w:r>
      <w:r>
        <w:rPr>
          <w:rFonts w:ascii="Arial" w:hAnsi="Arial"/>
          <w:color w:val="000000"/>
          <w:sz w:val="22"/>
          <w:shd w:val="clear" w:color="auto" w:fill="FFFFFF"/>
        </w:rPr>
        <w:t xml:space="preserve">glausta, išsami, teisinga ir aiški informacija, kuri yra aktuali, prieinama ir suprantama viešajai organizacijai. Naudojimo instrukcija turi atitikti bent </w:t>
      </w:r>
      <w:r>
        <w:rPr>
          <w:rFonts w:ascii="Arial" w:hAnsi="Arial"/>
          <w:b/>
          <w:color w:val="000000"/>
          <w:sz w:val="22"/>
          <w:shd w:val="clear" w:color="auto" w:fill="FFFFFF"/>
        </w:rPr>
        <w:t>D priede</w:t>
      </w:r>
      <w:r>
        <w:rPr>
          <w:rFonts w:ascii="Arial" w:hAnsi="Arial"/>
          <w:color w:val="000000"/>
          <w:sz w:val="22"/>
          <w:shd w:val="clear" w:color="auto" w:fill="FFFFFF"/>
        </w:rPr>
        <w:t xml:space="preserve"> aprašytas sąlygas.</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rPr>
        <w:t>Tiekėjas privalo atnaujinti šiuos dokumentus ne rečiau kaip po kiekvieno esminio pakeitimo susitarimo galiojimo laikotarpiu ir vėliau pateikti juos viešajai organizacijai.</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Techniniai dokumentai ir naudojimo instrukcija turi būti parengti anglų kalba.</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Viešoji organizacija, nepažeisdama 6 ir 14 straipsnių nuostatų, turi teisę daryti techninių dokumentų ir naudojimo instrukcijos kopijas tiek, kiek tai būtina vidiniam naudojimui viešosios organizacijos struktūroje.</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Registravimas</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Tiekėjas užtikrina, kad DI sistema būtų tokia, kad per visą savo gyvavimo laiką būtų techniškai įmanoma automatiškai registruoti įvykius (žurnaluose).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Registravimo pajėgumais užtikrinamas DI sistemos atsekamumo lygis, atitinkantis numatytą sistemos paskirtį ir </w:t>
      </w:r>
      <w:r>
        <w:rPr>
          <w:rFonts w:ascii="Arial" w:hAnsi="Arial"/>
          <w:sz w:val="22"/>
          <w:bdr w:val="none" w:sz="0" w:space="0" w:color="auto" w:frame="1"/>
        </w:rPr>
        <w:t>pagrįstai numatomą netinkamą naudojimą</w:t>
      </w:r>
      <w:r>
        <w:rPr>
          <w:rFonts w:ascii="Arial" w:hAnsi="Arial"/>
          <w:sz w:val="22"/>
        </w:rPr>
        <w:t xml:space="preserve">. Visų pirma jie suteikia galimybę registruoti įvykius, svarbius nustatant situacijas, kurios gali: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lemti tai, kad dėl DI sistemos kils rizika asmenų sveikatai ar saugai arba pagrindinių teisių apsaugai, arba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lemti esminį pakeitimą.</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Tiekėjas leis viešajai organizacijai tikruoju laiku susipažinti su DI sistemos automatiškai generuojamais žurnalais.</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Tiekėjas saugo DI sistemos automatiškai generuojamus žurnalus tiek, kiek tokius žurnalus jis kontroliuoja pagal susitarimą, visą susitarimo galiojimo laikotarpį. Pasibaigus susitarimo galiojimo laikotarpiui, tiekėjas nedelsdamas šiuos žurnalus pateiks viešajai organizacijai.</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DI sistemos skaidrumas</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Tiekėjas užtikrina, kad DI sistema buvo ir bus suprojektuota ir sukurta taip, kad DI sistemos veikimas būtų pakankamai skaidrus, kad viešoji organizacija galėtų</w:t>
      </w:r>
      <w:r>
        <w:rPr>
          <w:rFonts w:ascii="Arial" w:hAnsi="Arial"/>
          <w:sz w:val="22"/>
        </w:rPr>
        <w:t xml:space="preserve"> tinkamai interpretuoti ir naudoti DI sistemos </w:t>
      </w:r>
      <w:proofErr w:type="spellStart"/>
      <w:r>
        <w:rPr>
          <w:rFonts w:ascii="Arial" w:hAnsi="Arial"/>
          <w:sz w:val="22"/>
        </w:rPr>
        <w:t>išvedinį</w:t>
      </w:r>
      <w:proofErr w:type="spellEnd"/>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Kad būtų užtikrintas tinkamas skaidrumas, prieš pristatydamas DI sistemą tiekėjas įgyvendina bent </w:t>
      </w:r>
      <w:r>
        <w:rPr>
          <w:rFonts w:ascii="Arial" w:hAnsi="Arial"/>
          <w:b/>
          <w:sz w:val="22"/>
        </w:rPr>
        <w:t>E priede</w:t>
      </w:r>
      <w:r>
        <w:rPr>
          <w:rFonts w:ascii="Arial" w:hAnsi="Arial"/>
          <w:sz w:val="22"/>
        </w:rPr>
        <w:t xml:space="preserve"> aprašytas technines ir organizacines priemones.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Žmogaus atliekama priežiūra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Tiekėjas užtikrina, kad DI sistema buvo ir bus suprojektuota ir sukurta taip, be kita ko, naudojant tinkamas žmogaus ir mašinos sąsajos priemones, kad ją galėtų veiksmingai prižiūrėti fiziniai asmenys jos naudojimo laikotarpiu.</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Žmogaus atliekama priežiūra turi būti siekiama išvengti rizikos sveikatai, saugai ar pagrindinėms teisėms, kuri gali kilti DI sistemą naudojant pagal numatytą paskirtį arba pagrįstai numatomo netinkamo naudojimo sąlygomis, arba tą riziką kuo labiau sumažinti tais atvejais, kai ji išlieka nepaisant kitų šiame skirsnyje nustatytų reikalavimų taikymo.</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Priežiūros priemonės turi būti proporcingos DI sistemos keliamai rizikai, autonomijos lygiui ir naudojimo aplinkybėms ir turi būti užtikrinamos viena arba abiem toliau nurodytų rūšių priemonėmis.</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Tiekėjas užtikrina, kad prieš pristatant į DI sistemą būtų įtrauktos tinkamos priemonės, kurių imamasi siekiant užtikrinti žmogaus atliekamą priežiūrą. Šiomis priemonėmis užtikrinama, kad fiziniams asmenims, kuriems pavesta žmogaus vykdoma priežiūra, būtų sudarytos tinkamos ir proporcingos sąlygos: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tinkamai suprasti atitinkamus DI sistemos pajėgumus ir apribojimus ir sugebėti tinkamai stebėti jos veikimą, be kita ko, siekiant aptikti ir pašalinti anomalijas, sutrikimus ir netikėtą veikimą;</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 xml:space="preserve">nepamiršti galimos tendencijos automatiškai arba pernelyg pasikliauti DI sistemos </w:t>
      </w:r>
      <w:proofErr w:type="spellStart"/>
      <w:r>
        <w:rPr>
          <w:rFonts w:ascii="Arial" w:hAnsi="Arial"/>
          <w:sz w:val="22"/>
          <w:bdr w:val="none" w:sz="0" w:space="0" w:color="auto" w:frame="1"/>
        </w:rPr>
        <w:t>išvediniais</w:t>
      </w:r>
      <w:proofErr w:type="spellEnd"/>
      <w:r>
        <w:rPr>
          <w:rFonts w:ascii="Arial" w:hAnsi="Arial"/>
          <w:sz w:val="22"/>
          <w:bdr w:val="none" w:sz="0" w:space="0" w:color="auto" w:frame="1"/>
        </w:rPr>
        <w:t xml:space="preserve"> (automatizavimo šališkumo), ypač jei DI sistema </w:t>
      </w:r>
      <w:r>
        <w:rPr>
          <w:rFonts w:ascii="Arial" w:hAnsi="Arial"/>
          <w:sz w:val="22"/>
          <w:bdr w:val="none" w:sz="0" w:space="0" w:color="auto" w:frame="1"/>
        </w:rPr>
        <w:lastRenderedPageBreak/>
        <w:t>naudojama informacijai ar rekomendacijoms, kuriomis remdamiesi fiziniai asmenys turi priimti sprendimus, teikti;</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 xml:space="preserve">teisingai aiškinti DI sistemos </w:t>
      </w:r>
      <w:proofErr w:type="spellStart"/>
      <w:r>
        <w:rPr>
          <w:rFonts w:ascii="Arial" w:hAnsi="Arial"/>
          <w:sz w:val="22"/>
          <w:bdr w:val="none" w:sz="0" w:space="0" w:color="auto" w:frame="1"/>
        </w:rPr>
        <w:t>išvedinius</w:t>
      </w:r>
      <w:proofErr w:type="spellEnd"/>
      <w:r>
        <w:rPr>
          <w:rFonts w:ascii="Arial" w:hAnsi="Arial"/>
          <w:sz w:val="22"/>
          <w:bdr w:val="none" w:sz="0" w:space="0" w:color="auto" w:frame="1"/>
        </w:rPr>
        <w:t>, visų pirma atsižvelgiant, pavyzdžiui, į sistemos ypatybes ir turimas aiškinimo priemones bei metodus;</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 xml:space="preserve">bet kuriuo konkrečiu atveju nuspręsti nenaudoti DI sistemos arba kitaip nepaisyti DI sistemos </w:t>
      </w:r>
      <w:proofErr w:type="spellStart"/>
      <w:r>
        <w:rPr>
          <w:rFonts w:ascii="Arial" w:hAnsi="Arial"/>
          <w:sz w:val="22"/>
          <w:bdr w:val="none" w:sz="0" w:space="0" w:color="auto" w:frame="1"/>
        </w:rPr>
        <w:t>išvedinių</w:t>
      </w:r>
      <w:proofErr w:type="spellEnd"/>
      <w:r>
        <w:rPr>
          <w:rFonts w:ascii="Arial" w:hAnsi="Arial"/>
          <w:sz w:val="22"/>
          <w:bdr w:val="none" w:sz="0" w:space="0" w:color="auto" w:frame="1"/>
        </w:rPr>
        <w:t>, juos panaikinti ar ištaisyti;</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įsikišti į DI sistemos veikimą arba sistemą išjungti „stop“ mygtuku ar panašiu būdu, leidžiančiu saugiai sustabdyti sistemą.</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Siekdamas užtikrinti tinkamą žmogaus atliekamą priežiūrą, tiekėjas, prieš pristatydamas DI sistemą, įgyvendina bent </w:t>
      </w:r>
      <w:r>
        <w:rPr>
          <w:rFonts w:ascii="Arial" w:hAnsi="Arial"/>
          <w:b/>
          <w:sz w:val="22"/>
        </w:rPr>
        <w:t>F priede</w:t>
      </w:r>
      <w:r>
        <w:rPr>
          <w:rFonts w:ascii="Arial" w:hAnsi="Arial"/>
          <w:sz w:val="22"/>
        </w:rPr>
        <w:t xml:space="preserve"> aprašytas technines ir organizacines priemones.</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Tikslumas, patvarumas ir kibernetinis saugumas</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Tiekėjas užtikrina, kad DI sistema buvo ir bus suprojektuota ir sukurta taip, kad būtų pasiektas tinkamas tikslumo, patvarumo, saugos ir kibernetinio saugumo lygis, ir nuosekliai veiktų šiais atžvilgiais.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DI sistemos tikslumo lygiai ir atitinkami tikslumo rodikliai aprašyti </w:t>
      </w:r>
      <w:r>
        <w:rPr>
          <w:rFonts w:ascii="Arial" w:hAnsi="Arial"/>
          <w:b/>
          <w:sz w:val="22"/>
          <w:bdr w:val="none" w:sz="0" w:space="0" w:color="auto" w:frame="1"/>
        </w:rPr>
        <w:t>G priede</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Kad užtikrintų tinkamą patikimumo, saugos ir kibernetinio saugumo lygį, tiekėjas, prieš pristatydamas DI sistemą, įgyvendina bent </w:t>
      </w:r>
      <w:r>
        <w:rPr>
          <w:rFonts w:ascii="Arial" w:hAnsi="Arial"/>
          <w:b/>
          <w:sz w:val="22"/>
        </w:rPr>
        <w:t>H priede</w:t>
      </w:r>
      <w:r>
        <w:rPr>
          <w:rFonts w:ascii="Arial" w:hAnsi="Arial"/>
          <w:sz w:val="22"/>
        </w:rPr>
        <w:t xml:space="preserve"> aprašytas technines ir organizacines priemones.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Šis reikalavimas nedaro poveikio reikalavimams, kylantiems iš DI akto 15 straipsnio.</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C skirsnis. Su DI sistema susiję tiekėjo įsipareigojimai</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Atitiktis B skirsniui</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Tiekėjas privalo užtikrinti, kad nuo DI sistemos pristatymo iki susitarimo galiojimo pabaigos DI sistema atitiktų šių Pavyzdinių didelės rizikos DI sutarčių sąlygų B skirsnyje nustatytus reikalavimus.</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Kokybės valdymo sistema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 xml:space="preserve">Prieš pristatydamas DI sistemą, tiekėjas įdiegia kokybės valdymo sistemą, kuria užtikrinama atitiktis šioms Pavyzdinėms didelės rizikos DI sutarčių sąlygoms.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Kokybės valdymo sistema sistemingai ir tvarkingai įtvirtinama raštiškuose politikos, procedūrų ir nurodymų dokumentuose ir apima bent šiuos aspektus:</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atitikties reglamentuojamiems reikalavimams strategiją;</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metodus, procedūras ir sistemingus veiksmus, taikytinus projektuojant DI sistemą, vykdant jos projektavimo kontrolę ir tikrinimą;</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metodus, procedūras ir sistemingus veiksmus, taikytinus kuriant DI sistemą, vykdant jos kokybės kontrolę ir užtikrinant jos kokybę;</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tikrinimo, bandymo ir </w:t>
      </w:r>
      <w:proofErr w:type="spellStart"/>
      <w:r>
        <w:rPr>
          <w:rFonts w:ascii="Arial" w:hAnsi="Arial"/>
          <w:sz w:val="22"/>
          <w:bdr w:val="none" w:sz="0" w:space="0" w:color="auto" w:frame="1"/>
        </w:rPr>
        <w:t>validavimo</w:t>
      </w:r>
      <w:proofErr w:type="spellEnd"/>
      <w:r>
        <w:rPr>
          <w:rFonts w:ascii="Arial" w:hAnsi="Arial"/>
          <w:sz w:val="22"/>
          <w:bdr w:val="none" w:sz="0" w:space="0" w:color="auto" w:frame="1"/>
        </w:rPr>
        <w:t xml:space="preserve"> procedūras, atliktinas prieš kuriant DI sistemą, jos kūrimo metu ir ją sukūrus, ir jų atlikimo dažnumą;</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rPr>
        <w:lastRenderedPageBreak/>
        <w:t>taikytinas technines specifikacijas, įskaitant standartus, ir, jei atitinkami darnieji standartai taikomi ne visa apimtimi arba neapima visų atitinkamų reikalavimų, priemones, naudotinas siekiant užtikrinti, kad DI sistema atitiktų šių Pavyzdinių didelės rizikos DI sutarčių sąlygų B skirsnyje nustatytus reikalavimus;</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duomenų tvarkymo sistemas ir procedūras, įskaitant duomenų rinkimo, duomenų gavimo, duomenų analizės, duomenų žymėjimo, duomenų laikymo, duomenų filtravimo, duomenų gavybos, duomenų apibendrinimo, duomenų saugojimo ir bet kokią kitą su duomenimis susijusią veiklą, kuri atliekama prieš pristatant DI sistemą;</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2 straipsnyje nurodytą rizikos valdymo sistemą;</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pranešimo apie rimtus incidentus procedūras;</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ryšių su nacionalinėmis kompetentingomis institucijomis, kitomis atitinkamomis institucijomis, įskaitant tas, kurios teikia arba palaiko prieigą prie duomenų, notifikuotosiomis įstaigomis, kitais veiklos vykdytojais, klientais ar kitais suinteresuotaisiais subjektais palaikymą;</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visų svarbių dokumentų ir informacijos registravimo sistemas ir procedūras;</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išteklių valdymą, įskaitant su tiekimo saugumu susijusias priemones;</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atskaitomybės sistemą, kurioje nustatyta vadovybės ir kitų darbuotojų atsakomybė, apimanti visus šioje dalyje išvardytus aspektus.</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Susitarimo galiojimo laikotarpiu tiekėjas turi saugoti su kokybės valdymo sistema susijusius dokumentus. Viešajai organizacijai pirmą kartą paprašius, tiekėjas perduoda viešajai organizacijai naujausią dokumentų, susijusių su kokybės valdymo sistema, versiją.</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Atitikties vertinimas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Tiekėjas užtikrina, kad prieš pristatant DI sistemą būtų atlikta tokia DI sistemos atitikties vertinimo procedūra:</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Tiekėjas patvirtina, kad nustatyta kokybės valdymo sistema atitinka 10 straipsnio reikalavimus.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Tiekėjas išnagrinėja techniniuose dokumentuose pateiktą informaciją, kad įvertintų DI sistemos atitiktį atitinkamiems šių Pavyzdinių didelės rizikos DI sutarčių sąlygų B skirsnyje išvardytiems esminiams reikalavimams.</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Tiekėjas taip pat patikrina, ar DI sistemos projektavimo ir kūrimo procesas atitinka techninius dokumentus.</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Tiekėjas užtikrina, kad būtų taikoma nauja DI sistemos atitikties vertinimo procedūra, kai susitarimo galiojimo laikotarpiu tiekėjas iš esmės pakeičia DI sistemą.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&lt;Neprivaloma&gt;</w:t>
      </w:r>
      <w:r>
        <w:rPr>
          <w:rFonts w:ascii="Arial" w:hAnsi="Arial"/>
          <w:sz w:val="22"/>
        </w:rPr>
        <w:t xml:space="preserve"> Poveikio pagrindinėms teisėms vertinimas</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&lt;Neprivaloma&gt;</w:t>
      </w:r>
      <w:r>
        <w:rPr>
          <w:rFonts w:ascii="Arial" w:hAnsi="Arial"/>
          <w:sz w:val="22"/>
        </w:rPr>
        <w:t xml:space="preserve"> Viešajai organizacijai pirmą kartą paprašius, tiekėjas bendradarbiauja viešajai organizacijai atliekant poveikio pagrindinėms teisėms, kurį gali sukelti DI sistemos naudojimas, vertinimą.</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Taisomieji veiksmai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Jei susitarimo galiojimo laikotarpiu tiekėjas mano arba turi pagrindo manyti, kad DI sistema neatitinka šių Pavyzdinių didelės rizikos DI sutarčių sąlygų, neatsižvelgiant į tai, ar tokią pastabą pateikė viešoji organizacija, ar ne, jis nedelsdamas imasi būtinų taisomųjų veiksmų, kad užtikrintų sistemos atitiktį. Tiekėjas atitinkamai informuoja viešąją organizaciją.</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&lt;Neprivaloma&gt;</w:t>
      </w:r>
      <w:r>
        <w:rPr>
          <w:rFonts w:ascii="Arial" w:hAnsi="Arial"/>
          <w:sz w:val="22"/>
        </w:rPr>
        <w:t xml:space="preserve"> Įpareigojimas pateikti priimtų individualių sprendimų paaiškinimą</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Be 6 straipsnyje aprašytų įpareigojimų, tiekėjas privalo viešajai organizacijai pirmą kartą paprašius padėti viešajai organizacijai pateikti aiškų ir prasmingą DI sistemos vaidmens sprendimų priėmimo procedūroje paaiškinimą. Šis prasmingas paaiškinimas visų pirma (bet ne tik) turėtų suteikti įžvalgų apie pagrindinius priimto (-ų) sprendimo (-ų) elementus bet kuriam susijusiam asmeniui, kuriam taikomas (-i) viešosios organizacijos sprendimas (-ai), grindžiamas (-i) DI sistemos </w:t>
      </w:r>
      <w:proofErr w:type="spellStart"/>
      <w:r>
        <w:rPr>
          <w:rFonts w:ascii="Arial" w:hAnsi="Arial"/>
          <w:sz w:val="22"/>
        </w:rPr>
        <w:t>išvediniais</w:t>
      </w:r>
      <w:proofErr w:type="spellEnd"/>
      <w:r>
        <w:rPr>
          <w:rFonts w:ascii="Arial" w:hAnsi="Arial"/>
          <w:sz w:val="22"/>
        </w:rPr>
        <w:t>.</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14 straipsnio 1 dalyje aprašytas įpareigojimas apima visos techninės ir kitos informacijos, reikalingos siekiant paaiškinti, kaip DI sistema sukūrė konkretų </w:t>
      </w:r>
      <w:proofErr w:type="spellStart"/>
      <w:r>
        <w:rPr>
          <w:rFonts w:ascii="Arial" w:hAnsi="Arial"/>
          <w:sz w:val="22"/>
        </w:rPr>
        <w:t>išvedinį</w:t>
      </w:r>
      <w:proofErr w:type="spellEnd"/>
      <w:r>
        <w:rPr>
          <w:rFonts w:ascii="Arial" w:hAnsi="Arial"/>
          <w:sz w:val="22"/>
        </w:rPr>
        <w:t xml:space="preserve">, ir suteikti susijusiems asmenims galimybę patikrinti, kaip DI sistema sukūrė konkretų </w:t>
      </w:r>
      <w:proofErr w:type="spellStart"/>
      <w:r>
        <w:rPr>
          <w:rFonts w:ascii="Arial" w:hAnsi="Arial"/>
          <w:sz w:val="22"/>
        </w:rPr>
        <w:t>išvedinį</w:t>
      </w:r>
      <w:proofErr w:type="spellEnd"/>
      <w:r>
        <w:rPr>
          <w:rFonts w:ascii="Arial" w:hAnsi="Arial"/>
          <w:sz w:val="22"/>
        </w:rPr>
        <w:t>, teikimą viešajai organizacijai. Tiekėjas suteikia viešajai organizacijai teisę naudoti šią informaciją, ja dalytis ir ją atskleisti, jei ir tiek, kiek būtina, kad ji atitinkamai informuotų susijusius asmenis.</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14 straipsnio 1 ir 2 dalyse nurodyti įpareigojimai apima DI sistemos pirminį kodą, kuriant DI sistemą naudotas technines specifikacijas, duomenų rinkinius, techninę informaciją apie tai, kaip buvo gauti ir redaguoti kuriant DI sistemą naudoti duomenų rinkiniai, informaciją apie taikytą kūrimo metodą ir vykdytą kūrimo procesą, konkretaus modelio ir jo parametrų pasirinkimo pagrindimą ir informaciją apie DI sistemos veikimą.</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D skirsnis. Teisės naudoti duomenų rinkinius</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Teisės į viešosios organizacijos duomenų rinkinius</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Visos teisės, įskaitant bet kokias intelektinės nuosavybės teises, susijusios su viešosios organizacijos duomenų rinkiniais, atitenka viešajai organizacijai arba jos paskirtai trečiajai šaliai.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Tiekėjas neturi teisės naudoti viešosios organizacijos duomenų rinkinių kitais nei susitarimo vykdymo tikslais, išskyrus atvejus, kai B priede numatyta kitaip.</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Viešajai organizacijai pirmą kartą paprašius, tiekėjas turi sunaikinti viešosios organizacijos duomenų rinkinius, išskyrus atvejus, kai B priede numatyta kitaip. Jei </w:t>
      </w:r>
      <w:r>
        <w:rPr>
          <w:rFonts w:ascii="Arial" w:hAnsi="Arial"/>
          <w:sz w:val="22"/>
        </w:rPr>
        <w:lastRenderedPageBreak/>
        <w:t>viešoji organizacija to reikalauja, tiekėjas turi pateikti įmanomų įrodymų, kad viešosios organizacijos duomenų rinkiniai buvo sunaikinti.</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Teisės į tiekėjo duomenų rinkinius ir trečiosios šalies duomenų rinkinius</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Visos teisės, įskaitant bet kokias intelektinės nuosavybės teises, susijusios su tiekėjo duomenų rinkiniais ir trečiosios šalies duomenų rinkiniais, atitenka tiekėjui arba trečiajai šaliai.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Tiekėjas suteikia viešajai organizacijai neišimtinę teisę naudoti tiekėjo duomenų rinkinius ir trečiosios šalies duomenų rinkinius, kurios bet kuriuo atveju pakanka susitarimo nuostatoms, įskaitant Pavyzdines didelės rizikos DI sutarčių sąlygas, vykdyti, išskyrus atvejus, kai B priede numatyta kitaip.</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16 straipsnio 2 dalyje aprašyta naudojimo teisė apima teisę naudoti tiekėjo duomenų rinkinius ir trečiosios šalies rinkinius tolesniam viešosios organizacijos ar trečiosios šalies vykdomam DI sistemos, įskaitant bet kokias naujas jos versijas, kūrimui.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Duomenų rinkinių perdavimas</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Viešajai organizacijai pirmą kartą paprašius, tiekėjas perduoda viešajai organizacijai naujausią viešosios organizacijos duomenų rinkinių versiją.</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Viešajai organizacijai pirmą kartą paprašius, tiekėjas perduoda viešajai organizacijai naujausią tiekėjo duomenų rinkinių ir trečiosios šalies duomenų rinkinių versiją, išskyrus atvejus, kai B priede numatyta kitaip.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Duomenų rinkinius viešajai organizacijai tiekėjas turi perduoti viešosios organizacijos nurodytu bendruoju rinkmenos formatu. </w:t>
      </w:r>
      <w:r>
        <w:rPr>
          <w:rFonts w:ascii="Arial" w:hAnsi="Arial"/>
          <w:b/>
          <w:sz w:val="22"/>
        </w:rPr>
        <w:t>&lt;Neprivaloma&gt; Duomenų rinkiniai bus grąžinti taip: [rinkmenos formatas].</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Žalos atlyginimas</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Tiekėjas atlygina žalą viešajai organizacijai dėl visų trečiųjų šalių, įskaitant priežiūros institucijas, pareikštų ieškinių, kylančių dėl bet kokio intelektinės nuosavybės teisių, duomenų apsaugos teisių ar lygiaverčių teisių pažeidimo, atsirandančio dėl to, kad viešoji organizacija naudoja DI sistemą, tiekėjo duomenų rinkinius ir (arba) trečiosios šalies duomenų rinkinius.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Viešoji organizacija atlygina žalą tiekėjui dėl visų trečiųjų šalių, įskaitant priežiūros institucijas, pareikštų ieškinių, kylančių dėl bet kokio intelektinės nuosavybės teisių, privatumo teisių ar lygiaverčių teisių pažeidimo, atsirandančio naudojant viešosios organizacijos duomenų rinkinius.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E skirsnis. DI registras ir auditas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&lt;Neprivaloma&gt;</w:t>
      </w:r>
      <w:r>
        <w:rPr>
          <w:rFonts w:ascii="Arial" w:hAnsi="Arial"/>
          <w:sz w:val="22"/>
        </w:rPr>
        <w:t xml:space="preserve"> DI registras</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Viešajai organizacijai pirmą kartą paprašius, tiekėjas pateikia viešajai organizacijai naujausią C ir D prieduose aprašytos informacijos versiją.</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Viešoji organizacija turi teisę dalytis 19 straipsnio 1 dalyje aprašyta informacija su trečiosiomis šalimis ir ją atskleisti, pavyzdžiui, DI sistemų registre.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Viešajai organizacijai pareikalavus, tiekėjas padės registruoti DI sistemas bet kuriame atitinkamame registre.</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Atitiktis ir auditas</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Viešajai organizacijai pirmą kartą paprašius, tiekėjas privalo pateikti viešajai organizacijai visą informaciją, būtiną šių Pavyzdinių didelės rizikos DI sutarčių sąlygų laikymuisi įrodyti.</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Tiekėjas privalo bendradarbiauti atliekant auditą ar kitokio pobūdžio patikrinimą, kurį turi atlikti viešoji organizacija arba kuris atliekamas jos vardu, siekiant įvertinti, ar tiekėjas visais atvejais laikosi šiose Pavyzdinėse didelės rizikos DI sutarčių sąlygose nustatytų įpareigojimų. Toks bendradarbiavimas apims visos viešosios organizacijos reikalaujamos informacijos pateikimą, supažindinimą su įdiegta rizikos valdymo sistema, galimybę apklausti tiekėjo darbuotojus ir patekti į tiekėjo buveinę.</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Viešoji organizacija parengs arba paves parengti ataskaitą, kurioje bus užfiksuotos audito išvados. Ataskaitoje viešoji organizacija užfiksuos, kokiu mastu tiekėjas laikosi susitarime numatytų įpareigojimų. Jei viešoji organizacija nustato, kad tiekėjas nesilaiko šiame straipsnyje numatytų įpareigojimų, tiekėjas privalo pašalinti viešosios organizacijos nustatytus trūkumus per viešosios organizacijos ataskaitoje nustatytą pagrįstą terminą. Jei tiekėjas nepašalina viešosios organizacijos nustatytų trūkumų per ataskaitoje nustatytą terminą, per kurį jie turi būti ištaisyti, tiekėjas nevykdo savo įsipareigojimų pagal įstatymą.</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Viešoji organizacija turės teisę paskelbti 20 straipsnio 3 dalyje nurodytos ataskaitos išvadas.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Viešoji organizacija turės teisę atlikti arba nurodyti atlikti auditą kartą per kalendorinius metus arba dėl bet kokio esminio pakeitimo.</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Viešoji organizacija gali nuspręsti, kad visą auditą arba jo dalį atliks nepriklausomas auditorius.</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Viešosios organizacijos samdomo auditoriaus išlaidas, jei tokių bus, apmokės viešoji organizacija. Viešoji organizacija sumokės tiekėjui pagrįstą mokestį už visas išlaidas, kurias tiekėjas patirs atlikdamas auditą. Ginčas dėl tokio mokesčio dydžio jokiais atvejais nesuteiks tiekėjui teisės sustabdyti savo įsipareigojimų pagal šias Pavyzdines didelės rizikos DI sutarčių sąlygas vykdymo. Viešoji organizacija neprivalo mokėti tokio mokesčio, jei audito metu paaiškėja, kad tiekėjas neįvykdė savo įsipareigojimų pagal šias Pavyzdines didelės rizikos DI sutarčių sąlygas.</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F skirsnis. Išlaidos</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Išlaidos</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lastRenderedPageBreak/>
        <w:t>Išskyrus atvejus, kai šalys susitaria kitaip arba šiose Pavyzdinėse didelės rizikos DI sutarčių sąlygose aiškiai nurodyta kitaip, viešoji organizacija neprivalo mokėti tiekėjui jokio papildomo mokesčio už darbą pagal šias Pavyzdines didelės rizikos DI sutarčių sąlygas.</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A priedas. DI sistema ir numatyta paskirtis</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DI sistemos aprašymas</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Į šių Pavyzdinių didelės rizikos DI sutarčių sąlygų taikymo sritį patenka šios sistemos arba sistemų komponentai: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Aprašykite DI sistemą (-</w:t>
      </w:r>
      <w:proofErr w:type="spellStart"/>
      <w:r>
        <w:rPr>
          <w:rFonts w:ascii="Arial" w:hAnsi="Arial"/>
          <w:i/>
          <w:sz w:val="22"/>
        </w:rPr>
        <w:t>as</w:t>
      </w:r>
      <w:proofErr w:type="spellEnd"/>
      <w:r>
        <w:rPr>
          <w:rFonts w:ascii="Arial" w:hAnsi="Arial"/>
          <w:i/>
          <w:sz w:val="22"/>
        </w:rPr>
        <w:t>). Tai taip pat gali būti algoritmų sistema, kuri pagal DI aktą nelaikoma DI sistema.</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Numatyta paskirtis</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Aprašykite DI sistemos naudojimo būdą.</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B priedas. Duomenų rinkiniai</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Aprašykite DI sistemos </w:t>
      </w:r>
      <w:r>
        <w:rPr>
          <w:rFonts w:ascii="Arial" w:hAnsi="Arial"/>
          <w:i/>
          <w:color w:val="000000"/>
          <w:sz w:val="22"/>
          <w:shd w:val="clear" w:color="auto" w:fill="FFFFFF"/>
        </w:rPr>
        <w:t xml:space="preserve">mokymui (jei taikoma), </w:t>
      </w:r>
      <w:proofErr w:type="spellStart"/>
      <w:r>
        <w:rPr>
          <w:rFonts w:ascii="Arial" w:hAnsi="Arial"/>
          <w:i/>
          <w:color w:val="000000"/>
          <w:sz w:val="22"/>
          <w:shd w:val="clear" w:color="auto" w:fill="FFFFFF"/>
        </w:rPr>
        <w:t>validavimui</w:t>
      </w:r>
      <w:proofErr w:type="spellEnd"/>
      <w:r>
        <w:rPr>
          <w:rFonts w:ascii="Arial" w:hAnsi="Arial"/>
          <w:i/>
          <w:color w:val="000000"/>
          <w:sz w:val="22"/>
          <w:shd w:val="clear" w:color="auto" w:fill="FFFFFF"/>
        </w:rPr>
        <w:t xml:space="preserve"> ir bandymui naudotus duomenų rinkinius. Atskirkite viešosios organizacijos duomenų rinkinius, tiekėjo duomenų rinkinius ir trečiosios šalies duomenų rinkinius. Viešosios organizacijos duomenų rinkinių atveju aprašykite, kokiais tikslais tiekėjas gali naudoti duomenų rinkinius (išskyrus susitarimo vykdymą), ir nurodykite, ar tiekėjas privalo sunaikinti duomenų rinkinį pasibaigus susitarimo galiojimo laikotarpiui. Tiekėjo duomenų rinkinių ir trečiosios šalies duomenų rinkinių atveju aprašykite, kokiais tikslais viešoji organizacija gali naudoti duomenų rinkinius, ir nurodykite, ar tiekėjas privalo perduoti duomenų rinkinius.</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Viešosios organizacijos duomenų rinkiniai</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Toliau nurodytus duomenų rinkinius viešoji organizacija pateikia tiekėjui pagal susitarimą arba jie turi būti sukurti ar surinkti vykdant susitarimą: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Duomenų rinkinio aprašymas</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Tiekėjo naudojimo teisės</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Įpareigojimas sunaikinti duomenų rinkinį pasibaigus susitarimo galiojimo laikotarpiui</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Taip / Ne</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Tiekėjo duomenų rinkiniai ir trečiosios šalies duomenų rinkiniai</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 xml:space="preserve">Toliau nurodyti tiekėjo duomenų rinkiniai ir trečiosios šalies duomenų rinkiniai bus naudojami arba buvo naudojami DI sistemos mokymui (jei taikoma), </w:t>
      </w:r>
      <w:proofErr w:type="spellStart"/>
      <w:r>
        <w:rPr>
          <w:rFonts w:ascii="Arial" w:hAnsi="Arial"/>
          <w:sz w:val="22"/>
        </w:rPr>
        <w:t>validavimui</w:t>
      </w:r>
      <w:proofErr w:type="spellEnd"/>
      <w:r>
        <w:rPr>
          <w:rFonts w:ascii="Arial" w:hAnsi="Arial"/>
          <w:sz w:val="22"/>
        </w:rPr>
        <w:t xml:space="preserve"> ir bandymui:</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Duomenų rinkinio aprašymas</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Viešosios organizacijos naudojimo teisės</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Įpareigojimas perduoti duomenų rinkinį</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Taip / Ne</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C priedas. Techniniai dokumentai</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Techniniuose dokumentuose pateikiama bent ši informacija, susijusi su DI sistema:</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bendras DI sistemos aprašymas, įskaitant:</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numatytą paskirtį, tiekėjo pavadinimą bei sistemos versiją, atspindinčią jos ryšį su ankstesnėmis versijomis;</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kai taikytina, tai, kaip DI sistema gali sąveikauti su aparatine arba programine įranga, be kita ko, kitomis DI sistemomis, kuri nėra pačios DI sistemos sudedamoji dalis, arba kaip ji gali būti naudojama, kad sąveikautų su tokia įranga;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atitinkamos programinės įrangos arba aparatinės programinės įrangos versijas ir bet kokį su versijos atnaujinimu susijusį reikalavimą;</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aparatinės įrangos, kurią naudojant numatoma naudoti DI sistemą, aprašymą;</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nuotraukas arba paveikslus, kuriuose matomi išorės požymiai, ženklinimas ir šių produktų vidaus sandara, jeigu DI sistema yra šių produktų komponentas;</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viešai organizacijai pateiktos naudotojo sąsajos pagrindinį aprašymą;</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diegėjui skirtos naudojimo instrukcijos ir, kai taikytina, naudotojo sąsajos pagrindinį aprašymą;</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išsamus DI sistemos ir jos kūrimo proceso elementų aprašymas, įskaitant:</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metodus ir etapus, susijusius su DI sistemos kūrimu, įskaitant, kai tinkama, iš anksto išmokytų sistemų arba priemonių, kurias suteikė trečiosios šalys, naudojimą ir tai, kaip tiekėjas jas panaudojo, integravo arba pakeitė, įskaitant visų licencijų ar kitų sutartimi įformintų susitarimų, susijusių su tokiais trečiųjų šalių </w:t>
      </w:r>
      <w:proofErr w:type="spellStart"/>
      <w:r>
        <w:rPr>
          <w:rFonts w:ascii="Arial" w:hAnsi="Arial"/>
          <w:sz w:val="22"/>
        </w:rPr>
        <w:t>įvediniais</w:t>
      </w:r>
      <w:proofErr w:type="spellEnd"/>
      <w:r>
        <w:rPr>
          <w:rFonts w:ascii="Arial" w:hAnsi="Arial"/>
          <w:sz w:val="22"/>
        </w:rPr>
        <w:t>, aprašymą;</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 xml:space="preserve">sistemos dizaino specifikacijas, būtent bendrą DI sistemos ir algoritmų logiką; pagrindinius dizaino sprendimus, įskaitant loginį pagrindą ir prielaidas, taip pat atsižvelgiant į asmenis ar asmenų grupes, kurių atžvilgiu numatoma naudoti sistemą; pagrindinius klasifikacijos sprendimus; tai, ką siekiama optimizuoti sistema, ir įvairių parametrų svarbą; numatomo sistemos </w:t>
      </w:r>
      <w:proofErr w:type="spellStart"/>
      <w:r>
        <w:rPr>
          <w:rFonts w:ascii="Arial" w:hAnsi="Arial"/>
          <w:sz w:val="22"/>
        </w:rPr>
        <w:t>išvedinio</w:t>
      </w:r>
      <w:proofErr w:type="spellEnd"/>
      <w:r>
        <w:rPr>
          <w:rFonts w:ascii="Arial" w:hAnsi="Arial"/>
          <w:sz w:val="22"/>
        </w:rPr>
        <w:t xml:space="preserve"> ir </w:t>
      </w:r>
      <w:proofErr w:type="spellStart"/>
      <w:r>
        <w:rPr>
          <w:rFonts w:ascii="Arial" w:hAnsi="Arial"/>
          <w:sz w:val="22"/>
        </w:rPr>
        <w:t>išvedinio</w:t>
      </w:r>
      <w:proofErr w:type="spellEnd"/>
      <w:r>
        <w:rPr>
          <w:rFonts w:ascii="Arial" w:hAnsi="Arial"/>
          <w:sz w:val="22"/>
        </w:rPr>
        <w:t xml:space="preserve"> kokybės aprašymą; sprendimus apie bet kokį galimą kompromisą dėl techninių sprendimų, kurie buvo priimti siekiant laikytis šiose Pavyzdinėse didelės rizikos DI sutarčių sąlygose nustatytų reikalavimų;</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sistemos struktūros aprašymą, kuriame paaiškinama, kaip kuriami programinės įrangos komponentai arba kaip jie papildo vienas kitą ir kaip jie apskritai veikia; kompiuterių išteklius, kurie naudojami DI sistemai kurti, mokyti, bandyti ir </w:t>
      </w:r>
      <w:proofErr w:type="spellStart"/>
      <w:r>
        <w:rPr>
          <w:rFonts w:ascii="Arial" w:hAnsi="Arial"/>
          <w:sz w:val="22"/>
        </w:rPr>
        <w:t>validuoti</w:t>
      </w:r>
      <w:proofErr w:type="spellEnd"/>
      <w:r>
        <w:rPr>
          <w:rFonts w:ascii="Arial" w:hAnsi="Arial"/>
          <w:sz w:val="22"/>
        </w:rPr>
        <w:t>;</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kai tinkama, duomenų reikalavimus, nustatytus duomenų lapuose, kuriuose aprašoma mokymo metodika ir būdai, ir naudojamus mokymo duomenų rinkinius, įskaitant bendrą šių duomenų rinkinių aprašymą, informaciją apie jų kilmę, taikymo sritį ir pagrindines ypatybes; tai, kaip </w:t>
      </w:r>
      <w:r>
        <w:rPr>
          <w:rFonts w:ascii="Arial" w:hAnsi="Arial"/>
          <w:sz w:val="22"/>
        </w:rPr>
        <w:lastRenderedPageBreak/>
        <w:t>duomenys buvo gauti ir atrinkti; ženklinimo procedūras (pvz., prižiūrimo mokymosi), duomenų valymo metodiką (pvz., išskirčių nustatymas);</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 xml:space="preserve">žmogaus atliekamos priežiūros priemonių, reikalingų pagal šias Pavyzdines didelės rizikos DI sutarčių sąlygas, vertinimą, įskaitant techninių priemonių, reikalingų siekiant palengvinti viešajai organizacijai DI sistemų </w:t>
      </w:r>
      <w:proofErr w:type="spellStart"/>
      <w:r>
        <w:rPr>
          <w:rFonts w:ascii="Arial" w:hAnsi="Arial"/>
          <w:sz w:val="22"/>
        </w:rPr>
        <w:t>išvedinių</w:t>
      </w:r>
      <w:proofErr w:type="spellEnd"/>
      <w:r>
        <w:rPr>
          <w:rFonts w:ascii="Arial" w:hAnsi="Arial"/>
          <w:sz w:val="22"/>
        </w:rPr>
        <w:t xml:space="preserve"> aiškinimą pagal šias Pavyzdines didelės rizikos DI sutarčių sąlygas, vertinimą;</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kai taikytina, išsamų iš anksto nustatytų DI sistemos ir jos veikimo pakeitimų aprašymą, įskaitant visą atitinkamą informaciją, susijusią su techniniais sprendimais, priimtais siekiant užtikrinti nuolatinę DI sistemos atitiktį atitinkamiems šiose Pavyzdinėse didelės rizikos DI sutarčių sąlygose išdėstytiems reikalavimams;</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naudotas </w:t>
      </w:r>
      <w:proofErr w:type="spellStart"/>
      <w:r>
        <w:rPr>
          <w:rFonts w:ascii="Arial" w:hAnsi="Arial"/>
          <w:sz w:val="22"/>
        </w:rPr>
        <w:t>validavimo</w:t>
      </w:r>
      <w:proofErr w:type="spellEnd"/>
      <w:r>
        <w:rPr>
          <w:rFonts w:ascii="Arial" w:hAnsi="Arial"/>
          <w:sz w:val="22"/>
        </w:rPr>
        <w:t xml:space="preserve"> ir bandymo procedūras, įskaitant informaciją apie naudotus </w:t>
      </w:r>
      <w:proofErr w:type="spellStart"/>
      <w:r>
        <w:rPr>
          <w:rFonts w:ascii="Arial" w:hAnsi="Arial"/>
          <w:sz w:val="22"/>
        </w:rPr>
        <w:t>validavimo</w:t>
      </w:r>
      <w:proofErr w:type="spellEnd"/>
      <w:r>
        <w:rPr>
          <w:rFonts w:ascii="Arial" w:hAnsi="Arial"/>
          <w:sz w:val="22"/>
        </w:rPr>
        <w:t xml:space="preserve"> ir bandymo duomenis ir jų pagrindines ypatybes; metriką, kuri buvo naudota tikslumui, patvarumui ir atitikčiai kitiems susijusiems reikalavimams, nustatytiems šiose Pavyzdinėse didelės rizikos DI sutarčių sąlygose, taip pat galimam diskriminaciniam poveikiui įvertinti; bandymo žurnalus ir visas bandymų ataskaitas, kuriose nurodoma data ir kurias pasirašo atsakingi asmenys, taip pat atsižvelgiant į 2.5 punkte nurodytus iš anksto nustatytus pakeitimus;</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taikomas kibernetinio saugumo priemones;</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išsami informacija apie DI sistemos stebėseną, veikimą ir kontrolę, visų pirma atsižvelgiant į: jos pajėgumus ir efektyvaus veikimo apribojimus, įskaitant konkretiems asmenims arba asmenų grupėms, kurių atžvilgiu numatoma naudoti sistemą, taikomus tikslumo laipsnius ir bendrą tikėtiną tikslumo lygį, atsižvelgiant į numatytą paskirtį; numatomas nepageidaujamas pasekmes ir rizikos sveikatai ir saugai, pagrindinėms teisėms šaltinius ir diskriminaciją, atsižvelgiant į DI sistemos numatytą paskirtį;</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DI sistemos veikimo efektyvumo metrikos tinkamumo aprašymas;</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išsamus rizikos valdymo sistemos aprašymas pagal 2 straipsnį;</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bet kokių svarbių sistemos pakeitimų, tiekėjo padarytų per jos gyvavimo ciklą, aprašymas.</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D priedas. Naudojimo instrukcija</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Naudojimo instrukcijoje pateikiama bent ši informacija, susijusi su DI sistema:</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tiekėjo ir, kai taikoma, jo įgaliotųjų atstovų tapatybė ir kontaktiniai duomenys;</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DI sistemos ypatybės, pajėgumai ir veikimo apribojimai, įskaitant, kai tinkama:</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numatytą paskirtį;</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 xml:space="preserve">8 straipsnyje nurodytą DI sistemos tikslumo, įskaitant tikslumo metriką, patvarumo ir kibernetinio saugumo lygį, kuris buvo išbandytas ir </w:t>
      </w:r>
      <w:proofErr w:type="spellStart"/>
      <w:r>
        <w:rPr>
          <w:rFonts w:ascii="Arial" w:hAnsi="Arial"/>
          <w:sz w:val="22"/>
        </w:rPr>
        <w:t>validuotas</w:t>
      </w:r>
      <w:proofErr w:type="spellEnd"/>
      <w:r>
        <w:rPr>
          <w:rFonts w:ascii="Arial" w:hAnsi="Arial"/>
          <w:sz w:val="22"/>
        </w:rPr>
        <w:t xml:space="preserve"> ir kurio galima tikėtis, taip pat visas aiškiai žinomas ir numatomas aplinkybes, galinčias daryti poveikį numatomam tikslumo, patvarumo ir kibernetinio saugumo lygiui;</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visas žinomas ir numatomas aplinkybes, susijusias su DI sistemos naudojimu pagal numatytą paskirtį arba pagrįstai numatomo netinkamo naudojimo sąlygomis, dėl kurio gali kilti rizika sveikatai ir saugai arba pagrindinėms teisėms;</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 xml:space="preserve">kai taikytina, DI sistemos pajėgumus ir ypatumus teikti informaciją, kuri yra svarbi paaiškinant jos </w:t>
      </w:r>
      <w:proofErr w:type="spellStart"/>
      <w:r>
        <w:rPr>
          <w:rFonts w:ascii="Arial" w:hAnsi="Arial"/>
          <w:sz w:val="22"/>
        </w:rPr>
        <w:t>išvedinį</w:t>
      </w:r>
      <w:proofErr w:type="spellEnd"/>
      <w:r>
        <w:rPr>
          <w:rFonts w:ascii="Arial" w:hAnsi="Arial"/>
          <w:sz w:val="22"/>
        </w:rPr>
        <w:t>;</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kai tikslinga, jos veikimo efektyvumą, susijusį su konkrečiais asmenimis ar asmenų grupėmis, kurių atžvilgiu DI sistema yra skirta naudoti;</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 xml:space="preserve">kai tinkama, įvesties duomenų specifikacijas arba visą kitą svarbią informaciją, susijusią su naudojamais mokymo, </w:t>
      </w:r>
      <w:proofErr w:type="spellStart"/>
      <w:r>
        <w:rPr>
          <w:rFonts w:ascii="Arial" w:hAnsi="Arial"/>
          <w:sz w:val="22"/>
        </w:rPr>
        <w:t>validavimo</w:t>
      </w:r>
      <w:proofErr w:type="spellEnd"/>
      <w:r>
        <w:rPr>
          <w:rFonts w:ascii="Arial" w:hAnsi="Arial"/>
          <w:sz w:val="22"/>
        </w:rPr>
        <w:t xml:space="preserve"> ir bandymo duomenų rinkiniais, atsižvelgiant į numatytą DI sistemos paskirtį;</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 xml:space="preserve">kai taikytina, informaciją, kurią pasitelkdama viešoji institucija galėtų tinkamai aiškinti ir naudoti DI sistemos </w:t>
      </w:r>
      <w:proofErr w:type="spellStart"/>
      <w:r>
        <w:rPr>
          <w:rFonts w:ascii="Arial" w:hAnsi="Arial"/>
          <w:sz w:val="22"/>
        </w:rPr>
        <w:t>išvedinį</w:t>
      </w:r>
      <w:proofErr w:type="spellEnd"/>
      <w:r>
        <w:rPr>
          <w:rFonts w:ascii="Arial" w:hAnsi="Arial"/>
          <w:sz w:val="22"/>
        </w:rPr>
        <w:t>;</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DI sistemos ir jos veikimo pakeitimai, kuriuos iš anksto nustatė tiekėjas, jei tokių yra;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bookmarkStart w:id="4" w:name="OpenAt"/>
      <w:r>
        <w:rPr>
          <w:rFonts w:ascii="Arial" w:hAnsi="Arial"/>
          <w:sz w:val="22"/>
        </w:rPr>
        <w:t>7 straipsnyje</w:t>
      </w:r>
      <w:bookmarkEnd w:id="4"/>
      <w:r>
        <w:rPr>
          <w:rFonts w:ascii="Arial" w:hAnsi="Arial"/>
          <w:sz w:val="22"/>
        </w:rPr>
        <w:t xml:space="preserve"> nurodytos žmogaus atliekamos priežiūros priemonės, įskaitant technines priemones, įdiegtas tam, kad viešajai organizacijai būtų lengviau aiškinti DI sistemos </w:t>
      </w:r>
      <w:proofErr w:type="spellStart"/>
      <w:r>
        <w:rPr>
          <w:rFonts w:ascii="Arial" w:hAnsi="Arial"/>
          <w:sz w:val="22"/>
        </w:rPr>
        <w:t>išvedinius</w:t>
      </w:r>
      <w:proofErr w:type="spellEnd"/>
      <w:r>
        <w:rPr>
          <w:rFonts w:ascii="Arial" w:hAnsi="Arial"/>
          <w:sz w:val="22"/>
        </w:rPr>
        <w:t>;</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būtini kompiuterinio apdorojimo ir aparatinės įrangos ištekliai, numatomas DI sistemos gyvavimo laikas ir visos techninės ir kitos priežiūros priemonės, įskaitant jų dažnumą, būtinos tinkamam tos DI sistemos veikimui užtikrinti, įskaitant programinės įrangos atnaujinimą;</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t xml:space="preserve">kai aktualu, į DI sistemą įtrauktų mechanizmų, leidžiančių viešajai organizacijai tinkamai rinkti, saugoti ir aiškinti žurnalus pagal šių Pavyzdinių didelės rizikos DI sutarčių sąlygų 5 straipsnį, aprašymas.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E priedas. Skaidrumo užtikrinimo priemonės</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skaidrumą pagal Pavyzdinių didelės rizikos DI sutarčių sąlygų 6 straipsnį.</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F priedas. Žmogaus atliekamos priežiūros užtikrinimo priemonės</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žmogaus atliekamą priežiūrą pagal Pavyzdinių didelės rizikos DI sutarčių sąlygų 7 straipsnį.</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G priedas. Tikslumo lygiai</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Čia aprašykite reikiamus tikslumo lygius.</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H priedas. Tinkamo patvarumo, saugos ir kibernetinio saugumo lygio užtikrinimo priemonės</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tinkamą patvarumo, saugos ir kibernetinio saugumo lygį pagal Pavyzdinių didelės DI sutarčių sąlygų 8 straipsnį.</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Šiomis priemonėmis privaloma užtikrinti, kad DI sistema būtų kuo atsparesnė klaidoms, triktims ar nesuderinamumo atvejams, kurių gali atsirasti sistemoje arba jos veikimo aplinkoje, visų pirma dėl sistemos sąveikos su fiziniais asmenimis ar kitomis sistemomis.</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 xml:space="preserve">DI sistema turi būti atspari leidimo neturinčių trečiųjų šalių bandymams pakeisti jos naudojimą, elgseną, </w:t>
      </w:r>
      <w:proofErr w:type="spellStart"/>
      <w:r>
        <w:rPr>
          <w:rFonts w:ascii="Arial" w:hAnsi="Arial"/>
          <w:i/>
          <w:sz w:val="22"/>
        </w:rPr>
        <w:t>išvedinius</w:t>
      </w:r>
      <w:proofErr w:type="spellEnd"/>
      <w:r>
        <w:rPr>
          <w:rFonts w:ascii="Arial" w:hAnsi="Arial"/>
          <w:i/>
          <w:sz w:val="22"/>
        </w:rPr>
        <w:t xml:space="preserve"> ar veikimą pasinaudojant sistemos pažeidžiamumu. Techniniai sprendimai, skirti konkrečioms DI pažeidžiamumo problemoms spręsti, kai tinkama, gali apimti priemones, kuriomis siekiama užkirsti kelią išpuoliams, kuriais bandoma manipuliuoti mokymo duomenų rinkiniu (duomenų užkrėtimas), arba mokymui naudojamiems iš anksto išmokytiems komponentams (modelio užkrėtimas), </w:t>
      </w:r>
      <w:proofErr w:type="spellStart"/>
      <w:r>
        <w:rPr>
          <w:rFonts w:ascii="Arial" w:hAnsi="Arial"/>
          <w:i/>
          <w:sz w:val="22"/>
        </w:rPr>
        <w:t>įvediniams</w:t>
      </w:r>
      <w:proofErr w:type="spellEnd"/>
      <w:r>
        <w:rPr>
          <w:rFonts w:ascii="Arial" w:hAnsi="Arial"/>
          <w:i/>
          <w:sz w:val="22"/>
        </w:rPr>
        <w:t>, dėl kurių modelis padaro klaidą (priešiški pavyzdžiai arba modelio apėjimas), konfidencialumo išpuoliams ar modelio trūkumams, dėl kurių gali būti priimami žalingi sprendimai, juos aptikti, į juos reaguoti, juos šalinti ir kontroliuoti.</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3"/>
      <w:footerReference w:type="even" r:id="rId14"/>
      <w:footerReference w:type="default" r:id="rId15"/>
      <w:headerReference w:type="first" r:id="rId16"/>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1BFE1" w14:textId="77777777" w:rsidR="007C6F9A" w:rsidRDefault="007C6F9A" w:rsidP="000B1A35">
      <w:r>
        <w:separator/>
      </w:r>
    </w:p>
  </w:endnote>
  <w:endnote w:type="continuationSeparator" w:id="0">
    <w:p w14:paraId="3BCE2818" w14:textId="77777777" w:rsidR="007C6F9A" w:rsidRDefault="007C6F9A"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7AEEF" w14:textId="77777777" w:rsidR="007C6F9A" w:rsidRDefault="007C6F9A" w:rsidP="000B1A35">
      <w:r>
        <w:separator/>
      </w:r>
    </w:p>
  </w:footnote>
  <w:footnote w:type="continuationSeparator" w:id="0">
    <w:p w14:paraId="4D02C96F" w14:textId="77777777" w:rsidR="007C6F9A" w:rsidRDefault="007C6F9A"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Komisija skelbia DI sistemos apibrėžties gaires, kad palengvintų pirmųjų DI akto taisyklių taikymą |</w:t>
        </w:r>
      </w:hyperlink>
      <w:hyperlink r:id="rId2" w:history="1">
        <w:r>
          <w:rPr>
            <w:rStyle w:val="Hyperlink"/>
          </w:rPr>
          <w:t xml:space="preserve"> Europos skaitmeninės ateities formavimas</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rPr>
          <w:rFonts w:ascii="Arial" w:hAnsi="Arial"/>
          <w:sz w:val="18"/>
        </w:rPr>
        <w:tab/>
        <w:t>Įpareigojimo perduoti tiekėjo duomenų rinkinius ir trečiosios šalies duomenų rinkinius apribojimu nesumažinami 6 ir 14 straipsniuose aprašyti tiekėjo įsipareigojimai.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DI viešieji pirkimai |</w:t>
      </w:r>
    </w:hyperlink>
    <w:hyperlink r:id="rId3" w:history="1">
      <w:r>
        <w:rPr>
          <w:rStyle w:val="Hyperlink"/>
          <w:rFonts w:ascii="Arial" w:hAnsi="Arial"/>
          <w:color w:val="FFFFFF" w:themeColor="background1"/>
          <w:sz w:val="20"/>
        </w:rPr>
        <w:t xml:space="preserve"> Viešųjų pirkėjų bendruomenė</w:t>
      </w:r>
    </w:hyperlink>
    <w:bookmarkEnd w:id="5"/>
    <w:r>
      <w:rPr>
        <w:rFonts w:ascii="Arial" w:hAnsi="Arial"/>
        <w:color w:val="FFFFFF" w:themeColor="background1"/>
      </w:rPr>
      <w:tab/>
      <w:t xml:space="preserve"> </w:t>
    </w:r>
    <w:r>
      <w:rPr>
        <w:rFonts w:ascii="Arial" w:hAnsi="Arial"/>
        <w:color w:val="FFFFFF" w:themeColor="background1"/>
      </w:rPr>
      <w:tab/>
      <w:t xml:space="preserve"> </w:t>
    </w:r>
    <w:r>
      <w:rPr>
        <w:rFonts w:ascii="Arial" w:hAnsi="Arial"/>
        <w:b/>
        <w:color w:val="FFFFFF" w:themeColor="background1"/>
      </w:rPr>
      <w:t xml:space="preserve">Pavyzdinės didelės rizikos DI sutarčių sąlygos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AFD4F7B6"/>
    <w:lvl w:ilvl="0">
      <w:start w:val="1"/>
      <w:numFmt w:val="decimal"/>
      <w:pStyle w:val="doLijstnummering7"/>
      <w:lvlText w:val="%1 straipsnis"/>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91818"/>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84F94"/>
    <w:rsid w:val="00592734"/>
    <w:rsid w:val="005944BF"/>
    <w:rsid w:val="00595C68"/>
    <w:rsid w:val="005A1B9E"/>
    <w:rsid w:val="005A3D5D"/>
    <w:rsid w:val="005A49B9"/>
    <w:rsid w:val="005E4F80"/>
    <w:rsid w:val="005E7DC7"/>
    <w:rsid w:val="006027CB"/>
    <w:rsid w:val="006043F8"/>
    <w:rsid w:val="00604EB1"/>
    <w:rsid w:val="00615CE6"/>
    <w:rsid w:val="00623343"/>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6F9A"/>
    <w:rsid w:val="007C7792"/>
    <w:rsid w:val="007E4829"/>
    <w:rsid w:val="007F08ED"/>
    <w:rsid w:val="007F2690"/>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0478"/>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1E85"/>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82B5F"/>
    <w:rsid w:val="00C94B15"/>
    <w:rsid w:val="00C96A67"/>
    <w:rsid w:val="00CA3D74"/>
    <w:rsid w:val="00CD6D58"/>
    <w:rsid w:val="00CE2EF9"/>
    <w:rsid w:val="00CE54A9"/>
    <w:rsid w:val="00CE7205"/>
    <w:rsid w:val="00CF1790"/>
    <w:rsid w:val="00CF3257"/>
    <w:rsid w:val="00CF5A67"/>
    <w:rsid w:val="00CF6657"/>
    <w:rsid w:val="00D10F0A"/>
    <w:rsid w:val="00D170E9"/>
    <w:rsid w:val="00D228EB"/>
    <w:rsid w:val="00D33B49"/>
    <w:rsid w:val="00D35373"/>
    <w:rsid w:val="00D3678A"/>
    <w:rsid w:val="00D52D57"/>
    <w:rsid w:val="00D573E8"/>
    <w:rsid w:val="00D663FA"/>
    <w:rsid w:val="00D7180C"/>
    <w:rsid w:val="00D74FE9"/>
    <w:rsid w:val="00D81335"/>
    <w:rsid w:val="00D83153"/>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1693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3C32"/>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t-L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lt-L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lt-L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lt-L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lt-L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lt-L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lt/library/commission-publishes-guidelines-ai-system-definition-facilitate-first-ai-acts-rules-application" TargetMode="External"/><Relationship Id="rId1" Type="http://schemas.openxmlformats.org/officeDocument/2006/relationships/hyperlink" Target="https://digital-strategy.ec.europa.eu/lt/library/commission-publishes-guidelines-ai-system-definition-facilitate-first-ai-acts-rules-application"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4.xml><?xml version="1.0" encoding="utf-8"?>
<ds:datastoreItem xmlns:ds="http://schemas.openxmlformats.org/officeDocument/2006/customXml" ds:itemID="{2A11DF03-4E2F-4055-B76C-DF3D6E4F60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23</Pages>
  <Words>4705</Words>
  <Characters>32609</Characters>
  <Application>Microsoft Office Word</Application>
  <DocSecurity>0</DocSecurity>
  <Lines>708</Lines>
  <Paragraphs>253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SALIAMONAITE Solveiga (DGT)</cp:lastModifiedBy>
  <cp:revision>5</cp:revision>
  <dcterms:created xsi:type="dcterms:W3CDTF">2025-05-21T14:43:00Z</dcterms:created>
  <dcterms:modified xsi:type="dcterms:W3CDTF">2025-05-27T14:09:00Z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