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76A9B" w14:textId="77777777" w:rsidR="00592734" w:rsidRPr="002F066E" w:rsidRDefault="00592734"/>
    <w:p w14:paraId="6E71A489" w14:textId="77777777" w:rsidR="000B1A35" w:rsidRPr="00F973AB" w:rsidRDefault="000B1A35" w:rsidP="000B1A35"/>
    <w:p w14:paraId="18C1FFA7" w14:textId="77777777" w:rsidR="000B1A35" w:rsidRPr="00F973AB" w:rsidRDefault="000B1A35" w:rsidP="000B1A35"/>
    <w:p w14:paraId="65796216" w14:textId="77777777" w:rsidR="000B1A35" w:rsidRPr="00F973AB" w:rsidRDefault="000B1A35" w:rsidP="000B1A35"/>
    <w:p w14:paraId="7CB4DD93" w14:textId="77777777" w:rsidR="000B1A35" w:rsidRPr="00F973AB" w:rsidRDefault="000B1A35" w:rsidP="000B1A35"/>
    <w:p w14:paraId="41A54CB5" w14:textId="77777777" w:rsidR="000B1A35" w:rsidRPr="00F973AB" w:rsidRDefault="000B1A35" w:rsidP="000B1A35"/>
    <w:p w14:paraId="7D7CA2C7" w14:textId="77777777" w:rsidR="000B1A35" w:rsidRPr="00F973AB" w:rsidRDefault="000B1A35" w:rsidP="000B1A35"/>
    <w:p w14:paraId="317DA321" w14:textId="77777777" w:rsidR="000B1A35" w:rsidRPr="00F973AB" w:rsidRDefault="000B1A35" w:rsidP="000B1A35"/>
    <w:p w14:paraId="3BE80620" w14:textId="77777777" w:rsidR="000B1A35" w:rsidRPr="00F973AB" w:rsidRDefault="000B1A35" w:rsidP="000B1A35"/>
    <w:p w14:paraId="4F3FCAFF" w14:textId="77777777" w:rsidR="000B1A35" w:rsidRPr="00F973AB" w:rsidRDefault="000B1A35" w:rsidP="000B1A35"/>
    <w:p w14:paraId="5D5B7C84" w14:textId="77777777" w:rsidR="000B1A35" w:rsidRPr="00F973AB" w:rsidRDefault="000B1A35" w:rsidP="000B1A35"/>
    <w:p w14:paraId="19C4B2AA" w14:textId="77777777" w:rsidR="000B1A35" w:rsidRPr="00F973AB" w:rsidRDefault="000B1A35" w:rsidP="000B1A35"/>
    <w:p w14:paraId="2A06EE03" w14:textId="77777777" w:rsidR="000B1A35" w:rsidRPr="00F973AB" w:rsidRDefault="000B1A35" w:rsidP="000B1A35"/>
    <w:p w14:paraId="66E5C327" w14:textId="77777777" w:rsidR="000B1A35" w:rsidRPr="00F973AB" w:rsidRDefault="000B1A35" w:rsidP="000B1A35"/>
    <w:p w14:paraId="177C95BF" w14:textId="77777777" w:rsidR="000B1A35" w:rsidRPr="00F973AB" w:rsidRDefault="000B1A35" w:rsidP="000B1A35"/>
    <w:p w14:paraId="21898D6A" w14:textId="77777777" w:rsidR="000B1A35" w:rsidRPr="00F973AB" w:rsidRDefault="000B1A35" w:rsidP="000B1A35"/>
    <w:p w14:paraId="3502EADC" w14:textId="77777777" w:rsidR="000B1A35" w:rsidRPr="00F973AB" w:rsidRDefault="000B1A35" w:rsidP="000B1A35"/>
    <w:p w14:paraId="4BF8BB1C" w14:textId="77777777" w:rsidR="000B1A35" w:rsidRPr="00F973AB" w:rsidRDefault="000B1A35" w:rsidP="000B1A35"/>
    <w:p w14:paraId="202EFC10" w14:textId="77777777" w:rsidR="000B1A35" w:rsidRPr="00F973AB" w:rsidRDefault="000B1A35" w:rsidP="000B1A35"/>
    <w:p w14:paraId="4588B1F3" w14:textId="77777777" w:rsidR="000B1A35" w:rsidRPr="00F973AB" w:rsidRDefault="000B1A35" w:rsidP="000B1A35"/>
    <w:p w14:paraId="281FA3B3" w14:textId="77777777" w:rsidR="000B1A35" w:rsidRPr="00F973AB" w:rsidRDefault="000B1A35" w:rsidP="000B1A35"/>
    <w:p w14:paraId="60D7DD7F" w14:textId="77777777" w:rsidR="000B1A35" w:rsidRPr="00F973AB" w:rsidRDefault="000B1A35" w:rsidP="000B1A35"/>
    <w:p w14:paraId="54593850" w14:textId="77777777" w:rsidR="000B1A35" w:rsidRPr="00F973AB" w:rsidRDefault="000B1A35" w:rsidP="000B1A35"/>
    <w:p w14:paraId="7DD23378" w14:textId="77777777" w:rsidR="000B1A35" w:rsidRPr="00F973AB" w:rsidRDefault="000B1A35" w:rsidP="000B1A35"/>
    <w:p w14:paraId="040D7DB4" w14:textId="77777777" w:rsidR="000B1A35" w:rsidRPr="00F973AB" w:rsidRDefault="000B1A35" w:rsidP="000B1A35"/>
    <w:p w14:paraId="149C26A7" w14:textId="77777777" w:rsidR="00E16661" w:rsidRPr="00F973AB" w:rsidRDefault="00E16661"/>
    <w:p w14:paraId="45839A5A" w14:textId="77777777" w:rsidR="00E16661" w:rsidRPr="00F973AB" w:rsidRDefault="00E16661"/>
    <w:p w14:paraId="64C545AF" w14:textId="77777777" w:rsidR="00E16661" w:rsidRPr="00F973AB" w:rsidRDefault="00E16661"/>
    <w:p w14:paraId="7F0F465A" w14:textId="77777777" w:rsidR="00E16661" w:rsidRPr="00F973AB" w:rsidRDefault="00E16661"/>
    <w:p w14:paraId="080AED99" w14:textId="77777777" w:rsidR="00E16661" w:rsidRPr="00F973AB" w:rsidRDefault="00E16661" w:rsidP="005A1B9E">
      <w:pPr>
        <w:pStyle w:val="COMMUNITY"/>
        <w:rPr>
          <w:rStyle w:val="Hyperlink"/>
          <w:color w:val="104D54"/>
          <w:u w:val="none"/>
        </w:rPr>
      </w:pPr>
      <w:hyperlink r:id="rId11" w:history="1">
        <w:r>
          <w:rPr>
            <w:rStyle w:val="Hyperlink"/>
            <w:color w:val="104D54"/>
            <w:u w:val="none"/>
          </w:rPr>
          <w:t>Komunità tal-Akkwist</w:t>
        </w:r>
        <w:r>
          <w:rPr>
            <w:rStyle w:val="Hyperlink"/>
          </w:rPr>
          <w:t xml:space="preserve"> </w:t>
        </w:r>
        <w:r>
          <w:rPr>
            <w:rStyle w:val="Hyperlink"/>
          </w:rPr>
          <w:br/>
        </w:r>
      </w:hyperlink>
      <w:hyperlink r:id="rId12" w:history="1">
        <w:r>
          <w:rPr>
            <w:rStyle w:val="Hyperlink"/>
            <w:color w:val="104D54"/>
            <w:u w:val="none"/>
          </w:rPr>
          <w:t>tal-IA</w:t>
        </w:r>
      </w:hyperlink>
    </w:p>
    <w:p w14:paraId="2649C6A6" w14:textId="77777777" w:rsidR="00E16661" w:rsidRPr="00F973AB" w:rsidRDefault="00E16661">
      <w:pPr>
        <w:rPr>
          <w:rStyle w:val="Hyperlink"/>
          <w:rFonts w:ascii="Arial" w:hAnsi="Arial" w:cs="Arial"/>
          <w:b/>
          <w:bCs/>
          <w:sz w:val="44"/>
          <w:szCs w:val="44"/>
        </w:rPr>
      </w:pPr>
    </w:p>
    <w:p w14:paraId="77568D64" w14:textId="77777777" w:rsidR="00E16661" w:rsidRPr="00F973AB" w:rsidRDefault="00E16661">
      <w:pPr>
        <w:rPr>
          <w:rStyle w:val="Hyperlink"/>
          <w:rFonts w:ascii="Arial" w:hAnsi="Arial" w:cs="Arial"/>
          <w:b/>
          <w:bCs/>
          <w:sz w:val="44"/>
          <w:szCs w:val="44"/>
        </w:rPr>
      </w:pPr>
    </w:p>
    <w:p w14:paraId="4E7B3348" w14:textId="77777777" w:rsidR="00E16661" w:rsidRPr="00F973AB" w:rsidRDefault="00E16661">
      <w:pPr>
        <w:rPr>
          <w:rStyle w:val="Hyperlink"/>
          <w:rFonts w:ascii="Arial" w:hAnsi="Arial" w:cs="Arial"/>
          <w:b/>
          <w:bCs/>
          <w:sz w:val="44"/>
          <w:szCs w:val="44"/>
        </w:rPr>
      </w:pPr>
    </w:p>
    <w:p w14:paraId="676B3808" w14:textId="6C8CC332" w:rsidR="00E16661" w:rsidRPr="00F973AB" w:rsidRDefault="00FF13F0" w:rsidP="00E16661">
      <w:pPr>
        <w:pStyle w:val="TITLEStyle"/>
      </w:pPr>
      <w:bookmarkStart w:id="0" w:name="_Hlk189829106"/>
      <w:bookmarkStart w:id="1" w:name="_Hlk189934741"/>
      <w:r>
        <w:t xml:space="preserve">Mudelli ta’ klawżoli kuntrattwali għall-akkwist pubbliku tal-IA ta’ Riskju Għoli </w:t>
      </w:r>
      <w:bookmarkEnd w:id="0"/>
      <w:r>
        <w:t>(“MCC-AI-Riskju-Għoli”)</w:t>
      </w:r>
    </w:p>
    <w:bookmarkEnd w:id="1"/>
    <w:p w14:paraId="175173CF" w14:textId="77777777" w:rsidR="000B1A35" w:rsidRPr="00F973AB" w:rsidRDefault="00E16661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1" layoutInCell="1" allowOverlap="1" wp14:anchorId="212FE0A9" wp14:editId="44CA7841">
                <wp:simplePos x="0" y="0"/>
                <wp:positionH relativeFrom="margin">
                  <wp:posOffset>-59055</wp:posOffset>
                </wp:positionH>
                <wp:positionV relativeFrom="page">
                  <wp:posOffset>9125585</wp:posOffset>
                </wp:positionV>
                <wp:extent cx="6477000" cy="381000"/>
                <wp:effectExtent l="0" t="0" r="0" b="0"/>
                <wp:wrapNone/>
                <wp:docPr id="1144621298" name="Text Box 1144621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77000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DDF1B8" w14:textId="40D653B6" w:rsidR="003216B4" w:rsidRPr="00C758CB" w:rsidRDefault="003216B4" w:rsidP="00E16661">
                            <w:pPr>
                              <w:spacing w:line="360" w:lineRule="auto"/>
                              <w:rPr>
                                <w:rFonts w:ascii="Arial" w:hAnsi="Arial" w:cs="Arial"/>
                                <w:color w:val="104D55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/>
                                <w:color w:val="104D55"/>
                                <w:sz w:val="36"/>
                              </w:rPr>
                              <w:t xml:space="preserve">Verżjoni ta’ Frar 2025 – Akkwist tal-IA ta’ Riskju Għoli </w:t>
                            </w:r>
                          </w:p>
                          <w:p w14:paraId="188F1615" w14:textId="77777777" w:rsidR="003216B4" w:rsidRPr="00CF3CDB" w:rsidRDefault="003216B4" w:rsidP="00E16661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104D54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2FE0A9" id="_x0000_t202" coordsize="21600,21600" o:spt="202" path="m,l,21600r21600,l21600,xe">
                <v:stroke joinstyle="miter"/>
                <v:path gradientshapeok="t" o:connecttype="rect"/>
              </v:shapetype>
              <v:shape id="Text Box 1144621298" o:spid="_x0000_s1026" type="#_x0000_t202" style="position:absolute;margin-left:-4.65pt;margin-top:718.55pt;width:510pt;height:30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" filled="f" stroked="f" strokeweight=".5pt">
                <v:textbox>
                  <w:txbxContent>
                    <w:p w14:paraId="77DDF1B8" w14:textId="40D653B6" w:rsidR="003216B4" w:rsidRPr="00C758CB" w:rsidRDefault="003216B4" w:rsidP="00E16661">
                      <w:pPr>
                        <w:spacing w:line="360" w:lineRule="auto"/>
                        <w:rPr>
                          <w:rFonts w:ascii="Arial" w:hAnsi="Arial" w:cs="Arial"/>
                          <w:color w:val="104D55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/>
                          <w:color w:val="104D55"/>
                          <w:sz w:val="36"/>
                        </w:rPr>
                        <w:t xml:space="preserve">Verżjoni ta’ Frar 2025 – Akkwist tal-IA ta’ Riskju Għoli </w:t>
                      </w:r>
                    </w:p>
                    <w:p w14:paraId="188F1615" w14:textId="77777777" w:rsidR="003216B4" w:rsidRPr="00CF3CDB" w:rsidRDefault="003216B4" w:rsidP="00E16661">
                      <w:pPr>
                        <w:rPr>
                          <w:rFonts w:ascii="Arial" w:hAnsi="Arial" w:cs="Arial"/>
                          <w:b/>
                          <w:bCs/>
                          <w:color w:val="104D54"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  <w:r>
        <w:br w:type="page"/>
      </w:r>
    </w:p>
    <w:p w14:paraId="2AD48B11" w14:textId="77777777" w:rsidR="00172B4F" w:rsidRPr="00F973AB" w:rsidRDefault="00172B4F" w:rsidP="000F6F09">
      <w:pPr>
        <w:rPr>
          <w:b/>
        </w:rPr>
      </w:pPr>
      <w:r>
        <w:rPr>
          <w:rFonts w:ascii="Arial" w:hAnsi="Arial"/>
          <w:noProof/>
          <w:color w:val="FFFFFF" w:themeColor="background1"/>
          <w:sz w:val="22"/>
        </w:rPr>
        <w:lastRenderedPageBreak/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6742CAF" wp14:editId="34CFB32F">
                <wp:simplePos x="0" y="0"/>
                <wp:positionH relativeFrom="margin">
                  <wp:posOffset>-165100</wp:posOffset>
                </wp:positionH>
                <wp:positionV relativeFrom="paragraph">
                  <wp:posOffset>3338830</wp:posOffset>
                </wp:positionV>
                <wp:extent cx="6057900" cy="3035300"/>
                <wp:effectExtent l="0" t="0" r="19050" b="12700"/>
                <wp:wrapSquare wrapText="bothSides"/>
                <wp:docPr id="15431586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30353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424E95" w14:textId="77777777" w:rsidR="003216B4" w:rsidRPr="00172B4F" w:rsidRDefault="003216B4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2"/>
                              </w:rPr>
                              <w:t>ĊAĦDA TA’ RESPONSABBILTÀ</w:t>
                            </w:r>
                          </w:p>
                          <w:p w14:paraId="41CD64A6" w14:textId="77777777" w:rsidR="003216B4" w:rsidRPr="00172B4F" w:rsidRDefault="003216B4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7AD92177" w14:textId="1E9F8400" w:rsidR="008059EE" w:rsidRDefault="00FF13F0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bookmarkStart w:id="2" w:name="_Hlk189935014"/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Dan id-dokument ta’ ħidma jinħoloq mill-Kummissjoni Ewropea biex jappoġġja l-Komunità ta’ Prattika dwar l-Akkwist tal-IA biex tiggwida lill-amministrazzjonijiet pubbliċi fl-akkwist ta’ soluzzjonijiet tal-IA. Huwa dokument ta’ ħidma li għadu għaddej u ma jirriflettix pożizzjoni uffiċjali tal-Kummissjoni Ewropea. </w:t>
                            </w:r>
                          </w:p>
                          <w:p w14:paraId="697C016E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7F9B08D2" w14:textId="76E5D07B" w:rsidR="003216B4" w:rsidRDefault="00A81582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L-atturi li jiddeċiedu li jagħmlu użu minn dan id-dokument ta’ ħidma għandhom responsabbiltà sħiħa għall-użu tiegħu fl-akkwist pubbliku. </w:t>
                            </w:r>
                          </w:p>
                          <w:p w14:paraId="4CAB6919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52933779" w14:textId="5091C5C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Dawn il-Mudelli ta’ Klawżoli għal IA ta’ Riskju Għoli huma mingħajr preġudizzju għar-rekwiżiti li jirriżultaw mill-Att dwar l-IA. </w:t>
                            </w:r>
                          </w:p>
                          <w:p w14:paraId="6EEADF10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43769AFF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182D62AD" w14:textId="77777777" w:rsidR="008059EE" w:rsidRPr="00172B4F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bookmarkEnd w:id="2"/>
                          <w:p w14:paraId="79AE5C4B" w14:textId="77777777" w:rsidR="003216B4" w:rsidRPr="00172B4F" w:rsidRDefault="003216B4" w:rsidP="00172B4F">
                            <w:pPr>
                              <w:rPr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42CAF" id="Text Box 2" o:spid="_x0000_s1027" type="#_x0000_t202" style="position:absolute;margin-left:-13pt;margin-top:262.9pt;width:477pt;height:23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" filled="f" strokecolor="#747070 [1614]">
                <v:textbox>
                  <w:txbxContent>
                    <w:p w14:paraId="23424E95" w14:textId="77777777" w:rsidR="003216B4" w:rsidRPr="00172B4F" w:rsidRDefault="003216B4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2"/>
                        </w:rPr>
                        <w:t>ĊAĦDA TA’ RESPONSABBILTÀ</w:t>
                      </w:r>
                    </w:p>
                    <w:p w14:paraId="41CD64A6" w14:textId="77777777" w:rsidR="003216B4" w:rsidRPr="00172B4F" w:rsidRDefault="003216B4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7AD92177" w14:textId="1E9F8400" w:rsidR="008059EE" w:rsidRDefault="00FF13F0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bookmarkStart w:id="3" w:name="_Hlk189935014"/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Dan id-dokument ta’ ħidma jinħoloq mill-Kummissjoni Ewropea biex jappoġġja l-Komunità ta’ Prattika dwar l-Akkwist tal-IA biex tiggwida lill-amministrazzjonijiet pubbliċi fl-akkwist ta’ soluzzjonijiet tal-IA. Huwa dokument ta’ ħidma li għadu għaddej u ma jirriflettix pożizzjoni uffiċjali tal-Kummissjoni Ewropea. </w:t>
                      </w:r>
                    </w:p>
                    <w:p w14:paraId="697C016E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7F9B08D2" w14:textId="76E5D07B" w:rsidR="003216B4" w:rsidRDefault="00A81582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L-atturi li jiddeċiedu li jagħmlu użu minn dan id-dokument ta’ ħidma għandhom responsabbiltà sħiħa għall-użu tiegħu fl-akkwist pubbliku. </w:t>
                      </w:r>
                    </w:p>
                    <w:p w14:paraId="4CAB6919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52933779" w14:textId="5091C5C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Dawn il-Mudelli ta’ Klawżoli għal IA ta’ Riskju Għoli huma mingħajr preġudizzju għar-rekwiżiti li jirriżultaw mill-Att dwar l-IA. </w:t>
                      </w:r>
                    </w:p>
                    <w:p w14:paraId="6EEADF10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43769AFF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182D62AD" w14:textId="77777777" w:rsidR="008059EE" w:rsidRPr="00172B4F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bookmarkEnd w:id="3"/>
                    <w:p w14:paraId="79AE5C4B" w14:textId="77777777" w:rsidR="003216B4" w:rsidRPr="00172B4F" w:rsidRDefault="003216B4" w:rsidP="00172B4F">
                      <w:pPr>
                        <w:rPr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br w:type="page"/>
      </w:r>
    </w:p>
    <w:p w14:paraId="75D16415" w14:textId="0A75DA7D" w:rsidR="00260A93" w:rsidRPr="00F973AB" w:rsidRDefault="00260A93" w:rsidP="00260A93">
      <w:p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 xml:space="preserve"> </w:t>
      </w:r>
    </w:p>
    <w:p w14:paraId="7CF980CC" w14:textId="77777777" w:rsidR="00260A93" w:rsidRPr="00F973AB" w:rsidRDefault="00260A93" w:rsidP="00260A93">
      <w:pPr>
        <w:rPr>
          <w:rFonts w:ascii="Arial" w:hAnsi="Arial" w:cs="Arial"/>
          <w:sz w:val="22"/>
          <w:szCs w:val="22"/>
        </w:rPr>
      </w:pPr>
    </w:p>
    <w:p w14:paraId="11551097" w14:textId="1F2DE0C7" w:rsidR="00260A93" w:rsidRPr="00F973AB" w:rsidRDefault="00260A93">
      <w:pPr>
        <w:rPr>
          <w:b/>
        </w:rPr>
      </w:pPr>
    </w:p>
    <w:p w14:paraId="076A3DF6" w14:textId="77777777" w:rsidR="000F6F09" w:rsidRPr="00F973AB" w:rsidRDefault="000F6F09" w:rsidP="000F6F09">
      <w:pPr>
        <w:rPr>
          <w:b/>
        </w:rPr>
      </w:pPr>
    </w:p>
    <w:p w14:paraId="11D7B653" w14:textId="77777777" w:rsidR="000F6F09" w:rsidRPr="00F973AB" w:rsidRDefault="000F6F0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t>Taqsima A – Definizzjonijiet</w:t>
      </w:r>
    </w:p>
    <w:p w14:paraId="6A99E349" w14:textId="2D951991" w:rsidR="000F6F09" w:rsidRPr="00510872" w:rsidRDefault="000F6F09" w:rsidP="00510872">
      <w:pPr>
        <w:pStyle w:val="doLijstnummering7"/>
        <w:rPr>
          <w:rFonts w:ascii="Arial" w:eastAsia="Calibri" w:hAnsi="Arial" w:cs="Arial"/>
          <w:sz w:val="22"/>
          <w:szCs w:val="22"/>
        </w:rPr>
      </w:pPr>
      <w:r w:rsidRPr="00510872">
        <w:rPr>
          <w:rFonts w:ascii="Arial" w:hAnsi="Arial" w:cs="Arial"/>
          <w:sz w:val="22"/>
          <w:szCs w:val="22"/>
        </w:rPr>
        <w:t>Definizzjonijiet: it-termini kapitalizzati użati f’dawn l-MCC-AI-Riskju-Għoli se jkollhom it-tifsira kif definita f’dan l-artikolu;</w:t>
      </w:r>
    </w:p>
    <w:p w14:paraId="2CB165B3" w14:textId="77777777" w:rsidR="000F6F09" w:rsidRPr="00F973AB" w:rsidRDefault="000F6F09" w:rsidP="000F6F09">
      <w:pPr>
        <w:pStyle w:val="doLijstnummering7"/>
        <w:numPr>
          <w:ilvl w:val="0"/>
          <w:numId w:val="0"/>
        </w:numPr>
        <w:ind w:left="851" w:hanging="851"/>
        <w:rPr>
          <w:rFonts w:ascii="Arial" w:eastAsia="Calibri" w:hAnsi="Arial" w:cs="Arial"/>
          <w:color w:val="3B3838" w:themeColor="background2" w:themeShade="40"/>
          <w:sz w:val="22"/>
          <w:szCs w:val="22"/>
          <w:lang w:eastAsia="en-US"/>
        </w:rPr>
      </w:pPr>
    </w:p>
    <w:p w14:paraId="2C97595F" w14:textId="7752FF49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3B3838" w:themeColor="background2" w:themeShade="40"/>
          <w:sz w:val="22"/>
          <w:u w:val="single"/>
        </w:rPr>
        <w:t>Ftehim</w:t>
      </w:r>
      <w:r>
        <w:rPr>
          <w:rFonts w:ascii="Arial" w:hAnsi="Arial"/>
          <w:color w:val="3B3838" w:themeColor="background2" w:themeShade="40"/>
          <w:sz w:val="22"/>
        </w:rPr>
        <w:t>: il-ftehim kollu</w:t>
      </w:r>
      <w:r>
        <w:rPr>
          <w:rFonts w:ascii="Arial" w:hAnsi="Arial"/>
          <w:sz w:val="22"/>
        </w:rPr>
        <w:t xml:space="preserve"> li l-MCC-AI-Riskju-Għoli, bħala skeda, jagħmel parti integrali minnu;</w:t>
      </w:r>
    </w:p>
    <w:p w14:paraId="5CC80148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454C6714" w14:textId="2FE1BC34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Sistema tal-IA</w:t>
      </w:r>
      <w:r>
        <w:rPr>
          <w:rFonts w:ascii="Arial" w:hAnsi="Arial"/>
          <w:sz w:val="22"/>
        </w:rPr>
        <w:t>: is-sistema/i bbażata/i fuq magna li hija mfassla biex topera b’livelli differenti ta’ awtonomija u li tista’ turi adattabbiltà wara l-implimentazzjoni, u li, għal objettivi espliċiti jew impliċiti, tinferixxi/jinferixxu, mill-input li tirċievi, kif tiġġenera outputs bħal previżjonijiet, kontenut, rakkomandazzjonijiet jew deċiżjonijiet li jistgħu jinfluwenzaw ambjenti fiżiċi jew virtwali;speċifikati u deskritti aktar fl-</w:t>
      </w:r>
      <w:r>
        <w:rPr>
          <w:rFonts w:ascii="Arial" w:hAnsi="Arial"/>
          <w:b/>
          <w:sz w:val="22"/>
        </w:rPr>
        <w:t>Anness A</w:t>
      </w:r>
      <w:r>
        <w:rPr>
          <w:rFonts w:ascii="Arial" w:hAnsi="Arial"/>
          <w:sz w:val="22"/>
        </w:rPr>
        <w:t>, inkluż kwalunkwe verżjoni ġdida tiegħu</w:t>
      </w:r>
      <w:r>
        <w:rPr>
          <w:rStyle w:val="FootnoteReference"/>
          <w:rFonts w:ascii="Arial" w:hAnsi="Arial" w:cs="Arial"/>
          <w:sz w:val="22"/>
          <w:szCs w:val="22"/>
        </w:rPr>
        <w:footnoteReference w:id="1"/>
      </w:r>
      <w:r>
        <w:rPr>
          <w:rFonts w:ascii="Arial" w:hAnsi="Arial"/>
          <w:sz w:val="22"/>
        </w:rPr>
        <w:t xml:space="preserve">; </w:t>
      </w:r>
    </w:p>
    <w:p w14:paraId="75C084B9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1F1B54BE" w14:textId="7BBAE7D3" w:rsidR="000F6F09" w:rsidRPr="00F973AB" w:rsidRDefault="00A81582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MCC-AI-Riskju-Għoli</w:t>
      </w:r>
      <w:r>
        <w:rPr>
          <w:rFonts w:ascii="Arial" w:hAnsi="Arial"/>
          <w:sz w:val="22"/>
        </w:rPr>
        <w:t>: dawn il-klawżoli kuntrattwali għall-akkwist pubbliku ta’ IA ta’ Riskju Għoli minn organizzazzjonijiet pubbliċi;</w:t>
      </w:r>
    </w:p>
    <w:p w14:paraId="75B5B41E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768EB4C4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Settijiet ta’ Data tal-Organizzazzjoni Pubblika</w:t>
      </w:r>
      <w:r>
        <w:rPr>
          <w:rFonts w:ascii="Arial" w:hAnsi="Arial"/>
          <w:sz w:val="22"/>
        </w:rPr>
        <w:t>: is-Settijiet ta’ Data (jew partijiet minnhom) (i) ipprovduti mill-Organizzazzjoni Pubblika lill-Fornitur skont il-Ftehim jew (ii) li għandhom jinħolqu jew jinġabru bħala parti mill-Ftehim, inkluż kwalunkwe verżjoni mmodifikata jew estiża tas-Settijiet ta’ Data msemmija f’(i) u (ii) (pereżempju minħabba l-annotazzjoni, it-tikkettar, it-tisħiħ, l-arrikkiment jew l-aggregazzjoni);</w:t>
      </w:r>
    </w:p>
    <w:p w14:paraId="6E76D7F6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BB9C8CD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Settijiet ta’ Data</w:t>
      </w:r>
      <w:r>
        <w:rPr>
          <w:rFonts w:ascii="Arial" w:hAnsi="Arial"/>
          <w:sz w:val="22"/>
        </w:rPr>
        <w:t>: is-settijiet ta’ data kollha użati fl-iżvilupp tas-Sistema tal-IA, inkluż is-sett ta’ data jew is-settijiet ta’ data kif deskritti fl-</w:t>
      </w:r>
      <w:r>
        <w:rPr>
          <w:rFonts w:ascii="Arial" w:hAnsi="Arial"/>
          <w:b/>
          <w:sz w:val="22"/>
        </w:rPr>
        <w:t>Anness B</w:t>
      </w:r>
      <w:r>
        <w:rPr>
          <w:rFonts w:ascii="Arial" w:hAnsi="Arial"/>
          <w:sz w:val="22"/>
        </w:rPr>
        <w:t>;</w:t>
      </w:r>
    </w:p>
    <w:p w14:paraId="7C67D984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01593539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Implimentazzjoni</w:t>
      </w:r>
      <w:r>
        <w:rPr>
          <w:rFonts w:ascii="Arial" w:hAnsi="Arial"/>
          <w:sz w:val="22"/>
        </w:rPr>
        <w:t>: il-ħin li fih il-Fornitur jinforma lill-Organizzazzjoni Pubblika li s-Sistema tal-IA tissodisfa l-kundizzjonijiet kollha miftiehma u li hija lesta għall-użu;</w:t>
      </w:r>
    </w:p>
    <w:p w14:paraId="573B7690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65B6987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Għan Maħsub</w:t>
      </w:r>
      <w:r>
        <w:rPr>
          <w:rFonts w:ascii="Arial" w:hAnsi="Arial"/>
          <w:sz w:val="22"/>
        </w:rPr>
        <w:t>: l-użu li għalih tkun maħsuba Sistema tal-IA mill-Organizzazzjoni Pubblika, inkluż il-kuntest u l-kundizzjonijiet speċifiċi tal-użu, kif speċifikat fl-Anness B, l-informazzjoni pprovduta mill-Fornitur fl-istruzzjonijiet għall-użu, fil-materjali u fid-dikjarazzjonijiet promozzjonali jew tal-bejgħ kif ukoll fid-dokumentazzjoni teknika;</w:t>
      </w:r>
    </w:p>
    <w:p w14:paraId="10C49FB2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0BEC4520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Użu Ħażin Raġonevolment Prevedibbli</w:t>
      </w:r>
      <w:r>
        <w:rPr>
          <w:rFonts w:ascii="Arial" w:hAnsi="Arial"/>
          <w:color w:val="000000"/>
          <w:sz w:val="22"/>
          <w:shd w:val="clear" w:color="auto" w:fill="FFFFFF"/>
        </w:rPr>
        <w:t>: l-użu tas-Sistema tal-IA b’mod li ma jkunx f’konformità mal-Għan Maħsub tagħha, iżda li jista’ jirriżulta minn imġiba tal-bniedem jew interazzjoni ma’ sistemi oħrajn raġonevolment prevedibbli; inklużi sistemi tal-IA oħrajn;</w:t>
      </w:r>
    </w:p>
    <w:p w14:paraId="276D3C65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02249CD8" w14:textId="59695DDE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lastRenderedPageBreak/>
        <w:t>Modifika Sostanzjali</w:t>
      </w:r>
      <w:r>
        <w:rPr>
          <w:rFonts w:ascii="Arial" w:hAnsi="Arial"/>
          <w:sz w:val="22"/>
        </w:rPr>
        <w:t>: bidla f’Sistema tal-IA wara l-Implimentazzjoni tagħha li ma tkunx prevista jew ippjanata fil-valutazzjoni tal-konformità inizjali li tkun saret mill-Fornitur u li b’riżultat tagħha tiġi affettwata l-konformità tas-sistema tal-IA mar-rekwiżiti stipulati f’dawn l-MCC-AI-Riskju-Għoli (mingħajr preġudizzju għall-Kapitolu III, it-Taqsima 2 tal-Att dwar l-AI) jew li tirriżulta f’modifika fl-Għan Maħsub li għalih tkun ġiet ivvalutata s-sistema tal-AI;</w:t>
      </w:r>
    </w:p>
    <w:p w14:paraId="6DF917D7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1A1B122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sz w:val="22"/>
          <w:u w:val="single"/>
        </w:rPr>
        <w:t>Fornitur</w:t>
      </w:r>
      <w:r>
        <w:rPr>
          <w:rFonts w:ascii="Arial" w:hAnsi="Arial"/>
          <w:sz w:val="22"/>
        </w:rPr>
        <w:t>: il-p</w:t>
      </w:r>
      <w:r>
        <w:rPr>
          <w:rFonts w:ascii="Arial" w:hAnsi="Arial"/>
          <w:color w:val="000000"/>
          <w:sz w:val="22"/>
          <w:shd w:val="clear" w:color="auto" w:fill="FFFFFF"/>
        </w:rPr>
        <w:t>ersuna fiżika jew ġuridika, l-awtorità pubblika, l-aġenzija jew korp ieħor li jforni s-Sistema tal-IA lill-Organizzazzjoni Pubblika skont il-Ftehim;</w:t>
      </w:r>
    </w:p>
    <w:p w14:paraId="453964DB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431534B4" w14:textId="3A42F86C" w:rsidR="000F6F09" w:rsidRPr="00F973AB" w:rsidRDefault="000F6F0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Settijiet ta’ Data tal-Fornituri u Settijiet ta’ Data ta’ Partijiet Terzi</w:t>
      </w:r>
      <w:r>
        <w:rPr>
          <w:rFonts w:ascii="Arial" w:hAnsi="Arial"/>
          <w:sz w:val="22"/>
        </w:rPr>
        <w:t>: is-Settijiet ta’ Data (jew partijiet minnhom) li ma jikkwalifikawx bħala Settijiet ta’ Data ta’ Organizzazzjoni Pubblika.</w:t>
      </w:r>
    </w:p>
    <w:p w14:paraId="1F93B595" w14:textId="77777777" w:rsidR="00176170" w:rsidRPr="00F973AB" w:rsidRDefault="00176170" w:rsidP="000F6F09">
      <w:pPr>
        <w:rPr>
          <w:rFonts w:ascii="Arial" w:hAnsi="Arial" w:cs="Arial"/>
          <w:b/>
          <w:bCs/>
          <w:sz w:val="26"/>
          <w:szCs w:val="26"/>
        </w:rPr>
      </w:pPr>
      <w:r>
        <w:br w:type="page"/>
      </w:r>
    </w:p>
    <w:p w14:paraId="00A9E6F4" w14:textId="77777777" w:rsidR="000F6F09" w:rsidRPr="00F973AB" w:rsidRDefault="000F6F0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 xml:space="preserve">Taqsima B – Rekwiżiti essenzjali fir-rigward tas-sistema tal-IA </w:t>
      </w:r>
    </w:p>
    <w:p w14:paraId="110DDF9B" w14:textId="77777777" w:rsidR="000F6F09" w:rsidRPr="00F973AB" w:rsidRDefault="000F6F09" w:rsidP="000F6F0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Sistema ta’ ġestjoni tar-riskju</w:t>
      </w:r>
    </w:p>
    <w:p w14:paraId="5C48034B" w14:textId="77777777" w:rsidR="000F6F09" w:rsidRPr="00F973AB" w:rsidRDefault="000F6F09" w:rsidP="000F6F09">
      <w:pPr>
        <w:rPr>
          <w:rFonts w:ascii="Arial" w:hAnsi="Arial" w:cs="Arial"/>
          <w:b/>
          <w:i/>
          <w:sz w:val="22"/>
          <w:szCs w:val="22"/>
        </w:rPr>
      </w:pPr>
    </w:p>
    <w:p w14:paraId="51B32C40" w14:textId="36411ADB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li, qabel l-Implimentazzjoni tas-Sistema tal-IA, </w:t>
      </w:r>
      <w:r>
        <w:rPr>
          <w:rFonts w:ascii="Arial" w:hAnsi="Arial"/>
          <w:color w:val="000000"/>
          <w:sz w:val="22"/>
          <w:shd w:val="clear" w:color="auto" w:fill="FFFFFF"/>
        </w:rPr>
        <w:t>għandha tiġi stabbilita, implimentata, dokumentata u miżmuma sistema ta’ ġestjoni tar-riskju fir-rigward tas-Sistema tal-IA.</w:t>
      </w:r>
      <w:r>
        <w:rPr>
          <w:rFonts w:ascii="Arial" w:hAnsi="Arial"/>
          <w:sz w:val="22"/>
        </w:rPr>
        <w:t xml:space="preserve"> </w:t>
      </w:r>
    </w:p>
    <w:p w14:paraId="61B566DE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Is-sistema ta’ ġestjoni tar-riskju għandha tkopri mill-inqas il-passi li ġejjin:</w:t>
      </w:r>
    </w:p>
    <w:p w14:paraId="073847C4" w14:textId="4FBB36DE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l-identifikazzjoni, l-istima u l-evalwazzjoni tar-riskji magħrufa u raġonevolment prevedibbli li s-Sistema tal-IA tista’ toħloq għas-saħħa, għas-sikurezza jew għad-drittijiet fundamentali meta s-Sistema tal-IA tintuża f’konformità mal-Għan Maħsub;</w:t>
      </w:r>
    </w:p>
    <w:p w14:paraId="1525DA03" w14:textId="77777777" w:rsidR="00BC4A48" w:rsidRPr="00F973AB" w:rsidRDefault="00BC4A48" w:rsidP="000F6F09">
      <w:pPr>
        <w:pStyle w:val="doLijstnummering7"/>
        <w:numPr>
          <w:ilvl w:val="2"/>
          <w:numId w:val="6"/>
        </w:num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shd w:val="clear" w:color="auto" w:fill="FFFFFF"/>
        </w:rPr>
        <w:t>l-istima u l-evalwazzjoni tar-riskji li jistgħu jitfaċċaw meta s-Sistema tal-IA tintuża f’konformità mal-Għan Maħsub, u skont il-kundizzjonijiet ta’ Użu Ħażin Raġonevolment Prevedibbli;</w:t>
      </w:r>
    </w:p>
    <w:p w14:paraId="68295438" w14:textId="3D0D82CC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evalwazzjoni ta’ riskji oħra li possibbilment jinħolqu, abbażi tal-analiżi tad-data miġbura mis-sistema ta’ monitoraġġ ta’ wara t-tqegħid fis-suq;</w:t>
      </w:r>
    </w:p>
    <w:p w14:paraId="1490CBDA" w14:textId="47D4CA33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l-adozzjoni ta’ miżuri xierqa u mmirati ta’ ġestjoni tar-riskju mfassla sabiex jindirizzaw ir-riskji identifikati skont il-punt (a) ta’ dan il-paragrafu f’konformità mad-dispożizzjonijiet tal-paragrafi li ġejjin.</w:t>
      </w:r>
    </w:p>
    <w:p w14:paraId="11E92611" w14:textId="60BA965A" w:rsidR="0026274B" w:rsidRPr="00F973AB" w:rsidRDefault="0026274B" w:rsidP="0026274B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Ir-riskji msemmija f’dan l-Artikolu għandhom jikkonċernaw biss dawk li jistgħu jitnaqqsu jew jiġi eliminati b’mod raġonevoli </w:t>
      </w:r>
    </w:p>
    <w:p w14:paraId="386612AC" w14:textId="43462CEB" w:rsidR="0026274B" w:rsidRPr="00F973AB" w:rsidRDefault="0026274B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permezz tal-iżvilupp jew id-disinn tas-Sistema tal-IA jew il-provvista ta’ informazzjoni teknika adegwata.</w:t>
      </w:r>
    </w:p>
    <w:p w14:paraId="2DCC99D1" w14:textId="0B98A71E" w:rsidR="00AE662B" w:rsidRPr="00F973AB" w:rsidRDefault="003F7670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Ir-riskji msemmija f’dan l-Artikolu għandhom iqisu kif xieraq l-effetti u l-interazzjoni possibbli li jirriżultaw mill-applikazzjoni kkombinata tar-rekwiżiti stabbiliti fit-Taqsima B, bil-ħsieb li jiġu minimizzati r-riskji b’mod aktar effettiv filwaqt li jinkiseb bilanċ xieraq fl-implimentazzjoni tal-miżuri biex jiġu ssodisfati dawk ir-rekwiżiti.</w:t>
      </w:r>
    </w:p>
    <w:p w14:paraId="3EE728AD" w14:textId="322C3EF5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Il-miżuri ta’ ġestjoni tar-riskju msemmija fil-paragrafu 2.2, il-punt (d) għandhom ikunu tali li r-riskji residwi rilevanti assoċjati ma’ kull periklu kif ukoll ir-riskju residwu ġenerali tas-Sistema tal-IA jiġu ġġudikati bħala aċċettabbli mill-Fornitur, dment li s-Sistema tal-IA tintuża f’konformità mal-Għan Maħsub jew skont il-kundizzjonijiet ta’ Użu Ħażin Raġonevolment Prevedibbli.</w:t>
      </w:r>
    </w:p>
    <w:p w14:paraId="451046AB" w14:textId="667807DB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Fl-identifikazzjoni tal-aktar miżuri xierqa ta’ ġestjoni tar-riskju msemmija fil-paragrafu 2.2, il-punt (d), għandu jiġi żgurat dan li ġej:</w:t>
      </w:r>
    </w:p>
    <w:p w14:paraId="1C73F573" w14:textId="25D24802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l-eliminazzjoni jew it-tnaqqis tar-riskji identifikati u evalwati skont il-paragrafu 2.2 sa fejn ikun teknikament fattibbli permezz ta’ disinn u żvilupp adegwati tas-Sistema tal-IA;</w:t>
      </w:r>
    </w:p>
    <w:p w14:paraId="279C02C3" w14:textId="0F213A57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fejn xieraq, l-implimentazzjoni ta’ miżuri adegwati ta’ mitigazzjoni u ta’ kontroll li jindirizzaw ir-riskji li ma jistgħux jiġu eliminati;</w:t>
      </w:r>
    </w:p>
    <w:p w14:paraId="2722BF58" w14:textId="15946474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il-provvista ta’ informazzjoni adegwata lill-Organizzazzjoni Pubblika u, jekk applikabbli, taħriġ lill-implimentaturi.</w:t>
      </w:r>
    </w:p>
    <w:p w14:paraId="7B1357E6" w14:textId="74A52F18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jiżgura li, qabel l-Implimentazzjoni tas-Sistema tal-IA, is-Sistema tal-IA tiġi ttestjata sabiex jiġi identifikat jekk is-Sistema tal-IA tikkonformax mal-MCC-AI-Riskju-Għoliu jekk il-miżuri ta’ ġestjoni tar-riskju msemmija fil-paragrafu 2.2, il-punt (d) </w:t>
      </w:r>
      <w:r>
        <w:rPr>
          <w:rFonts w:ascii="Arial" w:hAnsi="Arial"/>
          <w:sz w:val="22"/>
          <w:bdr w:val="none" w:sz="0" w:space="0" w:color="auto" w:frame="1"/>
        </w:rPr>
        <w:lastRenderedPageBreak/>
        <w:t>humiex effettivi fid-dawl tal-Għan Maħsub u l-</w:t>
      </w:r>
      <w:r>
        <w:rPr>
          <w:rFonts w:ascii="Arial" w:hAnsi="Arial"/>
          <w:sz w:val="22"/>
        </w:rPr>
        <w:t>Użu Ħażin Raġonevolment Prevedibbli</w:t>
      </w:r>
      <w:r>
        <w:rPr>
          <w:rFonts w:ascii="Arial" w:hAnsi="Arial"/>
          <w:sz w:val="22"/>
          <w:bdr w:val="none" w:sz="0" w:space="0" w:color="auto" w:frame="1"/>
        </w:rPr>
        <w:t xml:space="preserve">. Jekk mitlub mill-Organizzazzjoni Pubblika, il-Fornitur huwa obbligat li jittestja s-Sistema tal-IA fl-ambjent tal-Organizzazzjoni Pubblika. </w:t>
      </w:r>
    </w:p>
    <w:p w14:paraId="302016F4" w14:textId="77777777" w:rsidR="00EF0D2A" w:rsidRPr="00F973AB" w:rsidRDefault="00EF0D2A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L-ittestjar tas-Sistema tal-IA għandu jitwettaq, kif xieraq, fi kwalunkwe ħin matul il-proċess ta’ żvilupp, u, fi kwalunkwe każ, qabel l-Implimentazzjoni. L-ittestjar għandu jitwettaq skont metriċi definiti minn qabel u limiti probabilistiċi li huma xierqa għall-Għan Maħsub tas-Sistema tal-IA.</w:t>
      </w:r>
    </w:p>
    <w:p w14:paraId="5A1D66FB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Ir-riskji identifikati, il-miżuri meħuda u t-testijiet imwettqa kollha fil-kuntest tal-konformità ma’ dan l-Artikolu jridu jiġu ddokumentati mill-Fornitur. Il-Fornitur jeħtieġlu jagħmel din id-dokumentazzjoni disponibbli lill-Organizzazzjoni Pubblika mill-inqas fil-ħin tal-Implimentazzjoni tas-Sistema tal-IA. Din id-dokumentazzjoni tista’ tkun parti mid-dokumentazzjoni teknika u/jew mill-istruzzjonijiet għall-użu.</w:t>
      </w:r>
    </w:p>
    <w:p w14:paraId="35048AF1" w14:textId="11810C1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Is-sistema ta’ ġestjoni tar-riskju għandha tinftiehem bħala proċess kontinwu u iterattiv ippjanat u li jopera matul id-durata kollha tal-Ftehim. Wara l-Implimentazzjoni tas-Sistema tal-IA, il-Fornitur jeħtieġlu għalhekk:</w:t>
      </w:r>
    </w:p>
    <w:p w14:paraId="0A531EA3" w14:textId="720061C7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jirrieżamina u jaġġorna regolarment il-proċess ta’ ġestjoni tar-riskju sabiex jiżgura l-effettività kontinwa tiegħu; </w:t>
      </w:r>
    </w:p>
    <w:p w14:paraId="31CB19F3" w14:textId="1E78F77E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iżomm id-dokumentazzjoni deskritta fl-Artikolu 2.7 </w:t>
      </w:r>
      <w:r>
        <w:rPr>
          <w:rFonts w:ascii="Arial" w:hAnsi="Arial"/>
          <w:sz w:val="22"/>
        </w:rPr>
        <w:t>aġġornata</w:t>
      </w:r>
      <w:r>
        <w:rPr>
          <w:rFonts w:ascii="Arial" w:hAnsi="Arial"/>
          <w:sz w:val="22"/>
          <w:bdr w:val="none" w:sz="0" w:space="0" w:color="auto" w:frame="1"/>
        </w:rPr>
        <w:t>; u</w:t>
      </w:r>
    </w:p>
    <w:p w14:paraId="57AF44BC" w14:textId="21BB6F6C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jagħmel kull verżjoni ġdida tad-dokumentazzjoni deskritta fl-Artikolu 2.7 disponibbli lill-Organizzazzjoni Pubblika mingħajr dewmien.</w:t>
      </w:r>
    </w:p>
    <w:p w14:paraId="79ECC8BE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Jekk ikun raġonevolment meħtieġ għall-eżekuzzjoni xierqa tas-sistema ta’ ġestjoni tar-riskju mill-Fornitur, l-Organizzazzjoni Pubblika tipprovdi informazzjoni lill-Fornitur, fuq talba, sa fejn dan ma jkunx ta’ natura kunfidenzjali.</w:t>
      </w:r>
    </w:p>
    <w:p w14:paraId="0BDE292C" w14:textId="0ACBE7FC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b/>
          <w:sz w:val="22"/>
          <w:bdr w:val="none" w:sz="0" w:space="0" w:color="auto" w:frame="1"/>
        </w:rPr>
        <w:t>&lt;fakultattiv&gt;</w:t>
      </w:r>
      <w:r>
        <w:rPr>
          <w:rFonts w:ascii="Arial" w:hAnsi="Arial"/>
          <w:sz w:val="22"/>
          <w:bdr w:val="none" w:sz="0" w:space="0" w:color="auto" w:frame="1"/>
        </w:rPr>
        <w:t>Jekk l-użu mill-Organizzazzjoni Pubblika tas-Sistema tal-IA jkompli wara t-terminu tal-Ftehim, fi tmiem it-terminu tal-Ftehim, il-Fornitur għandu jipprovdi lill-Organizzazzjoni Pubblika l-informazzjoni meħtieġa sabiex tieħu ħsieb is-sistema ta’ ġestjoni tar-riskju waħedha.</w:t>
      </w:r>
    </w:p>
    <w:p w14:paraId="64DE321B" w14:textId="77777777" w:rsidR="000F6F09" w:rsidRPr="00F973AB" w:rsidRDefault="000F6F09" w:rsidP="000F6F09">
      <w:pPr>
        <w:pStyle w:val="doLijstnummering7"/>
        <w:numPr>
          <w:ilvl w:val="0"/>
          <w:numId w:val="0"/>
        </w:numPr>
        <w:ind w:left="851" w:hanging="851"/>
      </w:pPr>
    </w:p>
    <w:p w14:paraId="3B352DB2" w14:textId="101F80D1" w:rsidR="000F6F09" w:rsidRPr="00F973AB" w:rsidRDefault="000F6F09" w:rsidP="000F6F0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&lt;L-Artikolu 3 huwa rilevanti biss għas-Sistemi tal-IA li jagħmlu użu minn tekniki li jinvolvu t-taħriġ ta’ mudelli bid-data. L-Artikolu 3 jippresupponi li l-Fornitur (jew is-sottokuntratturi tiegħu) għandu (għandhom) aċċess sħiħ għas-Settijiet ta’ Data. Jekk is-Settijiet ta’ Data jinżammu esklużivament mill-Organizzazzjoni Pubblika, huwa meħtieġ li jsiru arranġamenti oħrajn.&gt;</w:t>
      </w:r>
      <w:r>
        <w:rPr>
          <w:rFonts w:ascii="Arial" w:hAnsi="Arial"/>
          <w:sz w:val="22"/>
        </w:rPr>
        <w:t xml:space="preserve"> Data u governanza tad-data</w:t>
      </w:r>
    </w:p>
    <w:p w14:paraId="0226D11F" w14:textId="77777777" w:rsidR="000F6F09" w:rsidRPr="00F973AB" w:rsidRDefault="000F6F09" w:rsidP="000F6F0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631425E" w14:textId="6E51E1A3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jiżgura li s-Settijiet ta’ Data użati fl-iżvilupp tas-Sistema tal-IA, inkluż it-taħriġ, il-validazzjoni u l-ittestjar, kienu u għandhom ikunu soġġetti għal prattiki ta’ governanza u ġestjoni tad-data xierqa għall-Għan Maħsub tas-Sistema tal-IA. Dawk il-miżuri għandhom jikkonċernaw b’mod partikolari:</w:t>
      </w:r>
    </w:p>
    <w:p w14:paraId="09A35132" w14:textId="77777777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l-għażliet ta’ disinn rilevanti;</w:t>
      </w:r>
    </w:p>
    <w:p w14:paraId="596E9F76" w14:textId="17DACB24" w:rsidR="00EF0D2A" w:rsidRPr="00F973AB" w:rsidRDefault="00EF0D2A" w:rsidP="00EF0D2A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il-proċessi tal-ġbir ta’ data u l-oriġini tad-data, u fil-każ ta’ data personali, l-fini oriġinali tal-ġbir ta’ data;</w:t>
      </w:r>
    </w:p>
    <w:p w14:paraId="16B9E709" w14:textId="77777777" w:rsidR="000F6F09" w:rsidRPr="00F973AB" w:rsidRDefault="00BB341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it-tħejjija tad-data rilevanti għall-operazzjonijiet tal-ipproċessar, bħall-annotazzjoni, it-tikkettar, it-tindif, l-aġġornament, it-tisħiħ u l-aggregazzjoni;</w:t>
      </w:r>
    </w:p>
    <w:p w14:paraId="4744A88C" w14:textId="0CBF6A1B" w:rsidR="00137BC0" w:rsidRPr="00F973AB" w:rsidRDefault="000F6F09" w:rsidP="00564A63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>il-formulazzjoni ta’ suppożizzjonijiet, fir-rigward tal-informazzjoni li d-data mistennija li tkejjel u tirrappreżenta;</w:t>
      </w:r>
    </w:p>
    <w:p w14:paraId="0F0B2619" w14:textId="26564662" w:rsidR="00137BC0" w:rsidRPr="00F973AB" w:rsidRDefault="00BB3419" w:rsidP="00137BC0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valutazzjoni tad-disponibbiltà, il-kwantità u l-adegwatezza tas-settijiet ta’ data li huma meħtieġa;</w:t>
      </w:r>
    </w:p>
    <w:p w14:paraId="2D9E0809" w14:textId="099BCBC9" w:rsidR="000F6F09" w:rsidRPr="00F973AB" w:rsidRDefault="000F6F09" w:rsidP="00564A63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l-eżami fid-dawl ta’ preġudizzji possibbli li x’aktarx jaffettwaw is-saħħa u s-sikurezza tal-persuni, ikollhom impatt negattiv fuq id-drittijiet fundamentali jew iwasslu għal diskriminazzjoni pprojbita skont id-dritt tal-Unjoni, speċjalment fejn l-outputs tad-data jinfluwenzaw l-inputs għal operazzjonijiet futuri;</w:t>
      </w:r>
    </w:p>
    <w:p w14:paraId="22A71AF6" w14:textId="77777777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xierqa għall-identifikazzjoni, il-prevenzjoni u l-mitigazzjoni tal-preġudizzji possibbli identifikati skont il-punt (f);</w:t>
      </w:r>
    </w:p>
    <w:p w14:paraId="7FC21319" w14:textId="56D6D665" w:rsidR="000F6F09" w:rsidRPr="00F973AB" w:rsidRDefault="000F6F09" w:rsidP="000F6F0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l-identifikazzjoni ta’ lakuni jew nuqqasijiet rilevanti fid-data li jipprevjenu l-konformità ma’ dawn l-MCC-AI-Riskju-Għoli, u kif dawk il-lakuni u n-nuqqasijiet jistgħu jiġu indirizzati.</w:t>
      </w:r>
    </w:p>
    <w:p w14:paraId="5363AE13" w14:textId="4EF6339D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s-Settijiet ta’ Data użati fl-iżvilupp tas-Sistema tal-IA </w:t>
      </w:r>
      <w:r>
        <w:rPr>
          <w:rFonts w:ascii="Arial" w:hAnsi="Arial"/>
          <w:sz w:val="22"/>
          <w:bdr w:val="none" w:sz="0" w:space="0" w:color="auto" w:frame="1"/>
        </w:rPr>
        <w:t xml:space="preserve">jkunu rilevanti, rappreżentattivi biżżejjed </w:t>
      </w:r>
      <w:r>
        <w:rPr>
          <w:rFonts w:ascii="Arial" w:hAnsi="Arial"/>
          <w:sz w:val="22"/>
        </w:rPr>
        <w:t>u, sa fejn ikun possibbli,</w:t>
      </w:r>
      <w:r>
        <w:rPr>
          <w:rFonts w:ascii="Arial" w:hAnsi="Arial"/>
          <w:sz w:val="22"/>
          <w:bdr w:val="none" w:sz="0" w:space="0" w:color="auto" w:frame="1"/>
        </w:rPr>
        <w:t xml:space="preserve"> mingħajr żbalji u kompluti fid-dawl tal-Għan Maħsub. Il-Fornitur jiżgura li s-Settijiet ta’ Data jkollhom il-proprjetajiet statistiċi xierqa, inkluż, meta applikabbli, fir-rigward tal-persuni jew il-gruppi ta’ persuni li fir-rigward tagħhom tkun maħsuba li tintuża s-Sistema tal-IA. Dawn il-karatteristiċi tas-Settijiet ta’ Data għandhom jiġu ssodisfati fil-livell ta’ settijiet ta’ data individwali jew ta’ taħlita tagħhom.</w:t>
      </w:r>
    </w:p>
    <w:p w14:paraId="321A02D1" w14:textId="56EFC739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s-Settijiet ta’ Data użati fl-iżvilupp tas-Sistema tal-IA </w:t>
      </w:r>
      <w:r>
        <w:rPr>
          <w:rFonts w:ascii="Arial" w:hAnsi="Arial"/>
          <w:sz w:val="22"/>
          <w:bdr w:val="none" w:sz="0" w:space="0" w:color="auto" w:frame="1"/>
        </w:rPr>
        <w:t>jqisu, sa fejn ikun meħtieġ mill-Għan Maħsub jew mill-Użu Ħażin Raġonevolment Prevedibbli, il-karatteristiċi jew l-elementi li huma partikolari għall-ambjent ġeografiku, kuntestwali, tal-imġiba jew funzjonali speċifiku li fih tkun maħsuba li tintuża s-Sistema tal-IA.</w:t>
      </w:r>
    </w:p>
    <w:p w14:paraId="2AEAE5B1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L-obbligi skont dan l-Artikolu japplikaw mhux biss għall-iżvilupp tas-Sistema tal-IA qabel l-Implimentazzjoni, iżda wkoll għal kwalunkwe użu ta’ Settijiet ta’ Data mill-Fornitur li jista’ jaffettwa l-funzjonament tas-Sistema tal-IA fi kwalunkwe ħin ieħor matul it-terminu tal-Ftehim.</w:t>
      </w:r>
    </w:p>
    <w:p w14:paraId="77709FDD" w14:textId="77777777" w:rsidR="00D170E9" w:rsidRPr="00F973AB" w:rsidRDefault="00D170E9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107A8202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p w14:paraId="46DA3DE0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Dokumentazzjoni teknika u struzzjonijiet għall-użu</w:t>
      </w:r>
    </w:p>
    <w:p w14:paraId="3D84883A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06AE859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</w:t>
      </w:r>
      <w:r>
        <w:rPr>
          <w:rFonts w:ascii="Arial" w:hAnsi="Arial"/>
          <w:sz w:val="22"/>
          <w:bdr w:val="none" w:sz="0" w:space="0" w:color="auto" w:frame="1"/>
        </w:rPr>
        <w:t xml:space="preserve">Implimentazzjoni </w:t>
      </w:r>
      <w:r>
        <w:rPr>
          <w:rFonts w:ascii="Arial" w:hAnsi="Arial"/>
          <w:sz w:val="22"/>
        </w:rPr>
        <w:t>tas-Sistema tal-IA mill-Fornitur tinkludi t-trasferiment tad-dokumentazzjoni teknika u l-istruzzjonijiet għall-użu.</w:t>
      </w:r>
    </w:p>
    <w:p w14:paraId="4060588D" w14:textId="536D7596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Id-dokumentazzjoni teknika trid tippermetti lill-Organizzazzjoni Pubblika jew lil parti terza tivvaluta l-konformità tas-Sistema tal-IA mad-dispożizzjonijiet tar-rekwiżiti stabbiliti f’dawn l-MCC-AI-Riskju-Għoli u mill-inqas tissodisfa l-kundizzjonijiet deskritti fl-</w:t>
      </w:r>
      <w:r>
        <w:rPr>
          <w:rFonts w:ascii="Arial" w:hAnsi="Arial"/>
          <w:b/>
          <w:sz w:val="22"/>
        </w:rPr>
        <w:t>Anness C</w:t>
      </w:r>
      <w:r>
        <w:rPr>
          <w:rFonts w:ascii="Arial" w:hAnsi="Arial"/>
          <w:sz w:val="22"/>
        </w:rPr>
        <w:t xml:space="preserve">. </w:t>
      </w:r>
    </w:p>
    <w:p w14:paraId="4B31F83B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L-istruzzjonijiet għall-użu għandhom jinkludu </w:t>
      </w:r>
      <w:r>
        <w:rPr>
          <w:rFonts w:ascii="Arial" w:hAnsi="Arial"/>
          <w:color w:val="000000"/>
          <w:sz w:val="22"/>
          <w:shd w:val="clear" w:color="auto" w:fill="FFFFFF"/>
        </w:rPr>
        <w:t>informazzjoni konċiża, kompluta, korretta u ċara li tkun rilevanti, aċċessibbli u li tinftiehem mill-Organizzazzjoni Pubblika. L-istruzzjonijiet għall-użu jridu mill-inqas jissodisfaw il-kundizzjonijiet deskritti fl-</w:t>
      </w:r>
      <w:r>
        <w:rPr>
          <w:rFonts w:ascii="Arial" w:hAnsi="Arial"/>
          <w:b/>
          <w:color w:val="000000"/>
          <w:sz w:val="22"/>
          <w:shd w:val="clear" w:color="auto" w:fill="FFFFFF"/>
        </w:rPr>
        <w:t>Anness D</w:t>
      </w:r>
      <w:r>
        <w:rPr>
          <w:rFonts w:ascii="Arial" w:hAnsi="Arial"/>
          <w:sz w:val="22"/>
        </w:rPr>
        <w:t>.</w:t>
      </w:r>
    </w:p>
    <w:p w14:paraId="570CD58F" w14:textId="137F235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jeħtieġlu jaġġorna din id-dokumentazzjoni mill-inqas </w:t>
      </w:r>
      <w:r>
        <w:rPr>
          <w:rFonts w:ascii="Arial" w:hAnsi="Arial"/>
          <w:sz w:val="22"/>
        </w:rPr>
        <w:t>ma’ kull Modifika Sostanzjali matul it-terminu tal-Ftehim</w:t>
      </w:r>
      <w:r>
        <w:rPr>
          <w:rFonts w:ascii="Arial" w:hAnsi="Arial"/>
          <w:sz w:val="22"/>
          <w:bdr w:val="none" w:sz="0" w:space="0" w:color="auto" w:frame="1"/>
        </w:rPr>
        <w:t xml:space="preserve"> u sussegwentement jagħmilha disponibbli għall-Organizzazzjoni Pubblika.</w:t>
      </w:r>
    </w:p>
    <w:p w14:paraId="2269BEE5" w14:textId="76F75F0F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lastRenderedPageBreak/>
        <w:t>&lt;Fakultattiv&gt;</w:t>
      </w:r>
      <w:r>
        <w:rPr>
          <w:rFonts w:ascii="Arial" w:hAnsi="Arial"/>
          <w:sz w:val="22"/>
        </w:rPr>
        <w:t xml:space="preserve"> Id-dokumentazzjoni teknika u l-istruzzjonijiet għall-użu jridu jitfasslu bl-Ingliż.</w:t>
      </w:r>
    </w:p>
    <w:p w14:paraId="4DCD18E7" w14:textId="113FDD83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L-Organizzazzjoni Pubblika għandha d-dritt li tagħmel kopji tad-dokumentazzjoni teknika u tal-istruzzjonijiet għall-użu sa fejn ikun meħtieġ għall-użu intern fl-organizzazzjoni tal-Organizzazzjoni Pubblika, mingħajr preġudizzju għad-dispożizzjonijiet tal-Artikolu 6 u tal-Artikolu 14.</w:t>
      </w:r>
    </w:p>
    <w:p w14:paraId="479C740A" w14:textId="77777777" w:rsidR="00785D3E" w:rsidRPr="00F973AB" w:rsidRDefault="00785D3E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50413B38" w14:textId="08F0355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7189C35C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Żamma ta’ rekords</w:t>
      </w:r>
    </w:p>
    <w:p w14:paraId="4D188F77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244A990" w14:textId="17DCE35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s-Sistema tal-IA għandha tippermetti teknikament ir-reġistrazzjoni awtomatika tal-avvenimenti (“reġistri”) tul il-ħajja tas-Sistema tal-IA. </w:t>
      </w:r>
    </w:p>
    <w:p w14:paraId="5F29D147" w14:textId="49036DCC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Il-kapaċitajiet tal-reġistrazzjoni ta’ rekords għandhom jiżguraw livell ta’ traċċabbiltà tas-Sistema tal-IA li jkun xieraq għall-Għan Maħsub tas-sistema u </w:t>
      </w:r>
      <w:r>
        <w:rPr>
          <w:rFonts w:ascii="Arial" w:hAnsi="Arial"/>
          <w:sz w:val="22"/>
          <w:bdr w:val="none" w:sz="0" w:space="0" w:color="auto" w:frame="1"/>
        </w:rPr>
        <w:t>għall-Użu Ħażin Raġonevolment Prevedibbli</w:t>
      </w:r>
      <w:r>
        <w:rPr>
          <w:rFonts w:ascii="Arial" w:hAnsi="Arial"/>
          <w:sz w:val="22"/>
        </w:rPr>
        <w:t xml:space="preserve">. B’mod partikolari, għandhom jippermettu r-reġistrazzjoni ta’ avvenimenti rilevanti għall-identifikazzjoni ta’ sitwazzjonijiet li jistgħu: </w:t>
      </w:r>
    </w:p>
    <w:p w14:paraId="624E7412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iwasslu biex is-Sistema tal-IA tippreżenta riskju għas-saħħa jew għas-sikurezza jew għall-protezzjoni tad-drittijiet fundamentali tal-persuni; jew </w:t>
      </w:r>
    </w:p>
    <w:p w14:paraId="76C7CA3A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iwasslu għal Modifika Sostanzjali.</w:t>
      </w:r>
    </w:p>
    <w:p w14:paraId="69A5FE4A" w14:textId="51CF679A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>Il-Fornitur se jippermetti lill-Organizzazzjoni Pubblika taċċessa r-reġistri ġġenerati awtomatikament mis-Sistema tal-IA fuq bażi ta’ ħin reali.</w:t>
      </w:r>
    </w:p>
    <w:p w14:paraId="20195A64" w14:textId="77777777" w:rsidR="00CE2EF9" w:rsidRPr="002F066E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għandu jżomm ir-reġistri ġġenerati awtomatikament mis-Sistema tal-IA, sa fejn tali reġistri jkunu taħt il-kontroll tiegħu abbażi tal-Ftehim, għad-durata tal-Ftehim. Fi tmiem it-terminu tal-Ftehim, il-Fornitur se jipprovdi dawn ir-reġistri lill-Organizzazzjoni Pubblika mingħajr dewmien.</w:t>
      </w:r>
    </w:p>
    <w:p w14:paraId="7CD86A13" w14:textId="77777777" w:rsidR="00FC2BCA" w:rsidRPr="002F066E" w:rsidRDefault="00FC2BCA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7AD6B53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1560" w:hanging="851"/>
        <w:rPr>
          <w:rFonts w:ascii="Arial" w:hAnsi="Arial" w:cs="Arial"/>
          <w:sz w:val="22"/>
          <w:szCs w:val="22"/>
        </w:rPr>
      </w:pPr>
    </w:p>
    <w:p w14:paraId="22FAFD16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Trasparenza tas-Sistema tal-IA</w:t>
      </w:r>
    </w:p>
    <w:p w14:paraId="11CBF5BC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89EDE60" w14:textId="57199FF3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 xml:space="preserve">Il-Fornitur jiżgura li s-Sistema tal-IA tkun ġiet u għandha tiġi ddisinjata u żviluppata b’tali mod li t-tħaddim tas-Sistema tal-IA jkun trasparenti biżżejjed sabiex l-Organizzazzjoni Pubblika tkun tista’ </w:t>
      </w:r>
      <w:r>
        <w:rPr>
          <w:rFonts w:ascii="Arial" w:hAnsi="Arial"/>
          <w:sz w:val="22"/>
        </w:rPr>
        <w:t>tinterpreta l-output tas-sistema u tużah kif xieraq</w:t>
      </w:r>
      <w:r>
        <w:rPr>
          <w:rFonts w:ascii="Arial" w:hAnsi="Arial"/>
          <w:color w:val="000000"/>
          <w:sz w:val="22"/>
          <w:shd w:val="clear" w:color="auto" w:fill="FFFFFF"/>
        </w:rPr>
        <w:t>.</w:t>
      </w:r>
    </w:p>
    <w:p w14:paraId="61C5E1BD" w14:textId="08A3494E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Sabiex tiġi żgurata trasparenza xierqa, qabel l-Implimentazzjoni tas-Sistema tal-IA, il-Fornitur għandu jimplimenta mill-inqas il-miżuri tekniċi u organizzattivi deskritti fl-</w:t>
      </w:r>
      <w:r>
        <w:rPr>
          <w:rFonts w:ascii="Arial" w:hAnsi="Arial"/>
          <w:b/>
          <w:sz w:val="22"/>
        </w:rPr>
        <w:t>Anness E</w:t>
      </w:r>
      <w:r>
        <w:rPr>
          <w:rFonts w:ascii="Arial" w:hAnsi="Arial"/>
          <w:sz w:val="22"/>
        </w:rPr>
        <w:t xml:space="preserve">. </w:t>
      </w:r>
    </w:p>
    <w:p w14:paraId="7F71F9D4" w14:textId="77777777" w:rsidR="00CE2EF9" w:rsidRPr="00F973AB" w:rsidRDefault="00CE2EF9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528A48FA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Sorveljanza mill-bniedem</w:t>
      </w:r>
    </w:p>
    <w:p w14:paraId="1E1E8E8A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54F174E" w14:textId="7A1C0B2A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jiżgura li s-Sistema tal-IA tkun ġiet u għandha tiġi ddisinjata u żviluppata b’tali mod, inkluż b’għodod xierqa ta’ interfaċċa bniedem-magna, li tkun tista’ tiġi ssorveljata b’mod effettiv minn persuni fiżiċi </w:t>
      </w:r>
      <w:r>
        <w:rPr>
          <w:rFonts w:ascii="Arial" w:hAnsi="Arial"/>
          <w:sz w:val="22"/>
        </w:rPr>
        <w:t>matul il-perjodu li fih tkun qed tintuża</w:t>
      </w:r>
      <w:r>
        <w:rPr>
          <w:rFonts w:ascii="Arial" w:hAnsi="Arial"/>
          <w:sz w:val="22"/>
          <w:bdr w:val="none" w:sz="0" w:space="0" w:color="auto" w:frame="1"/>
        </w:rPr>
        <w:t>.</w:t>
      </w:r>
    </w:p>
    <w:p w14:paraId="510D7F17" w14:textId="20E5491D" w:rsidR="00CD6D58" w:rsidRPr="00F973AB" w:rsidRDefault="00CD6D58" w:rsidP="00CD6D5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Is-sorveljanza mill-bniedem għandu jkollha l-għan li tipprevjeni jew timminimizza r-riskji għas-saħħa, għas-sikurezza jew għad-drittijiet fundamentali li jistgħu jitfaċċaw meta sistema tal-IA tintuża f’konformità mal-għan maħsub tagħha jew f’kundizzjonijiet </w:t>
      </w:r>
      <w:r>
        <w:rPr>
          <w:rFonts w:ascii="Arial" w:hAnsi="Arial"/>
          <w:sz w:val="22"/>
        </w:rPr>
        <w:lastRenderedPageBreak/>
        <w:t>ta’ użu ħażin raġonevolment prevedibbli, meta dawn ir-riskji jippersistu minkejja l-applikazzjoni ta’ rekwiżiti oħra stabbiliti f’din it-Taqsima.</w:t>
      </w:r>
    </w:p>
    <w:p w14:paraId="191405AE" w14:textId="4DD4CEA8" w:rsidR="00CD6D58" w:rsidRPr="00F973AB" w:rsidRDefault="00CD6D58" w:rsidP="00CD6D5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ta’ sorveljanza għandhom ikunu proporzjonati mar-riskji, il-livell ta’ awtonomija, u l-kuntest tal-użu tas-sistema tal-IA u għandhom jiġu żgurati permezz ta’ wieħed mit-tipi ta’ miżuri li ġejjin jew it-tnejn li huma.</w:t>
      </w:r>
    </w:p>
    <w:p w14:paraId="163DD6A4" w14:textId="28096A9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jiżgura li, qabel l-Implimentazzjoni, għandhom jiġu inkorporati u jittieħdu miżuri xierqa fis-Sistema tal-IA biex tiġi żgurata s-sorveljanza mill-bniedem. Dawn il-miżuri għandhom jiżguraw li l-persuni fiżiċi, li lilhom tiġi assenjata s-sorveljanza mill-bniedem, ikunu jistgħu b’mod xieraq u proporzjonat: </w:t>
      </w:r>
    </w:p>
    <w:p w14:paraId="5D601A1B" w14:textId="5366B787" w:rsidR="00CE2EF9" w:rsidRPr="00F973AB" w:rsidRDefault="00975D0E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jifhmu sew </w:t>
      </w:r>
      <w:r>
        <w:rPr>
          <w:rFonts w:ascii="Arial" w:hAnsi="Arial"/>
          <w:sz w:val="22"/>
          <w:bdr w:val="none" w:sz="0" w:space="0" w:color="auto" w:frame="1"/>
        </w:rPr>
        <w:t>il-kapaċitajiet u l-limitazzjonijiet rilevanti tas-Sistema tal-IA u jkunu jistgħu jimmonitorjaw kif xieraq it-tħaddim tagħha, inkluż bil-ħsieb li jiġu identifikati u indirizzati l-anomaliji, id-disfunzjonijiet u l-prestazzjoni mhux mistennija;</w:t>
      </w:r>
    </w:p>
    <w:p w14:paraId="4AD6776B" w14:textId="0B1DA45B" w:rsidR="00CE2EF9" w:rsidRPr="00F973AB" w:rsidRDefault="003216B4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jibqgħu konxji tat-tendenza possibbli ta’ dipendenza jew dipendenza żejda awtomatika fuq l-output prodott mis-Sistema tal-IA (“preġudizzju tal-awtomatizzazzjoni”), b’mod partikolari, jekk is-Sistema tal-IA tintuża biex tipprovdi informazzjoni jew rakkomandazzjonijiet għal deċiżjonijiet li għandhom jittieħdu minn persuni fiżiċi;</w:t>
      </w:r>
    </w:p>
    <w:p w14:paraId="20B01625" w14:textId="46C44589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jinterpretaw b’mod korrett l-output tas-Sistema tal-IA, filwaqt li jqisu, pereżempju, b’mod partikolari l-karatteristiċi tas-sistema u l-għodod u l-metodi ta’ interpretazzjoni disponibbli;</w:t>
      </w:r>
    </w:p>
    <w:p w14:paraId="1E4E4DDA" w14:textId="72AC6199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jiddeċiedu, fi kwalunkwe sitwazzjoni partikolari, li ma jużawx is-Sistema tal-IA jew inkella jinjoraw, jipprevalu fuq jew ireġġgħu lura l-output tas-Sistema tal-IA;</w:t>
      </w:r>
    </w:p>
    <w:p w14:paraId="3D0D77D1" w14:textId="64C46959" w:rsidR="00CE2EF9" w:rsidRPr="00F973AB" w:rsidRDefault="00CE2EF9" w:rsidP="003216B4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jintervjenu fit-tħaddim tas-Sistema tal-IA jew jinterrompu s-sistema permezz ta’ buttuna ta’ “waqfien” jew proċedura simili li tippermetti li s-sistema tieqaf fi stat sikur.</w:t>
      </w:r>
    </w:p>
    <w:p w14:paraId="48BA5BAD" w14:textId="3262F3FD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Sabiex tiġi żgurata sorveljanza xierqa mill-bniedem, il-Fornitur għandu mill-inqas jimplimenta l-miżuri tekniċi u organizzattivi deskritti fl-</w:t>
      </w:r>
      <w:r>
        <w:rPr>
          <w:rFonts w:ascii="Arial" w:hAnsi="Arial"/>
          <w:b/>
          <w:sz w:val="22"/>
        </w:rPr>
        <w:t>Anness F</w:t>
      </w:r>
      <w:r>
        <w:rPr>
          <w:rFonts w:ascii="Arial" w:hAnsi="Arial"/>
          <w:sz w:val="22"/>
        </w:rPr>
        <w:t xml:space="preserve"> qabel l-Implimentazzjoni tas-Sistema tal-IA</w:t>
      </w:r>
      <w:r>
        <w:rPr>
          <w:rFonts w:ascii="Arial" w:hAnsi="Arial"/>
          <w:b/>
          <w:sz w:val="22"/>
        </w:rPr>
        <w:t>.</w:t>
      </w:r>
    </w:p>
    <w:p w14:paraId="305BD204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D94B8F2" w14:textId="77777777" w:rsidR="00CE2EF9" w:rsidRPr="00F973AB" w:rsidRDefault="00CE2EF9" w:rsidP="00D33B4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Akkuratezza, robustezza u ċibersigurtà</w:t>
      </w:r>
    </w:p>
    <w:p w14:paraId="5D87FF6B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55E8E1A" w14:textId="169C41B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Il-Fornitur jiżgura li s-Sistema tal-IA ġiet u għandha tiġi ddisinjata u </w:t>
      </w:r>
      <w:r>
        <w:rPr>
          <w:rFonts w:ascii="Arial" w:hAnsi="Arial"/>
          <w:sz w:val="22"/>
        </w:rPr>
        <w:t xml:space="preserve">żviluppata b’tali mod li tikseb livell xieraq ta’ akkuratezza, robustezza, sikurezza u ċibersigurtà, u għandha taħdem b’mod konsistenti f’dawk l-aspetti. </w:t>
      </w:r>
    </w:p>
    <w:p w14:paraId="577E5A4E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Il-livelli ta’ akkuratezza u l-metriċi tal-akkuratezza rilevanti tas-Sistema tal-IA huma deskritti fl-</w:t>
      </w:r>
      <w:r>
        <w:rPr>
          <w:rFonts w:ascii="Arial" w:hAnsi="Arial"/>
          <w:b/>
          <w:sz w:val="22"/>
          <w:bdr w:val="none" w:sz="0" w:space="0" w:color="auto" w:frame="1"/>
        </w:rPr>
        <w:t>Anness G</w:t>
      </w:r>
      <w:r>
        <w:rPr>
          <w:rFonts w:ascii="Arial" w:hAnsi="Arial"/>
          <w:sz w:val="22"/>
          <w:bdr w:val="none" w:sz="0" w:space="0" w:color="auto" w:frame="1"/>
        </w:rPr>
        <w:t>.</w:t>
      </w:r>
    </w:p>
    <w:p w14:paraId="255B3A87" w14:textId="039205CA" w:rsidR="00CE2EF9" w:rsidRPr="00F973AB" w:rsidRDefault="003C2AF0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Sabiex jiġi żgurat livell xieraq ta’ robustezza, sikurezza u ċibersigurtà, il-Fornitur għandu jimplimenta mill-inqas il-miżuri tekniċi u organizzattivi deskritti fl-</w:t>
      </w:r>
      <w:r>
        <w:rPr>
          <w:rFonts w:ascii="Arial" w:hAnsi="Arial"/>
          <w:b/>
          <w:sz w:val="22"/>
        </w:rPr>
        <w:t>Anness H</w:t>
      </w:r>
      <w:r>
        <w:rPr>
          <w:rFonts w:ascii="Arial" w:hAnsi="Arial"/>
          <w:sz w:val="22"/>
        </w:rPr>
        <w:t xml:space="preserve"> qabel l-Implimentazzjoni tas-Sistema tal-IA. </w:t>
      </w:r>
    </w:p>
    <w:p w14:paraId="2C43D5E4" w14:textId="44B7A154" w:rsidR="009813B5" w:rsidRPr="002F066E" w:rsidRDefault="009813B5" w:rsidP="009813B5">
      <w:pPr>
        <w:pStyle w:val="ListParagraph"/>
        <w:numPr>
          <w:ilvl w:val="1"/>
          <w:numId w:val="6"/>
        </w:numPr>
        <w:rPr>
          <w:rFonts w:eastAsia="Times New Roman"/>
          <w:color w:val="auto"/>
          <w:sz w:val="22"/>
          <w:szCs w:val="22"/>
        </w:rPr>
      </w:pPr>
      <w:r>
        <w:rPr>
          <w:color w:val="auto"/>
          <w:sz w:val="22"/>
        </w:rPr>
        <w:t>Dan ir-rekwiżit huwa mingħajr preġudizzju għar-rekwiżiti li jirriżultaw mill-Artikolu 15 tal-Att dwar l-IA.</w:t>
      </w:r>
    </w:p>
    <w:p w14:paraId="32934CE0" w14:textId="77777777" w:rsidR="009813B5" w:rsidRPr="00F973AB" w:rsidRDefault="009813B5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7E11ED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5269EB9C" w14:textId="77777777" w:rsidR="00C56C58" w:rsidRPr="00F973AB" w:rsidRDefault="00C56C58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4480AC05" w14:textId="77777777" w:rsidR="00CE2EF9" w:rsidRPr="00F973AB" w:rsidRDefault="00CE2EF9" w:rsidP="00A74620">
      <w:pPr>
        <w:spacing w:after="24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t>Taqsima C – Obbligi tal-Fornitur fir-rigward tas-Sistema tal-IA</w:t>
      </w:r>
    </w:p>
    <w:p w14:paraId="17540852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Konformità mat-Taqsima B</w:t>
      </w:r>
    </w:p>
    <w:p w14:paraId="0DCFF6BA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7E38F53D" w14:textId="61EF8E48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/>
          <w:bCs/>
          <w:iCs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Il-Fornitur jeħtieġlu jiżgura li s-Sistema tal-IA tikkonforma mar-rekwiżiż stabbiliti fit-Taqsima B ta’ dawn l-MCC-AI-Riskju-Għoli mill-Implimentazzjoni tas-Sistema tal-IA sa tmiem it-terminu tal-Ftehim.</w:t>
      </w:r>
    </w:p>
    <w:p w14:paraId="6A2523C9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/>
          <w:bCs/>
          <w:iCs/>
          <w:sz w:val="22"/>
          <w:szCs w:val="22"/>
        </w:rPr>
      </w:pPr>
    </w:p>
    <w:p w14:paraId="2DDAD553" w14:textId="4415C3A5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Sistema ta’ ġestjoni tal-kwalità </w:t>
      </w:r>
    </w:p>
    <w:p w14:paraId="3F369BE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2D08DDF1" w14:textId="0354D97A" w:rsidR="00D81335" w:rsidRPr="002F066E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 xml:space="preserve">Qabel l-Implimentazzjoni tas-Sistema tal-IA, il-Fornitur għandu jistabbilixxi sistema ta’ ġestjoni tal-kwalità li tiżgura l-konformità ma’ dawn l-MCC-AI-Riskju-Għoli. </w:t>
      </w:r>
    </w:p>
    <w:p w14:paraId="48373048" w14:textId="6927E061" w:rsidR="00CE2EF9" w:rsidRPr="002F066E" w:rsidRDefault="00D81335" w:rsidP="00CE2EF9">
      <w:pPr>
        <w:pStyle w:val="doLijstnummering7"/>
        <w:numPr>
          <w:ilvl w:val="1"/>
          <w:numId w:val="6"/>
        </w:num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Dik is-sistema ta’ ġestjoni tal-kwalità għandha tiġi dokumentata b’mod sistematiku u ordnat fil-forma ta’ politiki, proċeduri u struzzjonijiet bil-miktub, u għandha tinkludi mill-inqas l-aspetti li ġejjin:</w:t>
      </w:r>
    </w:p>
    <w:p w14:paraId="084409CF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strateġija għall-konformità regolatorja;</w:t>
      </w:r>
    </w:p>
    <w:p w14:paraId="353900E6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it-tekniki, il-proċeduri u l-azzjonijiet sistematiċi li għandhom jintużaw għad-disinn, il-kontroll tad-disinn u l-verifika tad-disinn tas-Sistema tal-IA;</w:t>
      </w:r>
    </w:p>
    <w:p w14:paraId="66E441F5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it-tekniki, il-proċeduri u l-azzjonijiet sistematiċi li għandhom jintużaw għall-iżvilupp, il-kontroll tal-kwalità u l-garanzija tal-kwalità tas-Sistema tal-IA;</w:t>
      </w:r>
    </w:p>
    <w:p w14:paraId="5DC33C01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il-proċeduri ta’ eżami, ittestjar u validazzjoni li għandhom jitwettqu qabel, waqt u wara l-iżvilupp tas-Sistema tal-IA, u l-frekwenza li biha jridu jitwettqu;</w:t>
      </w:r>
    </w:p>
    <w:p w14:paraId="25E1D0B3" w14:textId="1D8BCDA3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l-ispeċifikazzjonijiet tekniċi, inklużi l-istandards, li għandhom jiġu applikati u, meta l-istandards armonizzati rilevanti ma jiġux applikati bis-sħiħ </w:t>
      </w:r>
      <w:r>
        <w:rPr>
          <w:rFonts w:ascii="Arial" w:hAnsi="Arial"/>
          <w:sz w:val="22"/>
        </w:rPr>
        <w:t xml:space="preserve">jew ma jkoprux ir-rekwiżiti rilevanti kollha, </w:t>
      </w:r>
      <w:r>
        <w:rPr>
          <w:rFonts w:ascii="Arial" w:hAnsi="Arial"/>
          <w:sz w:val="22"/>
          <w:bdr w:val="none" w:sz="0" w:space="0" w:color="auto" w:frame="1"/>
        </w:rPr>
        <w:t>il-mezzi li għandhom jintużaw sabiex jiġi żgurat li s-Sistema tal-IA tikkonforma mar-rekwiżiti stabbiliti fit-Taqsima B ta’ dawn l-MCC-AI-Riskju-Għoli;</w:t>
      </w:r>
    </w:p>
    <w:p w14:paraId="631030CD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is-sistemi u l-proċeduri għall-ġestjoni tad-data, inkluż il-ġbir tad-data, l-akkwiżizzjoni tad-data, l-analiżi tad-data, it-tikkettar tad-data, il-ħżin tad-data, il-filtrazzjoni tad-data, l-estrazzjoni tad-data, l-aggregazzjoni tad-data, iż-żamma tad-data u kwalunkwe operazzjoni oħra rigward id-data li titwettaq qabel l-Implimentazzjoni tas-Sistemi tal-IA;</w:t>
      </w:r>
    </w:p>
    <w:p w14:paraId="7F2D1723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is-sistema ta’ ġestjoni tar-riskju msemmija fl-Artikolu 2;</w:t>
      </w:r>
    </w:p>
    <w:p w14:paraId="7FDDA4C7" w14:textId="28A8394F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il-proċeduri relatati mar-rappurtar ta’ inċidenti serji;</w:t>
      </w:r>
    </w:p>
    <w:p w14:paraId="72907D66" w14:textId="0E06772E" w:rsidR="005A49B9" w:rsidRPr="00F973AB" w:rsidRDefault="005A49B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it-trattament tal-komunikazzjoni mal-awtoritajiet nazzjonali kompetenti, ma’ awtoritajiet rilevanti oħra, inkluż dawk li jipprovdu jew jappoġġjaw l-aċċess għad-data, mal-korpi notifikati, ma’ operaturi oħra, mal-klijenti jew ma’ partijiet interessati oħra;</w:t>
      </w:r>
    </w:p>
    <w:p w14:paraId="75076B4A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is-sistemi u l-proċeduri għaż-żamma tar-rekords tad-dokumentazzjoni u l-informazzjoni rilevanti kollha;</w:t>
      </w:r>
    </w:p>
    <w:p w14:paraId="38ABDF9B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il-ġestjoni tar-riżorsi, li tinkludi miżuri relatati mas-sigurtà tal-forniment;</w:t>
      </w:r>
    </w:p>
    <w:p w14:paraId="34AE228A" w14:textId="58AB520E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qafas ta’ responsabbiltà li jistabbilixxi r-responsabbiltajiet tal-maniġment u ta’ persunal ieħor fir-rigward tal-aspetti kollha elenkati f’dan il-paragrafu.</w:t>
      </w:r>
    </w:p>
    <w:p w14:paraId="176FCAD2" w14:textId="77777777" w:rsidR="00636C8D" w:rsidRPr="00F973AB" w:rsidRDefault="00636C8D" w:rsidP="00636C8D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>Matul it-terminu tal-Ftehim, il-Fornitur jeħtieġlu jżomm id-dokumentazzjoni dwar is-sistema ta’ ġestjoni tal-kwalità disponibbli. Mal-ewwel talba tal-Organizzazzjoni Pubblika, il-Fornitur se jittrasferixxi l-aktar verżjoni reċenti tad-dokumentazzjoni li tikkonċerna s-sistema ta’ ġestjoni tal-kwalità lill-Organizzazzjoni Pubblika.</w:t>
      </w:r>
    </w:p>
    <w:p w14:paraId="36C4A717" w14:textId="77777777" w:rsidR="00CE2EF9" w:rsidRPr="002F066E" w:rsidRDefault="00CE2EF9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14AFE2A" w14:textId="3F77D26E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Valutazzjoni tal-konformità </w:t>
      </w:r>
    </w:p>
    <w:p w14:paraId="25055ED0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A1304F6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għandu jiżgura li s-Sistema tal-IA tgħaddi mill-proċedura ta’ valutazzjoni tal-konformità li ġejja qabel l-Implimentazzjoni tas-Sistema tal-IA:</w:t>
      </w:r>
    </w:p>
    <w:p w14:paraId="26B24270" w14:textId="72D09CA6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jivverifika li s-sistema stabbilita ta’ ġestjoni tal-kwalità ssegwi r-rekwiżiti tal-Artikolu 10. </w:t>
      </w:r>
    </w:p>
    <w:p w14:paraId="1FAB79D6" w14:textId="2501FE6D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jeżamina l-informazzjoni fid-dokumentazzjoni teknika biex jivvaluta l-konformità tas-Sistema tal-IA mar-rekwiżiti essenzjali rilevanti stipulati fit-Taqsima B ta’ dawn l-MCC-AI-Riskju-Għoli.</w:t>
      </w:r>
    </w:p>
    <w:p w14:paraId="106DD499" w14:textId="77777777" w:rsidR="00CE2EF9" w:rsidRPr="00F973AB" w:rsidRDefault="00CE2EF9" w:rsidP="00CE2EF9">
      <w:pPr>
        <w:pStyle w:val="doLijstnummering7"/>
        <w:numPr>
          <w:ilvl w:val="2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jivverifika wkoll li l-proċess tad-disinn u l-iżvilupp tas-Sistema tal-IA huma konsistenti mad-dokumentazzjoni teknika.</w:t>
      </w:r>
    </w:p>
    <w:p w14:paraId="60819A7E" w14:textId="77777777" w:rsidR="00CE2EF9" w:rsidRPr="002F066E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jiżgura li s-Sistema tal-IA għandha tgħaddi minn proċedura ġdida ta’ valutazzjoni tal-konformità kull meta s-Sistema tal-IA tiġi Mmodifikata Sostanzjalment mill-Fornitur matul it-terminu tal-Ftehim. </w:t>
      </w:r>
    </w:p>
    <w:p w14:paraId="191F9E28" w14:textId="77777777" w:rsidR="008F5F39" w:rsidRPr="002F066E" w:rsidRDefault="008F5F39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710B45B" w14:textId="77777777" w:rsidR="00CE2EF9" w:rsidRPr="002F066E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6E3E612" w14:textId="368646C6" w:rsidR="002C7FA3" w:rsidRPr="002F066E" w:rsidRDefault="00C77C3E" w:rsidP="00CE2EF9">
      <w:pPr>
        <w:pStyle w:val="doLijstnummering7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b/>
          <w:sz w:val="22"/>
        </w:rPr>
        <w:t xml:space="preserve">&lt;Fakultattiv&gt; </w:t>
      </w:r>
      <w:r>
        <w:rPr>
          <w:rFonts w:ascii="Arial" w:hAnsi="Arial"/>
          <w:sz w:val="22"/>
        </w:rPr>
        <w:t>Valutazzjoni tal-impatt fuq id-drittijiet fundamentali</w:t>
      </w:r>
    </w:p>
    <w:p w14:paraId="6FFE004D" w14:textId="77777777" w:rsidR="002C7FA3" w:rsidRPr="002F066E" w:rsidRDefault="002C7FA3" w:rsidP="00564A63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noProof/>
          <w:sz w:val="22"/>
          <w:szCs w:val="22"/>
        </w:rPr>
      </w:pPr>
    </w:p>
    <w:p w14:paraId="7E5E79E9" w14:textId="0B9A69CF" w:rsidR="002C7FA3" w:rsidRPr="008A1402" w:rsidRDefault="00C77C3E" w:rsidP="00564A63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b/>
          <w:sz w:val="22"/>
        </w:rPr>
        <w:t xml:space="preserve">&lt;Fakultattiv&gt; </w:t>
      </w:r>
      <w:r>
        <w:rPr>
          <w:rFonts w:ascii="Arial" w:hAnsi="Arial"/>
          <w:sz w:val="22"/>
        </w:rPr>
        <w:t>Fuq l-ewwel talba tal-Organizzazzjoni Pubblika, il-Fornitur għandu jikkoopera fit-twettiq ta’ valutazzjoni tal-impatt fuq id-drittijiet fundamentali mill-Organizzazzjoni Pubblika li jista’ jipproduċi l-użu tas-Sistema tal-IA.</w:t>
      </w:r>
    </w:p>
    <w:p w14:paraId="0977EE3D" w14:textId="77777777" w:rsidR="002C7FA3" w:rsidRPr="00510872" w:rsidRDefault="002C7FA3" w:rsidP="00564A63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noProof/>
          <w:sz w:val="22"/>
          <w:szCs w:val="22"/>
        </w:rPr>
      </w:pPr>
    </w:p>
    <w:p w14:paraId="58FB40BF" w14:textId="77777777" w:rsidR="00CE2EF9" w:rsidRPr="008A1402" w:rsidRDefault="00CE2EF9" w:rsidP="00CE2EF9">
      <w:pPr>
        <w:pStyle w:val="doLijstnummering7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 xml:space="preserve">Azzjonijiet korrettivi </w:t>
      </w:r>
    </w:p>
    <w:p w14:paraId="39EFCE22" w14:textId="77777777" w:rsidR="00CE2EF9" w:rsidRPr="008A1402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noProof/>
          <w:sz w:val="22"/>
          <w:szCs w:val="22"/>
          <w:lang w:val="en-IE"/>
        </w:rPr>
      </w:pPr>
    </w:p>
    <w:p w14:paraId="3FC3B3A9" w14:textId="4EAEEA90" w:rsidR="00CE2EF9" w:rsidRPr="008A1402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Jekk matul it-terminu tal-ftehim, il-Fornitur iqis jew ikollu raġuni biex iqis li s-Sistema tal-IA ma tkunx f’konformità ma’ dawn l-MCC-AI-Riskju-Għoli, kemm jekk bi tweġiba għal kumment mill-Organizzazzjoni Pubblika kif ukoll jekk le, huwa għandu jieħu l-azzjonijiet korrettivi meħtieġa minnufih sabiex is-sistema ssir konformi. Il-Fornitur għandu jinforma lill-Organizzazzjoni Pubblika kif xieraq.</w:t>
      </w:r>
    </w:p>
    <w:p w14:paraId="51D034E8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B8A924E" w14:textId="452280E4" w:rsidR="00CE2EF9" w:rsidRPr="00F973AB" w:rsidRDefault="00C77C3E" w:rsidP="002C7FA3">
      <w:pPr>
        <w:pStyle w:val="doLijstnummering7"/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Obbligu għal spjegazzjoni tat-teħid ta’ deċiżjonijiet individwali</w:t>
      </w:r>
    </w:p>
    <w:p w14:paraId="4E1B9500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32FF29A" w14:textId="4F837ACD" w:rsidR="009B4B27" w:rsidRPr="00F973AB" w:rsidRDefault="0012712E" w:rsidP="00C77C3E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Minbarra l-obbligi deskritti fl-Artikolu 6, il-Fornitur huwa obbligat jassisti lill-Organizzazzjoni Pubblika fl-ewwel talba tal-Organizzazzjoni Pubblika biex tipprovdi spjegazzjoni ċara u sinifikanti tar-rwol tas-sistema tal-IA fil-proċedura tat-teħid ta’ deċiżjonijiet. Din l-ispjegazzjoni sinifikanti jenħtieġ li tipprovdi b’mod partikolari (iżda mhux esklużivament) tagħrif dwar l-elementi ewlenin tad-deċiżjoni(jiet) meħudin lil kwalunkwe persuna affettwata li tkun soġġetta għal deċiżjoni(jiet) tal-Organizzazzjoni Pubblika abbażi tal-output tas-Sistema tal-IA.</w:t>
      </w:r>
    </w:p>
    <w:p w14:paraId="49D8BAB6" w14:textId="7261D6C6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lastRenderedPageBreak/>
        <w:t>&lt;Fakultattiv&gt;</w:t>
      </w:r>
      <w:r>
        <w:rPr>
          <w:rFonts w:ascii="Arial" w:hAnsi="Arial"/>
          <w:sz w:val="22"/>
        </w:rPr>
        <w:t xml:space="preserve"> L-obbligu kif deskritt fl-Artikolu 14.1 jinkludi l-provvista tal-informazzjoni teknika kollha u informazzjoni oħra meħtieġa lill-Organizzazzjoni Pubblika sabiex tispjega kif is-Sistema tal-IA pproduċiet output partikolari u biex toffri lill-persuni affettwati l-opportunità li jivverifikaw il-mod li bih is-Sistema tal-IA pproduċiet output partikolari. Il-Fornitur b’dan jagħti lill-Organizzazzjoni Pubblika d-dritt li tuża, taqsam u tiżvela din l-informazzjoni, jekk u sa fejn ikun meħtieġ, sabiex tinforma lill-persuni affettwati kif xieraq.</w:t>
      </w:r>
    </w:p>
    <w:p w14:paraId="1A7FA37F" w14:textId="2B9AF792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L-obbligi msemmija fl-Artikolu 14.1 u fl-Artikolu 14.2 jinkludu l-kodiċi tas-sors tas-Sistema tal-IA, l-ispeċifikazzjonijiet tekniċi użati fl-iżvilupp tas-Sistema tal-IA, is-Settijiet ta’ Data, l-informazzjoni teknika dwar kif nkisbu u ġew editjati s-Settijiet ta’ Data użati fl-iżvilupp tas-Sistema tal-IA, informazzjoni dwar il-metodu ta’ żvilupp użat u l-proċess ta’ żvilupp imwettaq, ir-raġuni għall-għażla ta’ mudell partikolari u l-parametri tiegħu, u informazzjoni dwar il-prestazzjoni tas-Sistema tal-IA.</w:t>
      </w:r>
    </w:p>
    <w:p w14:paraId="52778463" w14:textId="77777777" w:rsidR="004C37ED" w:rsidRPr="00F973AB" w:rsidRDefault="004C37ED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562E5257" w14:textId="77777777" w:rsidR="00C56C58" w:rsidRPr="00F973AB" w:rsidRDefault="00C56C58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4A19A640" w14:textId="77777777" w:rsidR="00CE2EF9" w:rsidRPr="00F973AB" w:rsidRDefault="00CE2EF9" w:rsidP="00D33B49">
      <w:pPr>
        <w:spacing w:before="120" w:after="24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Taqsima D – Drittijiet għall-użu tas-Settijiet ta’ Data</w:t>
      </w:r>
    </w:p>
    <w:p w14:paraId="550BCC80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Drittijiet għas-Settijiet ta’ Data tal-Organizzazzjoni Pubblika</w:t>
      </w:r>
    </w:p>
    <w:p w14:paraId="40B12FE1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8869B5C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Id-drittijiet kollha, inkluż kwalunkwe dritt ta’ proprjetà intellettwali, relatati mas-Settijiet ta’ Data tal-Organizzazzjoni Pubblika se jakkumulaw għall-Organizzazzjoni Pubblika jew għal parti terza maħtura bħala tali mill-Organizzazzjoni Pubblika. </w:t>
      </w:r>
    </w:p>
    <w:p w14:paraId="0F030359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ma huwa intitolat li juża Settijiet ta’ Data tal-Organizzazzjoni Pubblika għall-ebda fini għajr l-eżekuzzjoni tal-Ftehim, ħlief kif previst mod ieħor fl-Anness B.</w:t>
      </w:r>
    </w:p>
    <w:p w14:paraId="01A42888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Fuq l-ewwel talba tal-Organizzazzjoni Pubblika, il-Fornitur jeħtieġlu jeqred Settijiet ta’ Data tal-Organizzazzjoni tal-Pubblikazzjoni, ħlief kif previst mod ieħor fl-Anness B. Jekk l-Organizzazzjoni Pubblika titlob hekk, il-Fornitur jeħtieġlu jipprovdi evidenza fattibbli tal-qerda tas-Settijiet ta’ Data tal-Organizzazzjoni tal-Pubblikazzjoni.</w:t>
      </w:r>
    </w:p>
    <w:p w14:paraId="11B3898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2FB0BD24" w14:textId="144D52B8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Drittijiet għas-Settijiet ta’ Data tal-Fornituri u għas-Settijiet ta’ Data ta’ Partijiet Terzi</w:t>
      </w:r>
    </w:p>
    <w:p w14:paraId="2A54E808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165643DA" w14:textId="756B08C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Id-drittijiet kollha, inkluż kwalunkwe dritt ta’ proprjetà intellettwali, relatati mas-Settijiet ta’ Data tal-Fornituri u s-Settijiet ta’ Data ta’ Partijiet Terzi se jakkumulaw għall-Fornitur jew għal parti terza. </w:t>
      </w:r>
    </w:p>
    <w:p w14:paraId="0675C23A" w14:textId="5757206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Il-Fornitur jagħti lill-Organizzazzjoni Pubblika dritt mhux esklużiv li tuża s-Settijiet ta’ Data tal-Fornituri u s-Settijiet ta’ Data ta’ Partijiet Terzi li fi kwalunkwe każ ikun biżżejjed għall-eżekuzzjoni tad-dispożizzjonijiet tal-Ftehim, inkluż l-MCC-AI-Riskju-Għoli, ħlief kif previst mod ieħor fl-Anness B.</w:t>
      </w:r>
    </w:p>
    <w:p w14:paraId="6EA8D37E" w14:textId="378C3B57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 xml:space="preserve">&lt;Fakultattiv&gt; </w:t>
      </w:r>
      <w:r>
        <w:rPr>
          <w:rFonts w:ascii="Arial" w:hAnsi="Arial"/>
          <w:sz w:val="22"/>
        </w:rPr>
        <w:t xml:space="preserve">Id-dritt ta’ użu deskritt fl-Artikolu 16.2 jinkludi d-dritt li jintużaw is-Settijiet ta’ Data tal-Fornituri u s-Settijiet ta’ Partijiet Terzi għall-iżvilupp ulterjuri tas-Sistema tal-IA, inkluż kwalunkwe verżjoni ġdida tagħha, mill-Organizzazzjoni Pubblika jew minn parti terza. </w:t>
      </w:r>
    </w:p>
    <w:p w14:paraId="5DC6759B" w14:textId="77777777" w:rsidR="009B4B27" w:rsidRPr="00F973AB" w:rsidRDefault="009B4B27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219AA20A" w14:textId="0E263393" w:rsidR="00CE2EF9" w:rsidRPr="00F973AB" w:rsidRDefault="009B4B27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Trasferiment tas-Settijiet ta’ Data</w:t>
      </w:r>
    </w:p>
    <w:p w14:paraId="44470E3C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74F9DAE7" w14:textId="15A422A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Mal-ewwel talba tal-Organizzazzjoni Pubblika, il-Fornitur se jittrasferixxi l-aktar verżjoni reċenti tas-Settijiet ta’ Data tal-Organizzazzjoni Pubblika lill-Organizzazzjoni Pubblika.</w:t>
      </w:r>
    </w:p>
    <w:p w14:paraId="304FB838" w14:textId="1AD1DC3C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Fuq l-ewwel talba tal-Organizzazzjoni Pubblika, il-Fornitur se jittrasferixxi l-aktar verżjoni reċenti tas-Settijiet ta’ Data tal-Fornituri u s-Settijiet ta’ Data ta’ Partijiet Terzi lill-Organizzazzjoni Pubblika, ħlief kif previst mod ieħor fl-Anness B. </w:t>
      </w:r>
    </w:p>
    <w:p w14:paraId="7D5B102F" w14:textId="67D7327A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Is-Settijiet ta’ Data jridu jiġu trasferiti lill-Organizzazzjoni Pubblika mill-Fornitur f’fajl b’format komuni li għandu jiġi deżinjat mill-Organizzazzjoni Pubblika. </w:t>
      </w:r>
      <w:r>
        <w:rPr>
          <w:rFonts w:ascii="Arial" w:hAnsi="Arial"/>
          <w:b/>
          <w:sz w:val="22"/>
        </w:rPr>
        <w:t>&lt;Fakultattiv&gt; Is-Settijiet ta’ Data se jiġu rritornati kif ġej: [format tal-fajl].</w:t>
      </w:r>
    </w:p>
    <w:p w14:paraId="2988E518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3C993AD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Indennifikazzjonijiet</w:t>
      </w:r>
    </w:p>
    <w:p w14:paraId="67331209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D47DA55" w14:textId="68C3EDFE" w:rsidR="00CE2EF9" w:rsidRPr="00F973AB" w:rsidRDefault="00CE2EF9" w:rsidP="002C7FA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għandu jindennizza lill-Organizzazzjoni Pubblika mill-pretensjonijiet kollha mressqa minn partijiet terzi, inkluż minn superviżuri, li jirriżultaw minn kwalunkwe ksur tad-drittijiet ta’ proprjetà intellettwali, id-drittijiet tal-protezzjoni tad-data jew drittijiet ekwivalenti li jirriżultaw mill-użu tas-Sistema tal-IA, is-Settijiet ta’ Data tal-Fornituri u/jew is-Settijiet ta’ Data ta’ Partijiet Terzi mill-Organizzazzjoni Pubblika. </w:t>
      </w:r>
    </w:p>
    <w:p w14:paraId="388FBA68" w14:textId="6E1A7CB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L-Organizzazzjoni Pubblika għandha tindennizza lill-Fornitur mill-pretensjonijiet kollha mressqa minn partijiet terzi, inkluż minn superviżuri, li jirriżultaw minn kwalunkwe ksur tad-drittijiet ta’ proprjetà intellettwali, id-drittijiet għall-privatezza jew id-drittijiet ekwivalenti tagħhom li jirriżultaw mill-użu tas-Settijiet ta’ Data tal-Organizzazzjoni Pubblika. </w:t>
      </w:r>
    </w:p>
    <w:p w14:paraId="7CEF0537" w14:textId="77777777" w:rsidR="00CE2EF9" w:rsidRPr="00F973AB" w:rsidRDefault="00CE2EF9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78A7FC39" w14:textId="77777777" w:rsidR="00C56C58" w:rsidRPr="00F973AB" w:rsidRDefault="00C56C58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5F84109D" w14:textId="77777777" w:rsidR="00CE2EF9" w:rsidRPr="00F973AB" w:rsidRDefault="00CE2EF9" w:rsidP="00D33B49">
      <w:pPr>
        <w:spacing w:before="120" w:after="24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 xml:space="preserve">Taqsima E – Reġistru u awditjar tal-IA </w:t>
      </w:r>
    </w:p>
    <w:p w14:paraId="687E4541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&lt;Fakultattiv&gt;</w:t>
      </w:r>
      <w:r>
        <w:rPr>
          <w:rFonts w:ascii="Arial" w:hAnsi="Arial"/>
          <w:sz w:val="22"/>
        </w:rPr>
        <w:t xml:space="preserve"> Reġistru tal-IA</w:t>
      </w:r>
    </w:p>
    <w:p w14:paraId="4F33AFDF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CEECF03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Mal-ewwel talba tal-Organizzazzjoni Pubblika, il-Fornitur se jipprovdi lill-Organizzazzjoni Pubblika l-aktar verżjoni reċenti tal-informazzjoni deskritta fl-Anness C u fl-Anness D.</w:t>
      </w:r>
    </w:p>
    <w:p w14:paraId="40886721" w14:textId="092F684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L-Organizzazzjoni Pubblika se tkun intitolata li taqsam l-informazzjoni deskritta fl-Artikolu 19.1 ma’ partijiet terzi u li tiżvelaha, pereżempju f’reġistru għas-Sistemi tal-IA. </w:t>
      </w:r>
    </w:p>
    <w:p w14:paraId="4BE929F0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Jekk l-Organizzazzjoni Pubblika titlob hekk, il-Fornitur se jgħin fir-reġistrazzjoni tas-Sistemi tal-IA fi kwalunkwe reġistru rilevanti.</w:t>
      </w:r>
    </w:p>
    <w:p w14:paraId="4AFACAE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247F823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Konformità u awditjar</w:t>
      </w:r>
    </w:p>
    <w:p w14:paraId="6E070ADD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F38AA50" w14:textId="7AC01F91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Mal-ewwel talba tal-Organizzazzjoni Pubblika, il-Fornituri jeħtiġilhom jagħmlu disponibbli lill-Organizzazzjoni Pubblika l-informazzjoni kollha meħtieġa biex juru l-konformità ma’ dawn l-MCC-AI-Riskju-Għoli.</w:t>
      </w:r>
    </w:p>
    <w:p w14:paraId="5BEA7370" w14:textId="3787EB3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Il-Fornitur huwa obbligat jikkoopera f’awditjar jew tip ieħor ta’ spezzjoni li għandha titwettaq mill-Organizzazzjoni Pubblika jew f’isimha sabiex jiġi vvalutat jekk il-Fornitur jikkonformax mal-obbligi tiegħu stabbiliti f’dawn l-MCC-AI-Riskju-Għoli f’kull ħin. Tali </w:t>
      </w:r>
      <w:r>
        <w:rPr>
          <w:rFonts w:ascii="Arial" w:hAnsi="Arial"/>
          <w:sz w:val="22"/>
        </w:rPr>
        <w:lastRenderedPageBreak/>
        <w:t>kooperazzjoni se tinkludi l-għoti tal-informazzjoni kollha rikjesta mill-Organizzazzjoni Pubblika, l-għoti ta’ għarfien dwar is-sistema ta’ ġestjoni tar-riskju implimentata, li l-persunal tal-Fornituri jkun disponibbli għal intervisti u l-għoti ta’ aċċess għall-postijiet tal-Fornitur.</w:t>
      </w:r>
    </w:p>
    <w:p w14:paraId="4C5B6841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L-Organizzazzjoni Pubblika se tħejji rapport li fih jiġu rreġistrati l-konklużjonijiet tal-awditjar, jew twassal għat-tħejjija tiegħu. Fir-rapport, l-Organizzazzjoni Pubblika se tirreġistra sa liema punt il-Fornitur jikkonforma mal-obbligi skont il-Ftehim. Jekk l-Organizzazzjoni Pubblika tistabbilixxi li l-Fornitur ma jikkonformax mal-obbligi skont dan l-Artikolu, il-Fornitur ikun obbligat li jirrimedja d-difetti identifikati mill-Organizzazzjoni Pubblika fit-terminu raġonevoli stabbilit mill-Organizzazzjoni Pubblika fir-rapport. Jekk il-Fornitur jonqos milli jirrimedja d-difetti identifikati mill-Organizzazzjoni Pubblika fit-terminu stabbilit fir-rapport għar-rimedju ta’ tali difetti, il-Fornitur ikun fi stat ta’ inadempjenza </w:t>
      </w:r>
      <w:r>
        <w:rPr>
          <w:rFonts w:ascii="Arial" w:hAnsi="Arial"/>
          <w:i/>
          <w:sz w:val="22"/>
        </w:rPr>
        <w:t>de lege</w:t>
      </w:r>
      <w:r>
        <w:rPr>
          <w:rFonts w:ascii="Arial" w:hAnsi="Arial"/>
          <w:sz w:val="22"/>
        </w:rPr>
        <w:t>.</w:t>
      </w:r>
    </w:p>
    <w:p w14:paraId="69BB53E9" w14:textId="7457B2C2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L-Organizzazzjoni Pubblika se tkun intitolata tippubblika l-konklużjonijiet tar-rapport imsemmi fl-Artikolu 20.3. </w:t>
      </w:r>
    </w:p>
    <w:p w14:paraId="528F0ABA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L-Organizzazzjoni Pubblika se tkun intitolata li twettaq awditjar darba f’sena kalendarja jew fir-rigward ta’ kwalunkwe Modifika Sostanzjali, jew tikkawża t-twettiq tiegħu.</w:t>
      </w:r>
    </w:p>
    <w:p w14:paraId="549B6FCA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L-Organizzazzjoni Pubblika tista’ tiddeċiedi li l-awditjar kollu jew parti minnu jsir minn awditur indipendenti.</w:t>
      </w:r>
    </w:p>
    <w:p w14:paraId="6A1C79A3" w14:textId="1DF2CA7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/>
          <w:sz w:val="22"/>
        </w:rPr>
        <w:t>Il-kostijiet tal-awditur li se jkun impjegat mill-Organizzazzjoni Pubblika, jekk ikun hemm, se jitħallsu mill-Organizzazzjoni Pubblika. L-Organizzazzjoni Pubblika se tħallas lill-Fornitur tariffa raġonevoli għal kwalunkwe kost li għandu jġarrab il-Fornitur fil-kuntest tal-awditjar. Tilwima dwar l-ammont ta’ tali tariffa fl-ebda każ ma tagħti lill-Fornitur id-dritt li jissospendi l-obbligi tiegħu skont dawn l-MCC-AI-Riskju-Għoli. L-ebda tariffa bħal din ma tkun dovuta mill-Organizzazzjoni Pubblika jekk l-awditjar jiżvela li l-Fornitur ikun naqas milli jwettaq l-obbligi tiegħu skont dawn l-MCC-AI-Riskju-Għoli.</w:t>
      </w:r>
    </w:p>
    <w:p w14:paraId="61735993" w14:textId="77777777" w:rsidR="00CE2EF9" w:rsidRPr="00F973AB" w:rsidRDefault="00CE2EF9" w:rsidP="00CE2EF9">
      <w:pPr>
        <w:rPr>
          <w:rFonts w:ascii="Arial" w:hAnsi="Arial" w:cs="Arial"/>
          <w:b/>
          <w:i/>
          <w:sz w:val="22"/>
          <w:szCs w:val="22"/>
        </w:rPr>
      </w:pPr>
    </w:p>
    <w:p w14:paraId="214043CE" w14:textId="77777777" w:rsidR="00C56C58" w:rsidRPr="00F973AB" w:rsidRDefault="00C56C58" w:rsidP="00CE2EF9">
      <w:pPr>
        <w:rPr>
          <w:rFonts w:ascii="Arial" w:hAnsi="Arial" w:cs="Arial"/>
          <w:b/>
          <w:i/>
          <w:sz w:val="22"/>
          <w:szCs w:val="22"/>
        </w:rPr>
      </w:pPr>
    </w:p>
    <w:p w14:paraId="397602CA" w14:textId="77777777" w:rsidR="00CE2EF9" w:rsidRPr="00F973AB" w:rsidRDefault="00CE2EF9" w:rsidP="00D33B49">
      <w:pPr>
        <w:spacing w:before="120" w:after="24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Taqsima F – Kostijiet</w:t>
      </w:r>
    </w:p>
    <w:p w14:paraId="7F55C7C3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Kostijiet</w:t>
      </w:r>
    </w:p>
    <w:p w14:paraId="18DD6F84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20BCF2F" w14:textId="52F8A91F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Sakemm ma jkunx miftiehem mod ieħor bejn il-partijiet jew sakemm ma jkunx previst mod ieħor f’dawn l-MCC-AI-Riskju-Għoli, mhu se tkun dovuta l-ebda tariffa addizzjonali lill-Fornitur mill-Organizzazzjoni Pubblika b’kunsiderazzjoni tal-ħidma li tirriżulta minn dawn l-MCC-AI-Riskju-Għoli.</w:t>
      </w:r>
    </w:p>
    <w:p w14:paraId="1A17E258" w14:textId="77777777" w:rsidR="00CE2EF9" w:rsidRPr="00F973AB" w:rsidRDefault="00CE2EF9" w:rsidP="00CE2EF9">
      <w:pPr>
        <w:rPr>
          <w:rFonts w:ascii="Arial" w:hAnsi="Arial" w:cs="Arial"/>
          <w:b/>
          <w:i/>
          <w:sz w:val="22"/>
          <w:szCs w:val="22"/>
        </w:rPr>
      </w:pPr>
    </w:p>
    <w:p w14:paraId="2152FA27" w14:textId="77777777" w:rsidR="00CE2EF9" w:rsidRPr="00F973AB" w:rsidRDefault="00CE2EF9" w:rsidP="00CE2EF9">
      <w:pPr>
        <w:rPr>
          <w:rFonts w:ascii="Arial" w:hAnsi="Arial" w:cs="Arial"/>
          <w:sz w:val="22"/>
          <w:szCs w:val="22"/>
        </w:rPr>
      </w:pPr>
    </w:p>
    <w:p w14:paraId="07536CC8" w14:textId="77777777" w:rsidR="00CE2EF9" w:rsidRPr="00F973AB" w:rsidRDefault="00CE2EF9" w:rsidP="00CE2EF9">
      <w:pPr>
        <w:rPr>
          <w:rFonts w:ascii="Arial" w:hAnsi="Arial" w:cs="Arial"/>
          <w:sz w:val="22"/>
          <w:szCs w:val="22"/>
        </w:rPr>
      </w:pPr>
    </w:p>
    <w:p w14:paraId="2680FA7E" w14:textId="77777777" w:rsidR="00D33B49" w:rsidRPr="00F973AB" w:rsidRDefault="00CE2EF9" w:rsidP="00D33B49">
      <w:pPr>
        <w:spacing w:before="120" w:after="240"/>
        <w:jc w:val="both"/>
        <w:rPr>
          <w:rFonts w:ascii="Arial" w:hAnsi="Arial" w:cs="Arial"/>
          <w:sz w:val="26"/>
          <w:szCs w:val="26"/>
        </w:rPr>
      </w:pPr>
      <w:r>
        <w:br w:type="page"/>
      </w:r>
    </w:p>
    <w:p w14:paraId="3D167257" w14:textId="77777777" w:rsidR="001C5152" w:rsidRPr="00F973AB" w:rsidRDefault="00CE2EF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A – Is-Sistema tal-IA u l-Għan Maħsub</w:t>
      </w:r>
    </w:p>
    <w:p w14:paraId="212D40C9" w14:textId="77777777" w:rsidR="00CE2EF9" w:rsidRPr="00F973AB" w:rsidRDefault="00CE2EF9" w:rsidP="001C5152">
      <w:pPr>
        <w:spacing w:before="120"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  <w:u w:val="single"/>
        </w:rPr>
        <w:t>Deskrizzjoni tas-Sistema tal-IA</w:t>
      </w:r>
    </w:p>
    <w:p w14:paraId="601B15F1" w14:textId="287CE2FB" w:rsidR="00CE2EF9" w:rsidRPr="00F973AB" w:rsidRDefault="00CE2EF9" w:rsidP="00CE2EF9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</w:rPr>
        <w:t xml:space="preserve">Fil-kamp ta’ applikazzjoni ta’ dawn l-MCC-AI-Riskju-Għoli hemm is-sistemi jew il-komponenti tas-sistemi li ġejjin: </w:t>
      </w:r>
    </w:p>
    <w:p w14:paraId="0A259DDD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ipprovdi deskrizzjoni tas-Sistema/i tal-IA. Din tista’ tkun ukoll sistema algoritmika li ma tikkwalifikax bħala Sistema tal-IA skont l-Att dwar l-IA.</w:t>
      </w:r>
    </w:p>
    <w:p w14:paraId="6025DC8F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/>
          <w:sz w:val="22"/>
          <w:u w:val="single"/>
        </w:rPr>
        <w:t>Għan Maħsub</w:t>
      </w:r>
    </w:p>
    <w:p w14:paraId="278B3969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i/>
          <w:sz w:val="22"/>
        </w:rPr>
        <w:t>Jekk jogħġbok ipprovdi deskrizzjoni tal-użu li għalih hija maħsuba s-Sistema tal-IA.</w:t>
      </w:r>
      <w:r>
        <w:rPr>
          <w:rFonts w:ascii="Arial" w:hAnsi="Arial"/>
          <w:sz w:val="22"/>
        </w:rPr>
        <w:br w:type="page"/>
      </w:r>
    </w:p>
    <w:p w14:paraId="2326345B" w14:textId="77777777" w:rsidR="00CE2EF9" w:rsidRPr="00F973AB" w:rsidRDefault="00CE2EF9" w:rsidP="00A74620">
      <w:pPr>
        <w:spacing w:after="360" w:line="360" w:lineRule="auto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B – Is-Settijiet ta’ Data</w:t>
      </w:r>
    </w:p>
    <w:p w14:paraId="0BB35E47" w14:textId="2F6D6C8C" w:rsidR="00CE2EF9" w:rsidRPr="00F973AB" w:rsidRDefault="00CE2EF9" w:rsidP="00CE2EF9">
      <w:pPr>
        <w:spacing w:after="210"/>
        <w:jc w:val="both"/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i/>
          <w:sz w:val="22"/>
        </w:rPr>
        <w:t>Jekk jogħġbok ipprovdi deskrizzjoni tas-Settijiet ta’ Data użati għat-ta</w:t>
      </w:r>
      <w:r>
        <w:rPr>
          <w:rFonts w:ascii="Arial" w:hAnsi="Arial"/>
          <w:i/>
          <w:color w:val="000000"/>
          <w:sz w:val="22"/>
          <w:shd w:val="clear" w:color="auto" w:fill="FFFFFF"/>
        </w:rPr>
        <w:t>ħriġ (jekk applikabbli), il-validazzjoni u l-ittestjar tas-Sistema tal-IA. Distinzjoni bejn is-Settijiet ta’ Data tal-Organizzazzjoni Pubblika u s-Settijiet ta’ Data tal-Fornituri u s-Settijiet ta’ Data ta’ Partijiet Terzi. Fil-każ ta’ Settijiet ta’ Data tal-Organizzazzjoni Pubblika, iddeskrivi l-għanijiet li għalihom il-Fornitur jista’ juża s-Settijiet ta’ Data (għajr l-eżekuzzjoni tal-Ftehim) u jekk il-Fornitur huwiex meħtieġ li jeqred is-Sett ta’ Data stabbilit fi tmiem it-terminu tal-Ftehim. Fil-każ tas-Settijiet ta’ Data tal-Fornituri u s-Settijiet ta’ Data ta’ Partijiet Terzi, iddeskrivi l-għanijiet li għalihom l-Organizzazzjoni Pubblika tista’ tuża s-Settijiet ta’ Data u jekk il-Fornitur huwiex obbligat li jitrasferixxi s-Settijiet ta’ Data.</w:t>
      </w:r>
    </w:p>
    <w:p w14:paraId="7B348DC0" w14:textId="2612EA27" w:rsidR="00CE2EF9" w:rsidRPr="00F973AB" w:rsidRDefault="006B6837" w:rsidP="00CE2EF9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Is-Settijiet ta’ Data tal-Organizzazzjoni Pubblika</w:t>
      </w:r>
    </w:p>
    <w:p w14:paraId="2A2EF54A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Is-Settijiet ta’ Data li ġejjin huma pprovduti mill-Organizzazzjoni Pubblika lill-Fornitur skont il-Ftehim jew li għandhom jinħolqu jew jinġabru bħala parti mill-Ftehim: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23"/>
        <w:gridCol w:w="2717"/>
        <w:gridCol w:w="2786"/>
      </w:tblGrid>
      <w:tr w:rsidR="00CE2EF9" w:rsidRPr="00F973AB" w14:paraId="6152B9B4" w14:textId="77777777" w:rsidTr="001C5152">
        <w:tc>
          <w:tcPr>
            <w:tcW w:w="3423" w:type="dxa"/>
          </w:tcPr>
          <w:p w14:paraId="6684D925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Deskrizzjoni tas-Sett ta’ Data</w:t>
            </w:r>
          </w:p>
        </w:tc>
        <w:tc>
          <w:tcPr>
            <w:tcW w:w="2717" w:type="dxa"/>
          </w:tcPr>
          <w:p w14:paraId="118B424D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Drittijiet ta’ użu tal-Fornitur</w:t>
            </w:r>
          </w:p>
        </w:tc>
        <w:tc>
          <w:tcPr>
            <w:tcW w:w="2786" w:type="dxa"/>
          </w:tcPr>
          <w:p w14:paraId="267B3FFE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Obbligu li jinqered is-Sett ta’ Data stabbilit fi tmiem it-terminu tal-Ftehim</w:t>
            </w:r>
          </w:p>
        </w:tc>
      </w:tr>
      <w:tr w:rsidR="00CE2EF9" w:rsidRPr="00F973AB" w14:paraId="1ADA89CE" w14:textId="77777777" w:rsidTr="001C5152">
        <w:tc>
          <w:tcPr>
            <w:tcW w:w="3423" w:type="dxa"/>
          </w:tcPr>
          <w:p w14:paraId="3DAB24B4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69ABDFF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01BBC0A7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CE2EF9" w:rsidRPr="00F973AB" w14:paraId="6AB7BA75" w14:textId="77777777" w:rsidTr="001C5152">
        <w:tc>
          <w:tcPr>
            <w:tcW w:w="3423" w:type="dxa"/>
          </w:tcPr>
          <w:p w14:paraId="4CE5741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19A34F14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291D7900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CE2EF9" w:rsidRPr="00F973AB" w14:paraId="1817D8DC" w14:textId="77777777" w:rsidTr="001C5152">
        <w:tc>
          <w:tcPr>
            <w:tcW w:w="3423" w:type="dxa"/>
          </w:tcPr>
          <w:p w14:paraId="257902F5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2E732C6C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137C06A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CE2EF9" w:rsidRPr="00F973AB" w14:paraId="313418A2" w14:textId="77777777" w:rsidTr="001C5152">
        <w:tc>
          <w:tcPr>
            <w:tcW w:w="3423" w:type="dxa"/>
          </w:tcPr>
          <w:p w14:paraId="65E73F7E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737BC13A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6DB0C2F5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</w:tbl>
    <w:p w14:paraId="36A1BA6C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75798438" w14:textId="3F224FA1" w:rsidR="00CE2EF9" w:rsidRPr="00F973AB" w:rsidRDefault="00CE2EF9" w:rsidP="00CE2EF9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Settijiet ta’ Data tal-Fornituri u Settijiet ta’ Data ta’ Partijiet Terzi</w:t>
      </w:r>
    </w:p>
    <w:p w14:paraId="51D24105" w14:textId="6181BDE1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Is-Settijiet ta’ Data tal-Fornituri u s-Settijiet ta’ Data ta’ Partijiet Terzi li ġejjin se jintużaw jew intużaw għat-taħriġ (jekk applikabbli), il-validazzjoni u l-ittestjar tas-Sistema tal-IA: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3"/>
        <w:gridCol w:w="2859"/>
        <w:gridCol w:w="3274"/>
      </w:tblGrid>
      <w:tr w:rsidR="00CE2EF9" w:rsidRPr="00F973AB" w14:paraId="68331355" w14:textId="77777777" w:rsidTr="001C5152">
        <w:tc>
          <w:tcPr>
            <w:tcW w:w="2793" w:type="dxa"/>
          </w:tcPr>
          <w:p w14:paraId="0A152D38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Deskrizzjoni tas-Sett ta’ Data</w:t>
            </w:r>
          </w:p>
        </w:tc>
        <w:tc>
          <w:tcPr>
            <w:tcW w:w="2859" w:type="dxa"/>
          </w:tcPr>
          <w:p w14:paraId="69746CFF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Drittijiet ta’ użu tal-Organizzazzjoni Pubblika</w:t>
            </w:r>
          </w:p>
        </w:tc>
        <w:tc>
          <w:tcPr>
            <w:tcW w:w="3274" w:type="dxa"/>
          </w:tcPr>
          <w:p w14:paraId="3286608F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Obbligu ta’ trasferiment</w:t>
            </w:r>
            <w:r>
              <w:rPr>
                <w:rStyle w:val="FootnoteReference"/>
                <w:rFonts w:ascii="Arial" w:hAnsi="Arial" w:cs="Arial"/>
                <w:b/>
                <w:sz w:val="22"/>
                <w:szCs w:val="22"/>
              </w:rPr>
              <w:footnoteReference w:id="2"/>
            </w:r>
          </w:p>
        </w:tc>
      </w:tr>
      <w:tr w:rsidR="00CE2EF9" w:rsidRPr="00F973AB" w14:paraId="03D464F4" w14:textId="77777777" w:rsidTr="001C5152">
        <w:tc>
          <w:tcPr>
            <w:tcW w:w="2793" w:type="dxa"/>
          </w:tcPr>
          <w:p w14:paraId="0A79855D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72FE0052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155F4B31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CE2EF9" w:rsidRPr="00F973AB" w14:paraId="76930306" w14:textId="77777777" w:rsidTr="001C5152">
        <w:tc>
          <w:tcPr>
            <w:tcW w:w="2793" w:type="dxa"/>
          </w:tcPr>
          <w:p w14:paraId="0631A96E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3A3D8AB2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65FEAF2B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CE2EF9" w:rsidRPr="00F973AB" w14:paraId="1EA4D25A" w14:textId="77777777" w:rsidTr="001C5152">
        <w:tc>
          <w:tcPr>
            <w:tcW w:w="2793" w:type="dxa"/>
          </w:tcPr>
          <w:p w14:paraId="00E7E76F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5BA63050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1198669A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  <w:tr w:rsidR="00CE2EF9" w:rsidRPr="00F973AB" w14:paraId="6A8281BD" w14:textId="77777777" w:rsidTr="001C5152">
        <w:tc>
          <w:tcPr>
            <w:tcW w:w="2793" w:type="dxa"/>
          </w:tcPr>
          <w:p w14:paraId="3426873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451DE527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26ECEE6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Iva/Le</w:t>
            </w:r>
          </w:p>
        </w:tc>
      </w:tr>
    </w:tbl>
    <w:p w14:paraId="2BB822D4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br w:type="page"/>
      </w:r>
    </w:p>
    <w:p w14:paraId="521CD975" w14:textId="77777777" w:rsidR="00CE2EF9" w:rsidRPr="00F973AB" w:rsidRDefault="00CE2EF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C – Dokumentazzjoni teknika</w:t>
      </w:r>
    </w:p>
    <w:p w14:paraId="37CF516B" w14:textId="5A1C6D0E" w:rsidR="00CE2EF9" w:rsidRPr="00F973AB" w:rsidRDefault="00CE2EF9" w:rsidP="00D33B49">
      <w:pPr>
        <w:spacing w:before="120"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Id-dokumentazzjoni teknika għandu jkun fiha mill-inqas l-informazzjoni li ġejja, kif applikabbli għas-Sistema tal-IA:</w:t>
      </w:r>
    </w:p>
    <w:p w14:paraId="27734FA3" w14:textId="77777777" w:rsidR="00CE2EF9" w:rsidRPr="00F973AB" w:rsidRDefault="00CE2EF9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ġenerali tas-Sistema tal-IA li tinkludi:</w:t>
      </w:r>
    </w:p>
    <w:p w14:paraId="0DC2EAEC" w14:textId="3AC74D11" w:rsidR="00CE2EF9" w:rsidRPr="00F973AB" w:rsidRDefault="00CE2EF9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l-għan maħsub tagħha, l-isem tal-Fornitur, u l-verżjoni tas-sistema li tirrifletti r-relazzjoni tagħha mal-verżjonijiet preċedenti;</w:t>
      </w:r>
    </w:p>
    <w:p w14:paraId="6969A9F3" w14:textId="70ADE282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kif is-Sistema tal-IA tista’ tinteraġixxi jew tista’ tintuża biex tinteraġixxi ma’ hardware jew software, inkluż sistemi oħra tal-IA, li mhumiex parti mis-Sistema tal-IA nnifisha, fejn applikabbli; </w:t>
      </w:r>
    </w:p>
    <w:p w14:paraId="15A9C4EB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il-verżjonijiet tas-software jew tal-firmware rilevanti u kwalunkwe rekwiżit relatat mal-aġġornament tal-verżjoni;</w:t>
      </w:r>
    </w:p>
    <w:p w14:paraId="2D52F0DE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id-deskrizzjoni tal-hardware li fuqu s-Sistema tal-IA maħsuba li taħdem;</w:t>
      </w:r>
    </w:p>
    <w:p w14:paraId="61EF3469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s-Sistema tal-IA tkun komponent ta’ prodotti, ritratti jew illustrazzjonijiet li juru karatteristiċi esterni, immarkar u tqassim intern ta’ dawk il-prodotti;</w:t>
      </w:r>
    </w:p>
    <w:p w14:paraId="30BA9017" w14:textId="77777777" w:rsidR="009B4B27" w:rsidRPr="00F973AB" w:rsidRDefault="009B4B27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bażika tal-interfaċċa tal-utent ipprovduta lill-Organizzazzjoni Pubblika;</w:t>
      </w:r>
    </w:p>
    <w:p w14:paraId="707E85AB" w14:textId="18ADAD72" w:rsidR="00CE2EF9" w:rsidRPr="00F973AB" w:rsidRDefault="009B4B27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struzzjonijiet għall-użu għall-implimentatur, u deskrizzjoni bażika tal-interfaċċa tal-utent, fejn applikabbli.</w:t>
      </w:r>
    </w:p>
    <w:p w14:paraId="40DAF3DF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2ACA8A81" w14:textId="77777777" w:rsidR="00CE2EF9" w:rsidRPr="00F973AB" w:rsidRDefault="00CE2EF9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dettaljata tal-elementi tas-Sistema tal-IA u tal-proċess għall-iżvilupp tagħha, inkluż:</w:t>
      </w:r>
    </w:p>
    <w:p w14:paraId="37303E32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il-metodi u l-passi mwettqa għall-iżvilupp tas-Sistema tal-IA, inkluż, meta rilevanti, ir-rikors għal sistemi jew għodod imħarrġa minn qabel ipprovduti minn partijiet terzi u kif dawn intużaw, ġew integrati jew modifikati mill-Fornitur inkluż deskrizzjoni ta’ kwalunkwe liċenzjar jew arranġament kuntrattwali ieħor relatat ma’ tali inputs ta’ partijiet terzi;</w:t>
      </w:r>
    </w:p>
    <w:p w14:paraId="50CEDB01" w14:textId="696F3D1C" w:rsidR="00CE2EF9" w:rsidRPr="00F973AB" w:rsidRDefault="00CE2EF9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l-ispeċifikazzjonijiet tad-disinn tas-sistema, jiġifieri l-loġika ġenerali tas-Sistema tal-IA u tal-algoritmi; l-għażliet ewlenin tad-disinn, inkluż il-motiv u s-suppożizzjonijiet magħmula, anke fir-rigward ta’ persuni jew gruppi ta’ persuni li fuqhom is-sistema maħsuba li tintuża; l-għażliet ewlenin tal-klassifikazzjoni; għal xiex is-sistema hija mfassla li tottimizza għall-parametri differenti u r-rilevanza tagħhom; id-deskrizzjoni tal-output mistenni u tal-kwalità tal-output tas-sistema; id-deċiżjonijiet dwar kwalunkwe kompromess possibbli magħmul fir-rigward tas-soluzzjonijiet tekniċi adottati għall-konformità mar-rekwiżiti stabbiliti f’dawn l-MCC-AI-Riskju-Għoli;</w:t>
      </w:r>
    </w:p>
    <w:p w14:paraId="2AB4A336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id-deskrizzjoni tal-arkitettura ta’ sistemi li tispjega kif il-komponenti tas-software jibnu fuq jew jikkontribwixxu għal xulxin u jintegraw fl-ipproċessar ġenerali; ir-riżorsi komputazzjonali użati għall-iżvilupp, it-taħriġ, l-ittestjar u l-validazzjoni tas-Sistema tal-IA;</w:t>
      </w:r>
    </w:p>
    <w:p w14:paraId="6EE60D08" w14:textId="7C674916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fejn rilevanti, ir-rekwiżiti tad-data f’termini ta’ skedi tad-data li jiddeskrivu l-metodoloġiji u t-tekniki tat-taħriġ u s-settijiet ta’ data għat-taħriġ użati, inkluża deskrizzjoni ġenerali ta’ dawn is-settijiet ta’ data, informazzjoni </w:t>
      </w:r>
      <w:r>
        <w:rPr>
          <w:rFonts w:ascii="Arial" w:hAnsi="Arial"/>
          <w:sz w:val="22"/>
        </w:rPr>
        <w:lastRenderedPageBreak/>
        <w:t>dwar il-provenjenza, l-ambitu u l-karatteristiċi ewlenin tagħhom; kif inkisbet u ntgħażlet id-data; proċeduri tat-tikkettar (eż. għal apprendiment taħt superviżjoni), metodoloġiji għat-tindif tad-data (eż. detezzjoni ta’ anomaliji);</w:t>
      </w:r>
    </w:p>
    <w:p w14:paraId="0A8ED183" w14:textId="177B1273" w:rsidR="009B4B27" w:rsidRPr="00F973AB" w:rsidRDefault="009B4B27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valutazzjoni tal-miżuri ta’ sorveljanza mill-bniedem meħtieġa f’konformità ma’ dawn l-MCC-AI-Riskju-Għoli, inkluża valutazzjoni tal-miżuri tekniċi meħtieġa sabiex tiġi ffaċilitata l-interpretazzjoni tal-outputs tas-sistemi tal-IA mill-Organizzazzjoni Pubblika f’konformità ma’ dawn l-MCC-AI-Riskju-Għoli;</w:t>
      </w:r>
    </w:p>
    <w:p w14:paraId="24084DC2" w14:textId="677F870A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fejn applikabbli, deskrizzjoni dettaljata tal-bidliet iddeterminati minn qabel fis-Sistema tal-IA u l-prestazzjoni tagħha, flimkien mal-informazzjoni rilevanti kollha relatata mas-soluzzjonijiet tekniċi adottati sabiex tiġi żgurata l-konformità kontinwa tas-Sistema tal-IA mar-rekwiżiti rilevanti stabbiliti f’dawn l-MCC-AI-Riskju-Għoli;</w:t>
      </w:r>
    </w:p>
    <w:p w14:paraId="6D9BC3AC" w14:textId="348AD9CB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il-proċeduri ta’ validazzjoni u ttestjar użati, inkluż informazzjoni dwar id-data għall-validazzjoni u l-ittestjar użati u l-karatteristiċi ewlenin tagħhom; metriċi użati għall-kejl tal-akkuratezza, ir-robustezza u l-konformità ma’ rekwiżiti rilevanti oħra stabbiliti f’dawn l-MCC-AI-Riskju-Għoli kif ukoll impatti potenzjalment diskriminatorji; reġistri tat-testijiet u r-rapporti kollha tat-testijiet datati u ffirmati mill-persuni responsabbli, inkluż fir-rigward ta’ bidliet iddeterminati minn qabel kif imsemmi fil-punt 2.5;</w:t>
      </w:r>
    </w:p>
    <w:p w14:paraId="0BAE802B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il-miżuri taċ-ċibersigurtà stabbiliti.</w:t>
      </w:r>
    </w:p>
    <w:p w14:paraId="4077ADA4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4A4D3303" w14:textId="7AE1D309" w:rsidR="00CE2EF9" w:rsidRPr="00F973AB" w:rsidRDefault="00052363" w:rsidP="00564A63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informazzjoni dettaljata dwar il-monitoraġġ, il-funzjonament u l-kontroll tas-Sistema tal-IA, b’mod partikolari rigward: il-kapaċitajiet u l-limitazzjonijiet tagħha fil-prestazzjoni, inkluż il-gradi tal-akkuratezza għal persuni jew gruppi ta’ persuni speċifiċi li għalihom ikun maħsub li tintuża s-sistema, u l-livell ġenerali mistenni ta’ akkuratezza rigward l-għan maħsub tagħha; l-eżiti mhux intenzjonati prevedibbli u s-sorsi tar-riskji għas-saħħa u s-sikurezza, għad-drittijiet fundamentali u għad-diskriminazzjoni fid-dawl tal-għan maħsub tas-Sistema tal-IA.</w:t>
      </w:r>
    </w:p>
    <w:p w14:paraId="0EAACA0B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915B434" w14:textId="1C009D58" w:rsidR="009B4B27" w:rsidRPr="00F973AB" w:rsidRDefault="00052363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tal-adegwatezza tal-metriċi tal-prestazzjoni għas-Sistema tal-IA;</w:t>
      </w:r>
    </w:p>
    <w:p w14:paraId="60AF0F2C" w14:textId="77777777" w:rsidR="009B4B27" w:rsidRPr="00F973AB" w:rsidRDefault="009B4B27" w:rsidP="00564A63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36E5F47C" w14:textId="01DBF04B" w:rsidR="00CE2EF9" w:rsidRPr="00F973AB" w:rsidRDefault="00052363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dettaljata tas-sistema ta’ ġestjoni tar-riskju f’konformità mal-Artikolu 2;</w:t>
      </w:r>
    </w:p>
    <w:p w14:paraId="2EE1094C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A2E70B2" w14:textId="35CCEBD9" w:rsidR="001C5152" w:rsidRPr="00F973AB" w:rsidRDefault="00052363" w:rsidP="001C5152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deskrizzjoni ta’ kwalunkwe bidla rilevanti li ssir mill-Fornitur fis-sistema tul iċ-ċiklu tal-ħajja tagħha.</w:t>
      </w:r>
      <w:r>
        <w:rPr>
          <w:rFonts w:ascii="Arial" w:hAnsi="Arial"/>
          <w:sz w:val="22"/>
        </w:rPr>
        <w:br w:type="page"/>
      </w:r>
    </w:p>
    <w:p w14:paraId="32A6061A" w14:textId="77777777" w:rsidR="00CE2EF9" w:rsidRPr="00F973AB" w:rsidRDefault="00CE2EF9" w:rsidP="00A74620">
      <w:pPr>
        <w:spacing w:after="36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D – Struzzjonijiet għall-użu</w:t>
      </w:r>
    </w:p>
    <w:p w14:paraId="2644D815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L-istruzzjonijiet għall-użu għandu jkun fihom mill-inqas l-informazzjoni li ġejja, kif applikabbli għas-Sistema tal-IA:</w:t>
      </w:r>
    </w:p>
    <w:p w14:paraId="3A225FCB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l-identità u d-dettalji ta’ kuntatt tal-Fornitur u, meta applikabbli, tar-rappreżentanti awtorizzati tiegħu;</w:t>
      </w:r>
    </w:p>
    <w:p w14:paraId="53C1B122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8B53CA5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il-karatteristiċi, il-kapaċitajiet u l-limitazzjonijiet tal-prestazzjoni tas-Sistema tal-IA, inkluż meta xieraq:</w:t>
      </w:r>
    </w:p>
    <w:p w14:paraId="6BE450DE" w14:textId="77777777" w:rsidR="00CE2EF9" w:rsidRPr="00F973AB" w:rsidRDefault="00CE2EF9" w:rsidP="00CE2EF9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l-Għan Maħsub;</w:t>
      </w:r>
    </w:p>
    <w:p w14:paraId="30FF4711" w14:textId="452EB214" w:rsidR="00CE2EF9" w:rsidRPr="00F973AB" w:rsidRDefault="00CE2EF9" w:rsidP="00CE2EF9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il-livell ta’ akkuratezza, inkluż il-metriċi, ir-robustezza u ċ-ċibersigurtà tagħha msemmija fl-Artikolu 8 li tkun ġiet ittestjata u vvalidata għalihom is-Sistema tal-IA, u li jista’ jkun mistenni, u kwalunkwe ċirkostanza magħrufa b’mod ċar u prevedibbli li jista’ jkollha impatt fuq dak il-livell mistenni ta’ akkuratezza, robustezza u ċibersigurtà;</w:t>
      </w:r>
    </w:p>
    <w:p w14:paraId="4C5618BD" w14:textId="401908F7" w:rsidR="00CE2EF9" w:rsidRPr="00F973AB" w:rsidRDefault="00CE2EF9" w:rsidP="00CE2EF9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kwalunkwe ċirkostanza magħrufa jew prevedibbli relatata mal-użu tas-Sistema tal-IA f’konformità mal-Għan Maħsub jew skont il-kundizzjonijiet ta’ Użu Ħażin Raġonevolment Prevedibbli, li tista’ twassal għal riskji għas-saħħa u s-sikurezza jew għad-drittijiet fundamentali;</w:t>
      </w:r>
    </w:p>
    <w:p w14:paraId="1DFFE207" w14:textId="1B79CC04" w:rsidR="00CE2EF9" w:rsidRPr="00F973AB" w:rsidRDefault="00D3678A" w:rsidP="00D3678A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fejn applikabbli, il-kapaċitajiet u l-karatteristiċi tekniċi tas-Sistema tal-IA li tkun provduta informazzjoni li tkun rilevanti biex tispjega l-output tagħha;</w:t>
      </w:r>
      <w:r>
        <w:rPr>
          <w:rFonts w:ascii="Arial" w:hAnsi="Arial"/>
          <w:sz w:val="22"/>
        </w:rPr>
        <w:cr/>
      </w:r>
    </w:p>
    <w:p w14:paraId="7C8EF870" w14:textId="2A947897" w:rsidR="00CE2EF9" w:rsidRPr="00F973AB" w:rsidRDefault="00D3678A" w:rsidP="00D3678A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jkun xieraq, il-prestazzjoni tagħha fir-rigward ta’ persuni speċifiċi jew gruppi ta’ persuni speċifiċi li s-Sistema tal-IA hi maħsuba li tintuża fuqhom;</w:t>
      </w:r>
    </w:p>
    <w:p w14:paraId="154A99A7" w14:textId="77777777" w:rsidR="002F066E" w:rsidRDefault="00D3678A" w:rsidP="002F066E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jkun xieraq, l-ispeċifikazzjonijiet għad-data tal-input jew kwalunkwe informazzjoni rilevanti oħra f’termini tas-settijiet ta’ data għat-taħriġ, il-validazzjoni u l-ittestjar użati, filwaqt li jitqies l-għan maħsub tas-Sistema tal-IA;</w:t>
      </w:r>
    </w:p>
    <w:p w14:paraId="5C4B93A6" w14:textId="6AE60494" w:rsidR="00CE2EF9" w:rsidRPr="002F066E" w:rsidRDefault="00D3678A" w:rsidP="002F066E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meta applikabbli, informazzjoni li tippermetti lill-Organizzazzjoni Pubblika tinterpreta l-output tas-Sistema tal-IA u tużaha kif xieraq;</w:t>
      </w:r>
      <w:r>
        <w:rPr>
          <w:rFonts w:ascii="Arial" w:hAnsi="Arial"/>
          <w:sz w:val="22"/>
        </w:rPr>
        <w:cr/>
      </w:r>
    </w:p>
    <w:p w14:paraId="5A6C2171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il-bidliet fis-Sistema tal-IA u l-prestazzjoni tagħha li ġew iddeterminati minn qabel mill-Fornitur, jekk ikun hemm; </w:t>
      </w:r>
    </w:p>
    <w:p w14:paraId="014BD99A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5E78B7C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il-miżuri ta’ sorveljanza mill-bniedem imsemmija </w:t>
      </w:r>
      <w:bookmarkStart w:id="4" w:name="OpenAt"/>
      <w:r>
        <w:rPr>
          <w:rFonts w:ascii="Arial" w:hAnsi="Arial"/>
          <w:sz w:val="22"/>
        </w:rPr>
        <w:t>fl-Artikolu</w:t>
      </w:r>
      <w:bookmarkEnd w:id="4"/>
      <w:r>
        <w:rPr>
          <w:rFonts w:ascii="Arial" w:hAnsi="Arial"/>
          <w:sz w:val="22"/>
        </w:rPr>
        <w:t xml:space="preserve"> 7, inkluż il-miżuri tekniċi stabbiliti sabiex tiġi ffaċilitata l-interpretazzjoni tal-outputs tas-Sistemi tal-IA mill-Organizzazzjoni Pubblika;</w:t>
      </w:r>
    </w:p>
    <w:p w14:paraId="2EDF0A23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3D94A9D8" w14:textId="77777777" w:rsidR="00CE2EF9" w:rsidRPr="00F973AB" w:rsidRDefault="00D3678A" w:rsidP="00D3678A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ir-riżorsi komputazzjonali u tal-hardware meħtieġa, it-tul tal-ħajja mistenni tas-Sistema tal-IA u kwalunkwe miżura ta’ manutenzjoni u kura meħtieġa, inkluż il-frekwenza tagħhom sabiex jiġi żgurat il-funzjonament xieraq ta’ dik is-Sistema tal-IA, inkluż fir-rigward tal-aġġornamenti tas-software;</w:t>
      </w:r>
    </w:p>
    <w:p w14:paraId="0B44A81A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763F328" w14:textId="112987C6" w:rsidR="00CE2EF9" w:rsidRPr="00F973AB" w:rsidRDefault="00D3678A" w:rsidP="00564A63">
      <w:pPr>
        <w:pStyle w:val="doLijstnummering5"/>
        <w:rPr>
          <w:b/>
        </w:rPr>
      </w:pPr>
      <w:r>
        <w:rPr>
          <w:rFonts w:ascii="Arial" w:hAnsi="Arial"/>
          <w:sz w:val="22"/>
        </w:rPr>
        <w:lastRenderedPageBreak/>
        <w:t xml:space="preserve">fejn rilevanti, deskrizzjoni tal-mekkaniżmi inklużi fis-Sistema tal-IA li tippermetti lill-Organizzazzjoni Pubblika tiġbor, taħżen u tinterpreta r-reġistri kif xieraq f’konformità mal-Artikolu 5 ta’ dawn l-MCC-AI-Riskju-Għoli. </w:t>
      </w:r>
      <w:r>
        <w:br w:type="page"/>
      </w:r>
    </w:p>
    <w:p w14:paraId="60742357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E – Miżuri sabiex tiġi żgurata t-trasparenza</w:t>
      </w:r>
    </w:p>
    <w:p w14:paraId="627CAA54" w14:textId="014A67DD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hawnhekk ipprovdi deskrizzjoni tal-miżuri tekniċi u organizzattivi li għandhom jittieħdu mill-Fornitur sabiex tiġi żgurata t-trasparenza f’konformità mal-Artikolu 6 tal-MCC-AI-Riskju-Għoli.</w:t>
      </w:r>
    </w:p>
    <w:p w14:paraId="639F3DAB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6F0DAB33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F – Miżuri sabiex tiġi żgurata s-sorveljanza mill-bniedem</w:t>
      </w:r>
    </w:p>
    <w:p w14:paraId="7A6DBACF" w14:textId="1E7F2DDA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hawnhekk ipprovdi deskrizzjoni tal-miżuri tekniċi u organizzattivi li għandhom jittieħdu mill-Fornitur sabiex tiġi żgurata s-sorveljanza mill-bniedem f’konformità mal-Artikolu 7 tal-MCC-AI-Riskju-Għoli.</w:t>
      </w:r>
    </w:p>
    <w:p w14:paraId="5EA49DFE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6C4E10C8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G – Livelli ta’ akkuratezza</w:t>
      </w:r>
    </w:p>
    <w:p w14:paraId="09E6BDFF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Iddeskrivi hawn il-livelli ta’ akkuratezza meħtieġa.</w:t>
      </w:r>
    </w:p>
    <w:p w14:paraId="7413A47E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br w:type="page"/>
      </w:r>
    </w:p>
    <w:p w14:paraId="309A7334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Anness H – Miżuri sabiex jiġi żgurat livell xieraq ta’ robustezza, sikurezza u ċibersigurtà</w:t>
      </w:r>
    </w:p>
    <w:p w14:paraId="30426E6E" w14:textId="100ED041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Jekk jogħġbok hawnhekk ipprovdi deskrizzjoni tal-miżuri tekniċi u organizzattivi li għandhom jittieħdu mill-Fornitur sabiex jiġi żgurat livell xieraq ta’ robustezza, sikurezza u ċibersigurtà f’konformità mal-Artikolu 8 tal-MCC-AI-Riskju-Għoli.</w:t>
      </w:r>
    </w:p>
    <w:p w14:paraId="7F9331F2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Dawn il-miżuri jridu jiżguraw li s-Sistema tal-IA għandha tkun reżiljenti fir-rigward ta’ erruri, ħsarat jew inkonsistenzi li jistgħu jseħħu fis-sistema jew fl-ambjent li fih topera s-sistema, b’mod partikolari minħabba l-interazzjoni tagħhom ma’ persuni fiżiċi jew sistemi oħrajn.</w:t>
      </w:r>
    </w:p>
    <w:p w14:paraId="4CF015C3" w14:textId="3A128485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Is-Sistema tal-IA għandha tkun reżiljenti fir-rigward ta’ tentattivi minn partijiet terzi mhux awtorizzati għall-alterazzjoni tal-użu, l-imġiba, l-outputs jew il-prestazzjoni permezz tal-isfruttament tal-vulnerabbiltajiet tas-sistema. Is-soluzzjonijiet tekniċi sabiex jiġu indirizzati vulnerabbiltajiet speċifiċi għall-IA jistgħu jinkludu, fejn xieraq, miżuri għall-prevenzjoni, l-identifikazzjoni, ir-rispons għal, ir-riżoluzzjoni u l-kontroll għal attakki li jippruvaw jimmanipulaw is-sett ta’ data għat-taħriġ (“avvelenament tad-data”) jew komponenti mħarrġa minn qabel użati fit-taħriġ (“avvelenament tal-mudell”), inputs imfassla biex iwasslu biex il-mudell jagħmel żball (“eżempji kontradittorji” jew “evażjoni tal-mudell”), attakki ta’ kunfidenzjalità jew difetti fil-mudelli, li jistgħu jwasslu għal teħid ta’ deċiżjonijiet dannuż.</w:t>
      </w:r>
    </w:p>
    <w:p w14:paraId="317FB5A1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0B67A886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/>
          <w:sz w:val="22"/>
          <w:szCs w:val="22"/>
        </w:rPr>
      </w:pPr>
    </w:p>
    <w:p w14:paraId="22B8D7A6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p w14:paraId="2835D346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p w14:paraId="33F6E159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sectPr w:rsidR="000F6F09" w:rsidRPr="00F973AB" w:rsidSect="00C56C58">
      <w:headerReference w:type="default" r:id="rId13"/>
      <w:footerReference w:type="even" r:id="rId14"/>
      <w:footerReference w:type="default" r:id="rId15"/>
      <w:headerReference w:type="first" r:id="rId16"/>
      <w:pgSz w:w="11906" w:h="16838"/>
      <w:pgMar w:top="1702" w:right="1440" w:bottom="1440" w:left="144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1B0583" w14:textId="77777777" w:rsidR="00C96A67" w:rsidRDefault="00C96A67" w:rsidP="000B1A35">
      <w:r>
        <w:separator/>
      </w:r>
    </w:p>
  </w:endnote>
  <w:endnote w:type="continuationSeparator" w:id="0">
    <w:p w14:paraId="5B3F3334" w14:textId="77777777" w:rsidR="00C96A67" w:rsidRDefault="00C96A67" w:rsidP="000B1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87992947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3B88CE4" w14:textId="77777777" w:rsidR="003216B4" w:rsidRDefault="003216B4" w:rsidP="003216B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p>
    </w:sdtContent>
  </w:sdt>
  <w:p w14:paraId="2A01B61C" w14:textId="77777777" w:rsidR="003216B4" w:rsidRDefault="003216B4" w:rsidP="000B1A3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104D54"/>
      </w:rPr>
      <w:id w:val="18903949"/>
      <w:docPartObj>
        <w:docPartGallery w:val="Page Numbers (Bottom of Page)"/>
        <w:docPartUnique/>
      </w:docPartObj>
    </w:sdtPr>
    <w:sdtEndPr>
      <w:rPr>
        <w:rStyle w:val="PageNumber"/>
        <w:rFonts w:ascii="Arial" w:hAnsi="Arial" w:cs="Arial"/>
        <w:b/>
        <w:bCs/>
      </w:rPr>
    </w:sdtEndPr>
    <w:sdtContent>
      <w:p w14:paraId="7E86403C" w14:textId="4BEE578E" w:rsidR="003216B4" w:rsidRPr="00B55AC3" w:rsidRDefault="003216B4" w:rsidP="003216B4">
        <w:pPr>
          <w:pStyle w:val="Footer"/>
          <w:framePr w:wrap="none" w:vAnchor="text" w:hAnchor="margin" w:xAlign="right" w:y="1"/>
          <w:rPr>
            <w:rStyle w:val="PageNumber"/>
            <w:rFonts w:ascii="Arial" w:hAnsi="Arial" w:cs="Arial"/>
            <w:b/>
            <w:bCs/>
            <w:color w:val="104D54"/>
          </w:rPr>
        </w:pPr>
        <w:r>
          <w:rPr>
            <w:rStyle w:val="PageNumber"/>
            <w:rFonts w:ascii="Arial" w:hAnsi="Arial" w:cs="Arial"/>
            <w:b/>
            <w:color w:val="104D54"/>
          </w:rPr>
          <w:fldChar w:fldCharType="begin"/>
        </w:r>
        <w:r>
          <w:rPr>
            <w:rStyle w:val="PageNumber"/>
            <w:rFonts w:ascii="Arial" w:hAnsi="Arial" w:cs="Arial"/>
            <w:b/>
            <w:color w:val="104D54"/>
          </w:rPr>
          <w:instrText xml:space="preserve"> PAGE </w:instrText>
        </w:r>
        <w:r>
          <w:rPr>
            <w:rStyle w:val="PageNumber"/>
            <w:rFonts w:ascii="Arial" w:hAnsi="Arial" w:cs="Arial"/>
            <w:b/>
            <w:color w:val="104D54"/>
          </w:rPr>
          <w:fldChar w:fldCharType="separate"/>
        </w:r>
        <w:r>
          <w:rPr>
            <w:rStyle w:val="PageNumber"/>
            <w:rFonts w:ascii="Arial" w:hAnsi="Arial" w:cs="Arial"/>
            <w:b/>
            <w:color w:val="104D54"/>
          </w:rPr>
          <w:t>19</w:t>
        </w:r>
        <w:r>
          <w:rPr>
            <w:rStyle w:val="PageNumber"/>
            <w:rFonts w:ascii="Arial" w:hAnsi="Arial" w:cs="Arial"/>
            <w:b/>
            <w:color w:val="104D54"/>
          </w:rPr>
          <w:fldChar w:fldCharType="end"/>
        </w:r>
      </w:p>
    </w:sdtContent>
  </w:sdt>
  <w:p w14:paraId="7F5B43C4" w14:textId="77777777" w:rsidR="003216B4" w:rsidRPr="00B55AC3" w:rsidRDefault="003216B4" w:rsidP="000B1A35">
    <w:pPr>
      <w:pStyle w:val="Footer"/>
      <w:ind w:right="360"/>
      <w:rPr>
        <w:rFonts w:ascii="Arial" w:hAnsi="Arial" w:cs="Arial"/>
        <w:b/>
        <w:bCs/>
        <w:color w:val="104D5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0905EA" w14:textId="77777777" w:rsidR="00C96A67" w:rsidRDefault="00C96A67" w:rsidP="000B1A35">
      <w:r>
        <w:separator/>
      </w:r>
    </w:p>
  </w:footnote>
  <w:footnote w:type="continuationSeparator" w:id="0">
    <w:p w14:paraId="20930B75" w14:textId="77777777" w:rsidR="00C96A67" w:rsidRDefault="00C96A67" w:rsidP="000B1A35">
      <w:r>
        <w:continuationSeparator/>
      </w:r>
    </w:p>
  </w:footnote>
  <w:footnote w:id="1">
    <w:p w14:paraId="4F352ED7" w14:textId="320E49BB" w:rsidR="00A81582" w:rsidRPr="00A81582" w:rsidRDefault="00A8158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Il-Kummissjoni tippubblika linji gwida dwar id-definizzjoni tas-sistema tal-IA biex tiffaċilita l-applikazzjoni tar-regoli tal-ewwel Att dwar l-IA |</w:t>
        </w:r>
      </w:hyperlink>
      <w:hyperlink r:id="rId2" w:history="1">
        <w:r>
          <w:rPr>
            <w:rStyle w:val="Hyperlink"/>
          </w:rPr>
          <w:t xml:space="preserve"> Insawru l-futur diġitali tal-Ewropa</w:t>
        </w:r>
      </w:hyperlink>
    </w:p>
  </w:footnote>
  <w:footnote w:id="2">
    <w:p w14:paraId="4500DEBA" w14:textId="4CEE3FD1" w:rsidR="003216B4" w:rsidRPr="00D33B49" w:rsidRDefault="003216B4" w:rsidP="00CE2EF9">
      <w:pPr>
        <w:pStyle w:val="FootnoteText"/>
        <w:rPr>
          <w:rFonts w:ascii="Arial" w:hAnsi="Arial" w:cs="Arial"/>
          <w:sz w:val="18"/>
          <w:szCs w:val="24"/>
        </w:rPr>
      </w:pPr>
      <w:r>
        <w:rPr>
          <w:rStyle w:val="FootnoteReference"/>
          <w:rFonts w:ascii="Arial" w:hAnsi="Arial" w:cs="Arial"/>
          <w:sz w:val="18"/>
          <w:szCs w:val="24"/>
        </w:rPr>
        <w:footnoteRef/>
      </w:r>
      <w:r>
        <w:rPr>
          <w:rFonts w:ascii="Arial" w:hAnsi="Arial"/>
          <w:sz w:val="18"/>
        </w:rPr>
        <w:t xml:space="preserve"> </w:t>
      </w:r>
      <w:r>
        <w:tab/>
      </w:r>
      <w:r>
        <w:rPr>
          <w:rFonts w:ascii="Arial" w:hAnsi="Arial"/>
          <w:sz w:val="18"/>
        </w:rPr>
        <w:t>Limitazzjoni tal-obbligu li jiġu ttrasferiti s-Settijiet ta’ Data tal-Fornituri u s-Settijiet ta’ Data ta’ Partijiet Terzi, ma tillimitax l-obbligi tal-Fornitur deskritti fl-Artikolu 6 u fl-Artikolu 14.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CD5F39" w14:textId="493D3A31" w:rsidR="003216B4" w:rsidRPr="005A1B9E" w:rsidRDefault="003216B4">
    <w:pPr>
      <w:pStyle w:val="Header"/>
      <w:rPr>
        <w:rFonts w:ascii="Arial" w:hAnsi="Arial" w:cs="Arial"/>
        <w:b/>
        <w:bCs/>
        <w:color w:val="FFFFFF" w:themeColor="background1"/>
      </w:rPr>
    </w:pPr>
    <w:r>
      <w:rPr>
        <w:noProof/>
        <w:color w:val="FFFFFF" w:themeColor="background1"/>
      </w:rPr>
      <w:drawing>
        <wp:anchor distT="0" distB="0" distL="114300" distR="114300" simplePos="0" relativeHeight="251660288" behindDoc="1" locked="0" layoutInCell="1" allowOverlap="1" wp14:anchorId="22B134E5" wp14:editId="034709CA">
          <wp:simplePos x="0" y="0"/>
          <wp:positionH relativeFrom="column">
            <wp:posOffset>-914400</wp:posOffset>
          </wp:positionH>
          <wp:positionV relativeFrom="paragraph">
            <wp:posOffset>-450216</wp:posOffset>
          </wp:positionV>
          <wp:extent cx="7585656" cy="927135"/>
          <wp:effectExtent l="0" t="0" r="0" b="0"/>
          <wp:wrapNone/>
          <wp:docPr id="1683704020" name="Picture 1683704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536" cy="928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Start w:id="5" w:name="_Hlk189934907"/>
    <w:r>
      <w:t xml:space="preserve"> </w:t>
    </w:r>
    <w:hyperlink r:id="rId2" w:history="1">
      <w:r>
        <w:rPr>
          <w:rStyle w:val="Hyperlink"/>
          <w:rFonts w:ascii="Arial" w:hAnsi="Arial"/>
          <w:color w:val="FFFFFF" w:themeColor="background1"/>
          <w:sz w:val="20"/>
        </w:rPr>
        <w:t>Akkwist tal-IA |</w:t>
      </w:r>
    </w:hyperlink>
    <w:hyperlink r:id="rId3" w:history="1">
      <w:r>
        <w:rPr>
          <w:rStyle w:val="Hyperlink"/>
          <w:rFonts w:ascii="Arial" w:hAnsi="Arial"/>
          <w:color w:val="FFFFFF" w:themeColor="background1"/>
          <w:sz w:val="20"/>
        </w:rPr>
        <w:t xml:space="preserve"> Komunità tax-Xerrejja Pubbliċi</w:t>
      </w:r>
    </w:hyperlink>
    <w:bookmarkEnd w:id="5"/>
    <w:r>
      <w:tab/>
    </w:r>
    <w:r>
      <w:rPr>
        <w:rFonts w:ascii="Arial" w:hAnsi="Arial"/>
        <w:color w:val="FFFFFF" w:themeColor="background1"/>
      </w:rPr>
      <w:t xml:space="preserve"> </w:t>
    </w:r>
    <w:r>
      <w:tab/>
    </w:r>
    <w:r>
      <w:rPr>
        <w:rFonts w:ascii="Arial" w:hAnsi="Arial"/>
        <w:color w:val="FFFFFF" w:themeColor="background1"/>
      </w:rPr>
      <w:t xml:space="preserve"> </w:t>
    </w:r>
    <w:r>
      <w:rPr>
        <w:rFonts w:ascii="Arial" w:hAnsi="Arial"/>
        <w:b/>
        <w:color w:val="FFFFFF" w:themeColor="background1"/>
      </w:rPr>
      <w:t xml:space="preserve">MCC-AI-Riskju-Għoli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6C1488" w14:textId="77777777" w:rsidR="003216B4" w:rsidRDefault="003216B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74F40A1" wp14:editId="166F4DD0">
          <wp:simplePos x="0" y="0"/>
          <wp:positionH relativeFrom="column">
            <wp:posOffset>-1009015</wp:posOffset>
          </wp:positionH>
          <wp:positionV relativeFrom="paragraph">
            <wp:posOffset>-812891</wp:posOffset>
          </wp:positionV>
          <wp:extent cx="7823865" cy="11068162"/>
          <wp:effectExtent l="0" t="0" r="0" b="6350"/>
          <wp:wrapNone/>
          <wp:docPr id="432765360" name="Picture 4327653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4483187" name="Picture 96448318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3865" cy="110681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F06B4"/>
    <w:multiLevelType w:val="multilevel"/>
    <w:tmpl w:val="D8143294"/>
    <w:lvl w:ilvl="0">
      <w:start w:val="1"/>
      <w:numFmt w:val="bullet"/>
      <w:pStyle w:val="doBullets1"/>
      <w:lvlText w:val=""/>
      <w:lvlJc w:val="left"/>
      <w:pPr>
        <w:ind w:left="851" w:hanging="851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01" w:hanging="85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52" w:hanging="851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02" w:hanging="85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53" w:hanging="851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103" w:hanging="85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3"/>
        </w:tabs>
        <w:ind w:left="5954" w:hanging="851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54"/>
        </w:tabs>
        <w:ind w:left="6804" w:hanging="85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655" w:hanging="851"/>
      </w:pPr>
      <w:rPr>
        <w:rFonts w:ascii="Wingdings" w:hAnsi="Wingdings" w:hint="default"/>
      </w:rPr>
    </w:lvl>
  </w:abstractNum>
  <w:abstractNum w:abstractNumId="1" w15:restartNumberingAfterBreak="0">
    <w:nsid w:val="08583C5C"/>
    <w:multiLevelType w:val="multilevel"/>
    <w:tmpl w:val="74EA97F0"/>
    <w:lvl w:ilvl="0">
      <w:start w:val="1"/>
      <w:numFmt w:val="decimal"/>
      <w:pStyle w:val="doLijstnummering7"/>
      <w:lvlText w:val="Artikolu %1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 w:val="0"/>
        <w:sz w:val="22"/>
        <w:szCs w:val="22"/>
        <w:u w:val="single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2">
      <w:start w:val="1"/>
      <w:numFmt w:val="lowerLetter"/>
      <w:lvlText w:val="%3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3">
      <w:start w:val="1"/>
      <w:numFmt w:val="lowerRoman"/>
      <w:lvlText w:val="%4.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</w:abstractNum>
  <w:abstractNum w:abstractNumId="2" w15:restartNumberingAfterBreak="0">
    <w:nsid w:val="283824ED"/>
    <w:multiLevelType w:val="multilevel"/>
    <w:tmpl w:val="40008F20"/>
    <w:lvl w:ilvl="0">
      <w:start w:val="1"/>
      <w:numFmt w:val="lowerRoman"/>
      <w:pStyle w:val="doLijstnummering4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low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low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low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low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low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low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low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3" w15:restartNumberingAfterBreak="0">
    <w:nsid w:val="38222A4F"/>
    <w:multiLevelType w:val="hybridMultilevel"/>
    <w:tmpl w:val="3C585E60"/>
    <w:lvl w:ilvl="0" w:tplc="E21C0E82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EF005D"/>
    <w:multiLevelType w:val="multilevel"/>
    <w:tmpl w:val="7FDCB5BC"/>
    <w:lvl w:ilvl="0">
      <w:start w:val="1"/>
      <w:numFmt w:val="bullet"/>
      <w:pStyle w:val="PurpleBullet"/>
      <w:lvlText w:val=""/>
      <w:lvlJc w:val="left"/>
      <w:pPr>
        <w:ind w:left="720" w:hanging="363"/>
      </w:pPr>
      <w:rPr>
        <w:rFonts w:ascii="Symbol" w:hAnsi="Symbol" w:hint="default"/>
        <w:color w:val="FF4F3D"/>
      </w:rPr>
    </w:lvl>
    <w:lvl w:ilvl="1">
      <w:start w:val="1"/>
      <w:numFmt w:val="bullet"/>
      <w:lvlText w:val=""/>
      <w:lvlJc w:val="left"/>
      <w:pPr>
        <w:ind w:left="1264" w:hanging="363"/>
      </w:pPr>
      <w:rPr>
        <w:rFonts w:ascii="Symbol" w:hAnsi="Symbol" w:hint="default"/>
        <w:color w:val="FF4F3D"/>
      </w:rPr>
    </w:lvl>
    <w:lvl w:ilvl="2">
      <w:start w:val="1"/>
      <w:numFmt w:val="bullet"/>
      <w:lvlText w:val=""/>
      <w:lvlJc w:val="left"/>
      <w:pPr>
        <w:ind w:left="1805" w:hanging="360"/>
      </w:pPr>
      <w:rPr>
        <w:rFonts w:ascii="Symbol" w:hAnsi="Symbol" w:hint="default"/>
        <w:color w:val="FF4F3D"/>
      </w:rPr>
    </w:lvl>
    <w:lvl w:ilvl="3">
      <w:start w:val="1"/>
      <w:numFmt w:val="bullet"/>
      <w:lvlText w:val=""/>
      <w:lvlJc w:val="left"/>
      <w:pPr>
        <w:ind w:left="2352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896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440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984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528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072" w:hanging="363"/>
      </w:pPr>
      <w:rPr>
        <w:rFonts w:ascii="Wingdings" w:hAnsi="Wingdings" w:hint="default"/>
      </w:rPr>
    </w:lvl>
  </w:abstractNum>
  <w:abstractNum w:abstractNumId="5" w15:restartNumberingAfterBreak="0">
    <w:nsid w:val="652E5F89"/>
    <w:multiLevelType w:val="multilevel"/>
    <w:tmpl w:val="26B2CF48"/>
    <w:lvl w:ilvl="0">
      <w:start w:val="1"/>
      <w:numFmt w:val="upperRoman"/>
      <w:pStyle w:val="doLijstnummering3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upp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upp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upp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upp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upp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upp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6" w15:restartNumberingAfterBreak="0">
    <w:nsid w:val="68490AFA"/>
    <w:multiLevelType w:val="multilevel"/>
    <w:tmpl w:val="A9628022"/>
    <w:lvl w:ilvl="0">
      <w:start w:val="1"/>
      <w:numFmt w:val="decimal"/>
      <w:pStyle w:val="doLijstnummering5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7" w15:restartNumberingAfterBreak="0">
    <w:nsid w:val="74802BA1"/>
    <w:multiLevelType w:val="hybridMultilevel"/>
    <w:tmpl w:val="0D9EE790"/>
    <w:lvl w:ilvl="0" w:tplc="B9C8A8BE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8" w15:restartNumberingAfterBreak="0">
    <w:nsid w:val="7A5560F6"/>
    <w:multiLevelType w:val="hybridMultilevel"/>
    <w:tmpl w:val="164A8EC4"/>
    <w:lvl w:ilvl="0" w:tplc="64C676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AD7C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9633253">
    <w:abstractNumId w:val="3"/>
  </w:num>
  <w:num w:numId="2" w16cid:durableId="2047483329">
    <w:abstractNumId w:val="4"/>
  </w:num>
  <w:num w:numId="3" w16cid:durableId="1385371387">
    <w:abstractNumId w:val="8"/>
  </w:num>
  <w:num w:numId="4" w16cid:durableId="1517502109">
    <w:abstractNumId w:val="7"/>
  </w:num>
  <w:num w:numId="5" w16cid:durableId="2145268333">
    <w:abstractNumId w:val="0"/>
  </w:num>
  <w:num w:numId="6" w16cid:durableId="947471421">
    <w:abstractNumId w:val="1"/>
  </w:num>
  <w:num w:numId="7" w16cid:durableId="355009267">
    <w:abstractNumId w:val="5"/>
  </w:num>
  <w:num w:numId="8" w16cid:durableId="1843741350">
    <w:abstractNumId w:val="2"/>
  </w:num>
  <w:num w:numId="9" w16cid:durableId="1445883148">
    <w:abstractNumId w:val="6"/>
  </w:num>
  <w:num w:numId="10" w16cid:durableId="122271557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39623238">
    <w:abstractNumId w:val="1"/>
  </w:num>
  <w:num w:numId="12" w16cid:durableId="3089000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46342793">
    <w:abstractNumId w:val="6"/>
  </w:num>
  <w:num w:numId="14" w16cid:durableId="333651219">
    <w:abstractNumId w:val="1"/>
  </w:num>
  <w:num w:numId="15" w16cid:durableId="559748463">
    <w:abstractNumId w:val="1"/>
  </w:num>
  <w:num w:numId="16" w16cid:durableId="1695765638">
    <w:abstractNumId w:val="1"/>
  </w:num>
  <w:num w:numId="17" w16cid:durableId="766850134">
    <w:abstractNumId w:val="1"/>
  </w:num>
  <w:num w:numId="18" w16cid:durableId="70516881">
    <w:abstractNumId w:val="1"/>
  </w:num>
  <w:num w:numId="19" w16cid:durableId="777874114">
    <w:abstractNumId w:val="1"/>
  </w:num>
  <w:num w:numId="20" w16cid:durableId="1179915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0B1A35"/>
    <w:rsid w:val="00007FF9"/>
    <w:rsid w:val="00016837"/>
    <w:rsid w:val="000325AC"/>
    <w:rsid w:val="00037A5B"/>
    <w:rsid w:val="00050F12"/>
    <w:rsid w:val="00052363"/>
    <w:rsid w:val="00055689"/>
    <w:rsid w:val="00057539"/>
    <w:rsid w:val="000575AB"/>
    <w:rsid w:val="000603C2"/>
    <w:rsid w:val="00061A77"/>
    <w:rsid w:val="0006305F"/>
    <w:rsid w:val="00074956"/>
    <w:rsid w:val="0007646C"/>
    <w:rsid w:val="0008024C"/>
    <w:rsid w:val="000822F8"/>
    <w:rsid w:val="00094BB7"/>
    <w:rsid w:val="000B1A35"/>
    <w:rsid w:val="000D2464"/>
    <w:rsid w:val="000D2CCC"/>
    <w:rsid w:val="000D7C70"/>
    <w:rsid w:val="000E3EA0"/>
    <w:rsid w:val="000E6BB9"/>
    <w:rsid w:val="000F39AD"/>
    <w:rsid w:val="000F5C89"/>
    <w:rsid w:val="000F6F09"/>
    <w:rsid w:val="00100543"/>
    <w:rsid w:val="00115AFB"/>
    <w:rsid w:val="00124648"/>
    <w:rsid w:val="0012712E"/>
    <w:rsid w:val="00137BC0"/>
    <w:rsid w:val="00145DBC"/>
    <w:rsid w:val="00166C6F"/>
    <w:rsid w:val="00172B4F"/>
    <w:rsid w:val="00173B57"/>
    <w:rsid w:val="00176170"/>
    <w:rsid w:val="00176E68"/>
    <w:rsid w:val="001908A2"/>
    <w:rsid w:val="001C026D"/>
    <w:rsid w:val="001C1C2C"/>
    <w:rsid w:val="001C5152"/>
    <w:rsid w:val="001D0478"/>
    <w:rsid w:val="001D0885"/>
    <w:rsid w:val="001D0F97"/>
    <w:rsid w:val="001D5BD8"/>
    <w:rsid w:val="001E207C"/>
    <w:rsid w:val="002240A8"/>
    <w:rsid w:val="002356D6"/>
    <w:rsid w:val="00241911"/>
    <w:rsid w:val="00250DE3"/>
    <w:rsid w:val="002521BB"/>
    <w:rsid w:val="002532EE"/>
    <w:rsid w:val="00257095"/>
    <w:rsid w:val="00260A93"/>
    <w:rsid w:val="0026274B"/>
    <w:rsid w:val="0027316C"/>
    <w:rsid w:val="0028697D"/>
    <w:rsid w:val="002920C6"/>
    <w:rsid w:val="002974E8"/>
    <w:rsid w:val="002B3169"/>
    <w:rsid w:val="002B6F1F"/>
    <w:rsid w:val="002C7FA3"/>
    <w:rsid w:val="002D5D9E"/>
    <w:rsid w:val="002F066E"/>
    <w:rsid w:val="002F6EA4"/>
    <w:rsid w:val="00310B73"/>
    <w:rsid w:val="003135AD"/>
    <w:rsid w:val="00314680"/>
    <w:rsid w:val="003216B4"/>
    <w:rsid w:val="00324614"/>
    <w:rsid w:val="00327AA8"/>
    <w:rsid w:val="00333DE7"/>
    <w:rsid w:val="0034183C"/>
    <w:rsid w:val="0034344C"/>
    <w:rsid w:val="003438F3"/>
    <w:rsid w:val="00370488"/>
    <w:rsid w:val="0038084E"/>
    <w:rsid w:val="00383C49"/>
    <w:rsid w:val="003868C1"/>
    <w:rsid w:val="003B3A40"/>
    <w:rsid w:val="003C2AF0"/>
    <w:rsid w:val="003D2CB0"/>
    <w:rsid w:val="003D3930"/>
    <w:rsid w:val="003E1753"/>
    <w:rsid w:val="003F7670"/>
    <w:rsid w:val="004019AA"/>
    <w:rsid w:val="00406A76"/>
    <w:rsid w:val="004110BF"/>
    <w:rsid w:val="00412D17"/>
    <w:rsid w:val="00420EEF"/>
    <w:rsid w:val="00432E34"/>
    <w:rsid w:val="0043428A"/>
    <w:rsid w:val="004359CC"/>
    <w:rsid w:val="0044298A"/>
    <w:rsid w:val="00463418"/>
    <w:rsid w:val="00465AE1"/>
    <w:rsid w:val="00467E4D"/>
    <w:rsid w:val="00471F60"/>
    <w:rsid w:val="00485C37"/>
    <w:rsid w:val="00486941"/>
    <w:rsid w:val="0049021A"/>
    <w:rsid w:val="004A255F"/>
    <w:rsid w:val="004B6414"/>
    <w:rsid w:val="004C37ED"/>
    <w:rsid w:val="004C4F77"/>
    <w:rsid w:val="004C6E67"/>
    <w:rsid w:val="004D3081"/>
    <w:rsid w:val="004D3DB3"/>
    <w:rsid w:val="004D4A5B"/>
    <w:rsid w:val="004E436F"/>
    <w:rsid w:val="004E48B6"/>
    <w:rsid w:val="004E4B13"/>
    <w:rsid w:val="00500EF9"/>
    <w:rsid w:val="00510872"/>
    <w:rsid w:val="00514B73"/>
    <w:rsid w:val="005328F9"/>
    <w:rsid w:val="00544ECB"/>
    <w:rsid w:val="0054518D"/>
    <w:rsid w:val="0056368F"/>
    <w:rsid w:val="00564A63"/>
    <w:rsid w:val="00574E15"/>
    <w:rsid w:val="00592734"/>
    <w:rsid w:val="005944BF"/>
    <w:rsid w:val="00595C68"/>
    <w:rsid w:val="005A1B9E"/>
    <w:rsid w:val="005A3D5D"/>
    <w:rsid w:val="005A49B9"/>
    <w:rsid w:val="005E4F80"/>
    <w:rsid w:val="005E7DC7"/>
    <w:rsid w:val="006027CB"/>
    <w:rsid w:val="006043F8"/>
    <w:rsid w:val="00604EB1"/>
    <w:rsid w:val="00615CE6"/>
    <w:rsid w:val="006240D0"/>
    <w:rsid w:val="00627B16"/>
    <w:rsid w:val="00634526"/>
    <w:rsid w:val="00636C8D"/>
    <w:rsid w:val="006420F3"/>
    <w:rsid w:val="0064285F"/>
    <w:rsid w:val="006574EA"/>
    <w:rsid w:val="00663E0A"/>
    <w:rsid w:val="006818EB"/>
    <w:rsid w:val="0069290B"/>
    <w:rsid w:val="0069530D"/>
    <w:rsid w:val="0069571E"/>
    <w:rsid w:val="006A373B"/>
    <w:rsid w:val="006B3717"/>
    <w:rsid w:val="006B6837"/>
    <w:rsid w:val="006D06B6"/>
    <w:rsid w:val="006D2B23"/>
    <w:rsid w:val="006F3E34"/>
    <w:rsid w:val="00703D6D"/>
    <w:rsid w:val="00715BC6"/>
    <w:rsid w:val="00727DD8"/>
    <w:rsid w:val="00737015"/>
    <w:rsid w:val="00757F3C"/>
    <w:rsid w:val="00762B0D"/>
    <w:rsid w:val="00765059"/>
    <w:rsid w:val="0077280F"/>
    <w:rsid w:val="00777C2E"/>
    <w:rsid w:val="00785D3E"/>
    <w:rsid w:val="007872D1"/>
    <w:rsid w:val="00795109"/>
    <w:rsid w:val="007B4344"/>
    <w:rsid w:val="007B79BA"/>
    <w:rsid w:val="007B7C42"/>
    <w:rsid w:val="007C13FB"/>
    <w:rsid w:val="007C7792"/>
    <w:rsid w:val="007E4829"/>
    <w:rsid w:val="007F08ED"/>
    <w:rsid w:val="007F5306"/>
    <w:rsid w:val="008059EE"/>
    <w:rsid w:val="00805C45"/>
    <w:rsid w:val="00806100"/>
    <w:rsid w:val="008071B6"/>
    <w:rsid w:val="0081106B"/>
    <w:rsid w:val="00827671"/>
    <w:rsid w:val="00836755"/>
    <w:rsid w:val="008403E5"/>
    <w:rsid w:val="008469D5"/>
    <w:rsid w:val="00851485"/>
    <w:rsid w:val="008523A3"/>
    <w:rsid w:val="00855458"/>
    <w:rsid w:val="00865785"/>
    <w:rsid w:val="00866279"/>
    <w:rsid w:val="0086671A"/>
    <w:rsid w:val="00881CEB"/>
    <w:rsid w:val="008824F4"/>
    <w:rsid w:val="00883216"/>
    <w:rsid w:val="00896A6B"/>
    <w:rsid w:val="008A1402"/>
    <w:rsid w:val="008A5629"/>
    <w:rsid w:val="008A7F0B"/>
    <w:rsid w:val="008B4759"/>
    <w:rsid w:val="008E21C6"/>
    <w:rsid w:val="008F5F39"/>
    <w:rsid w:val="00906988"/>
    <w:rsid w:val="00922E4D"/>
    <w:rsid w:val="0092737B"/>
    <w:rsid w:val="009514A3"/>
    <w:rsid w:val="00961B29"/>
    <w:rsid w:val="00965985"/>
    <w:rsid w:val="00973B3F"/>
    <w:rsid w:val="00973E84"/>
    <w:rsid w:val="0097576F"/>
    <w:rsid w:val="00975D0E"/>
    <w:rsid w:val="00977772"/>
    <w:rsid w:val="009813B5"/>
    <w:rsid w:val="00981757"/>
    <w:rsid w:val="0098199B"/>
    <w:rsid w:val="00982CDF"/>
    <w:rsid w:val="0099306E"/>
    <w:rsid w:val="009B2357"/>
    <w:rsid w:val="009B4B27"/>
    <w:rsid w:val="009D390D"/>
    <w:rsid w:val="009D6B55"/>
    <w:rsid w:val="009E5B43"/>
    <w:rsid w:val="009E7717"/>
    <w:rsid w:val="009F4894"/>
    <w:rsid w:val="00A06133"/>
    <w:rsid w:val="00A35938"/>
    <w:rsid w:val="00A4676A"/>
    <w:rsid w:val="00A4741E"/>
    <w:rsid w:val="00A50D4D"/>
    <w:rsid w:val="00A72007"/>
    <w:rsid w:val="00A74620"/>
    <w:rsid w:val="00A81582"/>
    <w:rsid w:val="00A83C95"/>
    <w:rsid w:val="00A91BAC"/>
    <w:rsid w:val="00A923CC"/>
    <w:rsid w:val="00AA2BBE"/>
    <w:rsid w:val="00AA50AD"/>
    <w:rsid w:val="00AC0847"/>
    <w:rsid w:val="00AC304D"/>
    <w:rsid w:val="00AD1C65"/>
    <w:rsid w:val="00AE662B"/>
    <w:rsid w:val="00B170E8"/>
    <w:rsid w:val="00B3405F"/>
    <w:rsid w:val="00B35164"/>
    <w:rsid w:val="00B43750"/>
    <w:rsid w:val="00B544B1"/>
    <w:rsid w:val="00B55AC3"/>
    <w:rsid w:val="00B63D89"/>
    <w:rsid w:val="00B774F3"/>
    <w:rsid w:val="00B81FA9"/>
    <w:rsid w:val="00B90676"/>
    <w:rsid w:val="00BA4360"/>
    <w:rsid w:val="00BB3419"/>
    <w:rsid w:val="00BB7E2F"/>
    <w:rsid w:val="00BC4A48"/>
    <w:rsid w:val="00BD4826"/>
    <w:rsid w:val="00BD5ED5"/>
    <w:rsid w:val="00BE54C4"/>
    <w:rsid w:val="00BE6485"/>
    <w:rsid w:val="00BF1059"/>
    <w:rsid w:val="00C00240"/>
    <w:rsid w:val="00C11B26"/>
    <w:rsid w:val="00C36498"/>
    <w:rsid w:val="00C42541"/>
    <w:rsid w:val="00C56C58"/>
    <w:rsid w:val="00C63829"/>
    <w:rsid w:val="00C64D3F"/>
    <w:rsid w:val="00C77C3E"/>
    <w:rsid w:val="00C94B15"/>
    <w:rsid w:val="00C96A67"/>
    <w:rsid w:val="00CA3D74"/>
    <w:rsid w:val="00CD6D58"/>
    <w:rsid w:val="00CE2EF9"/>
    <w:rsid w:val="00CE54A9"/>
    <w:rsid w:val="00CE7205"/>
    <w:rsid w:val="00CF1790"/>
    <w:rsid w:val="00CF3257"/>
    <w:rsid w:val="00CF5A67"/>
    <w:rsid w:val="00CF6657"/>
    <w:rsid w:val="00D170E9"/>
    <w:rsid w:val="00D228EB"/>
    <w:rsid w:val="00D33B49"/>
    <w:rsid w:val="00D35373"/>
    <w:rsid w:val="00D3678A"/>
    <w:rsid w:val="00D52D57"/>
    <w:rsid w:val="00D573E8"/>
    <w:rsid w:val="00D663FA"/>
    <w:rsid w:val="00D7180C"/>
    <w:rsid w:val="00D74FE9"/>
    <w:rsid w:val="00D81335"/>
    <w:rsid w:val="00D837BF"/>
    <w:rsid w:val="00DB00F0"/>
    <w:rsid w:val="00DC0722"/>
    <w:rsid w:val="00DC2430"/>
    <w:rsid w:val="00DE1F32"/>
    <w:rsid w:val="00DE20B9"/>
    <w:rsid w:val="00DF19E1"/>
    <w:rsid w:val="00DF4A67"/>
    <w:rsid w:val="00E01E41"/>
    <w:rsid w:val="00E16661"/>
    <w:rsid w:val="00E2316F"/>
    <w:rsid w:val="00E23A23"/>
    <w:rsid w:val="00E23CDD"/>
    <w:rsid w:val="00E30182"/>
    <w:rsid w:val="00E319F5"/>
    <w:rsid w:val="00E33CA8"/>
    <w:rsid w:val="00E3799A"/>
    <w:rsid w:val="00E37CA5"/>
    <w:rsid w:val="00E47CF6"/>
    <w:rsid w:val="00E510EE"/>
    <w:rsid w:val="00E63068"/>
    <w:rsid w:val="00E77197"/>
    <w:rsid w:val="00E772FC"/>
    <w:rsid w:val="00E837C0"/>
    <w:rsid w:val="00EB2CDA"/>
    <w:rsid w:val="00EC48D6"/>
    <w:rsid w:val="00EC4F98"/>
    <w:rsid w:val="00ED0843"/>
    <w:rsid w:val="00ED5807"/>
    <w:rsid w:val="00EF0D2A"/>
    <w:rsid w:val="00F22146"/>
    <w:rsid w:val="00F237EA"/>
    <w:rsid w:val="00F23C53"/>
    <w:rsid w:val="00F41D3D"/>
    <w:rsid w:val="00F435ED"/>
    <w:rsid w:val="00F576F3"/>
    <w:rsid w:val="00F5778B"/>
    <w:rsid w:val="00F671D7"/>
    <w:rsid w:val="00F77A72"/>
    <w:rsid w:val="00F80072"/>
    <w:rsid w:val="00F87ADD"/>
    <w:rsid w:val="00F9107C"/>
    <w:rsid w:val="00F973AB"/>
    <w:rsid w:val="00FB2F6C"/>
    <w:rsid w:val="00FB3AFD"/>
    <w:rsid w:val="00FB6D67"/>
    <w:rsid w:val="00FC16B4"/>
    <w:rsid w:val="00FC2BCA"/>
    <w:rsid w:val="00FE5E28"/>
    <w:rsid w:val="00FF13F0"/>
    <w:rsid w:val="115E0F49"/>
    <w:rsid w:val="129E1B62"/>
    <w:rsid w:val="201699DE"/>
    <w:rsid w:val="407C7CD8"/>
    <w:rsid w:val="488CE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5542DAA"/>
  <w15:chartTrackingRefBased/>
  <w15:docId w15:val="{7B21ECDA-1CF2-4B4B-B89D-F8BE9588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mt-M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4019AA"/>
    <w:pPr>
      <w:widowControl w:val="0"/>
      <w:autoSpaceDE w:val="0"/>
      <w:autoSpaceDN w:val="0"/>
      <w:adjustRightInd w:val="0"/>
      <w:outlineLvl w:val="0"/>
    </w:pPr>
    <w:rPr>
      <w:rFonts w:ascii="Arial" w:eastAsiaTheme="minorEastAsia" w:hAnsi="Arial" w:cs="Arial"/>
      <w:b/>
      <w:bCs/>
      <w:color w:val="034EA2"/>
      <w:sz w:val="40"/>
      <w:szCs w:val="40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44B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44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44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A35"/>
  </w:style>
  <w:style w:type="paragraph" w:styleId="Footer">
    <w:name w:val="footer"/>
    <w:basedOn w:val="Normal"/>
    <w:link w:val="Foot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A35"/>
  </w:style>
  <w:style w:type="character" w:styleId="PageNumber">
    <w:name w:val="page number"/>
    <w:basedOn w:val="DefaultParagraphFont"/>
    <w:uiPriority w:val="99"/>
    <w:semiHidden/>
    <w:unhideWhenUsed/>
    <w:rsid w:val="000B1A35"/>
  </w:style>
  <w:style w:type="character" w:customStyle="1" w:styleId="Heading1Char">
    <w:name w:val="Heading 1 Char"/>
    <w:basedOn w:val="DefaultParagraphFont"/>
    <w:link w:val="Heading1"/>
    <w:uiPriority w:val="1"/>
    <w:rsid w:val="004019AA"/>
    <w:rPr>
      <w:rFonts w:ascii="Arial" w:eastAsiaTheme="minorEastAsia" w:hAnsi="Arial" w:cs="Arial"/>
      <w:b/>
      <w:bCs/>
      <w:color w:val="034EA2"/>
      <w:sz w:val="40"/>
      <w:szCs w:val="40"/>
      <w:lang w:val="mt-MT" w:eastAsia="en-GB"/>
    </w:rPr>
  </w:style>
  <w:style w:type="paragraph" w:styleId="BodyText">
    <w:name w:val="Body Text"/>
    <w:basedOn w:val="Normal"/>
    <w:link w:val="BodyTextChar"/>
    <w:uiPriority w:val="1"/>
    <w:qFormat/>
    <w:rsid w:val="004019AA"/>
    <w:pPr>
      <w:widowControl w:val="0"/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character" w:customStyle="1" w:styleId="BodyTextChar">
    <w:name w:val="Body Text Char"/>
    <w:basedOn w:val="DefaultParagraphFont"/>
    <w:link w:val="BodyText"/>
    <w:uiPriority w:val="1"/>
    <w:rsid w:val="004019AA"/>
    <w:rPr>
      <w:rFonts w:ascii="Arial" w:eastAsiaTheme="minorEastAsia" w:hAnsi="Arial" w:cs="Arial"/>
      <w:color w:val="034EA2"/>
      <w:sz w:val="18"/>
      <w:szCs w:val="18"/>
      <w:lang w:val="mt-MT" w:eastAsia="en-GB"/>
    </w:rPr>
  </w:style>
  <w:style w:type="paragraph" w:styleId="Title">
    <w:name w:val="Title"/>
    <w:basedOn w:val="Normal"/>
    <w:next w:val="Normal"/>
    <w:link w:val="TitleChar"/>
    <w:uiPriority w:val="1"/>
    <w:qFormat/>
    <w:rsid w:val="004019AA"/>
    <w:pPr>
      <w:keepNext/>
      <w:keepLines/>
      <w:widowControl w:val="0"/>
      <w:autoSpaceDE w:val="0"/>
      <w:autoSpaceDN w:val="0"/>
      <w:adjustRightInd w:val="0"/>
      <w:contextualSpacing/>
    </w:pPr>
    <w:rPr>
      <w:rFonts w:ascii="Arial" w:eastAsiaTheme="minorEastAsia" w:hAnsi="Arial" w:cs="Arial"/>
      <w:b/>
      <w:bCs/>
      <w:sz w:val="22"/>
      <w:szCs w:val="22"/>
      <w:lang w:eastAsia="en-GB"/>
    </w:rPr>
  </w:style>
  <w:style w:type="character" w:customStyle="1" w:styleId="TitleChar">
    <w:name w:val="Title Char"/>
    <w:basedOn w:val="DefaultParagraphFont"/>
    <w:link w:val="Title"/>
    <w:uiPriority w:val="1"/>
    <w:rsid w:val="004019AA"/>
    <w:rPr>
      <w:rFonts w:ascii="Arial" w:eastAsiaTheme="minorEastAsia" w:hAnsi="Arial" w:cs="Arial"/>
      <w:b/>
      <w:bCs/>
      <w:sz w:val="22"/>
      <w:szCs w:val="22"/>
      <w:lang w:val="mt-MT" w:eastAsia="en-GB"/>
    </w:rPr>
  </w:style>
  <w:style w:type="paragraph" w:styleId="ListParagraph">
    <w:name w:val="List Paragraph"/>
    <w:basedOn w:val="Normal"/>
    <w:uiPriority w:val="1"/>
    <w:qFormat/>
    <w:rsid w:val="004019AA"/>
    <w:pPr>
      <w:widowControl w:val="0"/>
      <w:numPr>
        <w:numId w:val="1"/>
      </w:numPr>
      <w:tabs>
        <w:tab w:val="left" w:pos="241"/>
      </w:tabs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table" w:styleId="TableGrid">
    <w:name w:val="Table Grid"/>
    <w:basedOn w:val="TableNormal"/>
    <w:uiPriority w:val="59"/>
    <w:rsid w:val="004019AA"/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uiPriority w:val="99"/>
    <w:unhideWhenUsed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34EA2"/>
      <w:sz w:val="36"/>
      <w:szCs w:val="36"/>
      <w:lang w:eastAsia="en-GB"/>
    </w:rPr>
  </w:style>
  <w:style w:type="character" w:customStyle="1" w:styleId="DateChar">
    <w:name w:val="Date Char"/>
    <w:basedOn w:val="DefaultParagraphFont"/>
    <w:link w:val="Date"/>
    <w:uiPriority w:val="99"/>
    <w:rsid w:val="004019AA"/>
    <w:rPr>
      <w:rFonts w:ascii="Arial" w:eastAsiaTheme="minorEastAsia" w:hAnsi="Arial" w:cs="Arial"/>
      <w:color w:val="034EA2"/>
      <w:sz w:val="36"/>
      <w:szCs w:val="36"/>
      <w:lang w:val="mt-MT" w:eastAsia="en-GB"/>
    </w:rPr>
  </w:style>
  <w:style w:type="paragraph" w:customStyle="1" w:styleId="Location">
    <w:name w:val="Location"/>
    <w:basedOn w:val="Normal"/>
    <w:autoRedefine/>
    <w:uiPriority w:val="1"/>
    <w:qFormat/>
    <w:rsid w:val="004019AA"/>
    <w:pPr>
      <w:widowControl w:val="0"/>
      <w:pBdr>
        <w:left w:val="single" w:sz="18" w:space="1" w:color="4472C4" w:themeColor="accent1"/>
      </w:pBdr>
      <w:autoSpaceDE w:val="0"/>
      <w:autoSpaceDN w:val="0"/>
      <w:adjustRightInd w:val="0"/>
    </w:pPr>
    <w:rPr>
      <w:rFonts w:ascii="Arial" w:eastAsiaTheme="minorEastAsia" w:hAnsi="Arial" w:cs="Arial"/>
      <w:color w:val="104D55"/>
      <w:sz w:val="36"/>
      <w:szCs w:val="36"/>
      <w:lang w:eastAsia="en-GB"/>
    </w:rPr>
  </w:style>
  <w:style w:type="paragraph" w:customStyle="1" w:styleId="Time">
    <w:name w:val="Time"/>
    <w:basedOn w:val="Normal"/>
    <w:uiPriority w:val="1"/>
    <w:qFormat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8"/>
      <w:szCs w:val="18"/>
      <w:lang w:eastAsia="en-GB"/>
    </w:rPr>
  </w:style>
  <w:style w:type="paragraph" w:customStyle="1" w:styleId="Style1">
    <w:name w:val="Style1"/>
    <w:basedOn w:val="Location"/>
    <w:qFormat/>
    <w:rsid w:val="004019AA"/>
  </w:style>
  <w:style w:type="character" w:customStyle="1" w:styleId="Heading2Char">
    <w:name w:val="Heading 2 Char"/>
    <w:basedOn w:val="DefaultParagraphFont"/>
    <w:link w:val="Heading2"/>
    <w:uiPriority w:val="9"/>
    <w:semiHidden/>
    <w:rsid w:val="00B544B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44B1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44B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Heading">
    <w:name w:val="TOC Heading"/>
    <w:basedOn w:val="Heading1"/>
    <w:next w:val="Normal"/>
    <w:uiPriority w:val="39"/>
    <w:unhideWhenUsed/>
    <w:qFormat/>
    <w:rsid w:val="00B544B1"/>
    <w:pPr>
      <w:keepNext/>
      <w:keepLines/>
      <w:widowControl/>
      <w:autoSpaceDE/>
      <w:autoSpaceDN/>
      <w:adjustRightInd/>
      <w:spacing w:before="480" w:line="276" w:lineRule="auto"/>
      <w:outlineLvl w:val="9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  <w:lang w:eastAsia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544B1"/>
    <w:pPr>
      <w:spacing w:before="360" w:after="360"/>
    </w:pPr>
    <w:rPr>
      <w:rFonts w:cstheme="minorHAnsi"/>
      <w:b/>
      <w:bCs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B544B1"/>
    <w:rPr>
      <w:rFonts w:cstheme="minorHAnsi"/>
      <w:b/>
      <w:bCs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B544B1"/>
    <w:rPr>
      <w:rFonts w:cstheme="minorHAnsi"/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customStyle="1" w:styleId="Body">
    <w:name w:val="Body"/>
    <w:basedOn w:val="Normal"/>
    <w:uiPriority w:val="99"/>
    <w:qFormat/>
    <w:rsid w:val="00B544B1"/>
    <w:pPr>
      <w:suppressAutoHyphens/>
      <w:autoSpaceDE w:val="0"/>
      <w:autoSpaceDN w:val="0"/>
      <w:adjustRightInd w:val="0"/>
      <w:spacing w:line="288" w:lineRule="auto"/>
      <w:jc w:val="both"/>
      <w:textAlignment w:val="center"/>
    </w:pPr>
    <w:rPr>
      <w:rFonts w:ascii="Verdana" w:eastAsia="Calibri" w:hAnsi="Verdana" w:cs="Arial"/>
      <w:color w:val="0A0A0A"/>
      <w:sz w:val="20"/>
      <w:szCs w:val="20"/>
    </w:rPr>
  </w:style>
  <w:style w:type="paragraph" w:customStyle="1" w:styleId="PurpleBullet">
    <w:name w:val="Purple Bullet"/>
    <w:basedOn w:val="Normal"/>
    <w:rsid w:val="00B544B1"/>
    <w:pPr>
      <w:numPr>
        <w:numId w:val="2"/>
      </w:numPr>
      <w:spacing w:after="160" w:line="259" w:lineRule="auto"/>
    </w:pPr>
    <w:rPr>
      <w:rFonts w:ascii="Verdana" w:eastAsia="Calibri" w:hAnsi="Verdana" w:cs="Arial"/>
      <w:color w:val="0A0A0A"/>
      <w:sz w:val="20"/>
      <w:szCs w:val="22"/>
    </w:rPr>
  </w:style>
  <w:style w:type="table" w:styleId="ListTable4-Accent1">
    <w:name w:val="List Table 4 Accent 1"/>
    <w:basedOn w:val="TableNormal"/>
    <w:uiPriority w:val="49"/>
    <w:rsid w:val="00CF3257"/>
    <w:tblPr>
      <w:tblStyleRowBandSize w:val="1"/>
      <w:tblStyleColBandSize w:val="1"/>
      <w:tblBorders>
        <w:top w:val="single" w:sz="4" w:space="0" w:color="3CC4C7"/>
        <w:left w:val="single" w:sz="4" w:space="0" w:color="3CC4C7"/>
        <w:bottom w:val="single" w:sz="4" w:space="0" w:color="3CC4C7"/>
        <w:right w:val="single" w:sz="4" w:space="0" w:color="3CC4C7"/>
        <w:insideH w:val="single" w:sz="4" w:space="0" w:color="3CC4C7"/>
      </w:tblBorders>
    </w:tblPr>
    <w:tcPr>
      <w:shd w:val="clear" w:color="auto" w:fill="104D54"/>
    </w:tcPr>
    <w:tblStylePr w:type="firstRow">
      <w:rPr>
        <w:b/>
        <w:bCs/>
        <w:color w:val="FFFFFF" w:themeColor="background1"/>
      </w:rPr>
      <w:tblPr/>
      <w:tcPr>
        <w:shd w:val="clear" w:color="auto" w:fill="3CC4C7"/>
      </w:tcPr>
    </w:tblStylePr>
    <w:tblStylePr w:type="lastRow">
      <w:rPr>
        <w:b/>
        <w:bCs/>
      </w:rPr>
      <w:tblPr/>
      <w:tcPr>
        <w:shd w:val="clear" w:color="auto" w:fill="3CC4C7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3CC4C7"/>
      </w:tcPr>
    </w:tblStylePr>
  </w:style>
  <w:style w:type="paragraph" w:customStyle="1" w:styleId="doBullets1">
    <w:name w:val="do_Bullets1"/>
    <w:basedOn w:val="Normal"/>
    <w:qFormat/>
    <w:rsid w:val="000F6F09"/>
    <w:pPr>
      <w:numPr>
        <w:numId w:val="5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7">
    <w:name w:val="do_Lijstnummering7"/>
    <w:basedOn w:val="Normal"/>
    <w:qFormat/>
    <w:rsid w:val="000F6F09"/>
    <w:pPr>
      <w:numPr>
        <w:numId w:val="6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character" w:styleId="Hyperlink">
    <w:name w:val="Hyperlink"/>
    <w:basedOn w:val="DefaultParagraphFont"/>
    <w:uiPriority w:val="99"/>
    <w:unhideWhenUsed/>
    <w:rsid w:val="00CE2EF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E2EF9"/>
    <w:rPr>
      <w:color w:val="605E5C"/>
      <w:shd w:val="clear" w:color="auto" w:fill="E1DFDD"/>
    </w:rPr>
  </w:style>
  <w:style w:type="paragraph" w:customStyle="1" w:styleId="Default">
    <w:name w:val="Default"/>
    <w:rsid w:val="00CE2EF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customStyle="1" w:styleId="doLijstnummering3">
    <w:name w:val="do_Lijstnummering3"/>
    <w:basedOn w:val="Normal"/>
    <w:qFormat/>
    <w:rsid w:val="00CE2EF9"/>
    <w:pPr>
      <w:numPr>
        <w:numId w:val="7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customStyle="1" w:styleId="doLijstnummering4">
    <w:name w:val="do_Lijstnummering4"/>
    <w:basedOn w:val="Normal"/>
    <w:qFormat/>
    <w:rsid w:val="00CE2EF9"/>
    <w:pPr>
      <w:numPr>
        <w:numId w:val="8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5">
    <w:name w:val="do_Lijstnummering5"/>
    <w:basedOn w:val="Normal"/>
    <w:qFormat/>
    <w:rsid w:val="00CE2EF9"/>
    <w:pPr>
      <w:numPr>
        <w:numId w:val="9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styleId="FootnoteText">
    <w:name w:val="footnote text"/>
    <w:basedOn w:val="Normal"/>
    <w:link w:val="FootnoteTextChar"/>
    <w:uiPriority w:val="99"/>
    <w:rsid w:val="00CE2EF9"/>
    <w:pPr>
      <w:tabs>
        <w:tab w:val="left" w:pos="284"/>
      </w:tabs>
      <w:ind w:left="284" w:hanging="284"/>
    </w:pPr>
    <w:rPr>
      <w:rFonts w:ascii="Verdana" w:hAnsi="Verdana"/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E2EF9"/>
    <w:rPr>
      <w:rFonts w:ascii="Verdana" w:hAnsi="Verdana"/>
      <w:sz w:val="14"/>
      <w:szCs w:val="20"/>
      <w:lang w:val="mt-MT"/>
    </w:rPr>
  </w:style>
  <w:style w:type="character" w:styleId="FootnoteReference">
    <w:name w:val="footnote reference"/>
    <w:basedOn w:val="DefaultParagraphFont"/>
    <w:uiPriority w:val="99"/>
    <w:semiHidden/>
    <w:unhideWhenUsed/>
    <w:rsid w:val="00CE2EF9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E16661"/>
    <w:rPr>
      <w:color w:val="954F72" w:themeColor="followedHyperlink"/>
      <w:u w:val="single"/>
    </w:rPr>
  </w:style>
  <w:style w:type="paragraph" w:customStyle="1" w:styleId="TITLEStyle">
    <w:name w:val="TITLE_Style"/>
    <w:basedOn w:val="Normal"/>
    <w:qFormat/>
    <w:rsid w:val="00E16661"/>
    <w:rPr>
      <w:rFonts w:ascii="Arial" w:hAnsi="Arial" w:cs="Arial"/>
      <w:b/>
      <w:bCs/>
      <w:color w:val="104D54"/>
      <w:sz w:val="44"/>
      <w:szCs w:val="44"/>
    </w:rPr>
  </w:style>
  <w:style w:type="paragraph" w:customStyle="1" w:styleId="COMMUNITY">
    <w:name w:val="COMMUNITY"/>
    <w:basedOn w:val="Heading1"/>
    <w:qFormat/>
    <w:rsid w:val="00795109"/>
    <w:rPr>
      <w:color w:val="104D5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175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757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80072"/>
  </w:style>
  <w:style w:type="character" w:styleId="CommentReference">
    <w:name w:val="annotation reference"/>
    <w:basedOn w:val="DefaultParagraphFont"/>
    <w:uiPriority w:val="99"/>
    <w:semiHidden/>
    <w:unhideWhenUsed/>
    <w:rsid w:val="00F800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800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8007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0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072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815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59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5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8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public-buyers-community.ec.europa.eu/communities/procurement-ai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public-buyers-community.ec.europa.eu/communities/procurement-ai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digital-strategy.ec.europa.eu/mt/library/commission-publishes-guidelines-ai-system-definition-facilitate-first-ai-acts-rules-application" TargetMode="External"/><Relationship Id="rId1" Type="http://schemas.openxmlformats.org/officeDocument/2006/relationships/hyperlink" Target="https://digital-strategy.ec.europa.eu/mt/library/commission-publishes-guidelines-ai-system-definition-facilitate-first-ai-acts-rules-application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public-buyers-community.ec.europa.eu/communities/procurement-ai" TargetMode="External"/><Relationship Id="rId2" Type="http://schemas.openxmlformats.org/officeDocument/2006/relationships/hyperlink" Target="https://public-buyers-community.ec.europa.eu/communities/procurement-ai" TargetMode="External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2B821FD596CA4199F5E15CA8AF115B" ma:contentTypeVersion="14" ma:contentTypeDescription="Create a new document." ma:contentTypeScope="" ma:versionID="8650d3972cf75cd4e3c7ef59c675ce1c">
  <xsd:schema xmlns:xsd="http://www.w3.org/2001/XMLSchema" xmlns:xs="http://www.w3.org/2001/XMLSchema" xmlns:p="http://schemas.microsoft.com/office/2006/metadata/properties" xmlns:ns2="6d5ad584-533d-4d9e-8d12-f1eda2044479" xmlns:ns3="93584799-4ddd-4bd3-91b5-fd19e73f04ec" targetNamespace="http://schemas.microsoft.com/office/2006/metadata/properties" ma:root="true" ma:fieldsID="283871b9795b1c2b0783d4cdc755a1ad" ns2:_="" ns3:_="">
    <xsd:import namespace="6d5ad584-533d-4d9e-8d12-f1eda2044479"/>
    <xsd:import namespace="93584799-4ddd-4bd3-91b5-fd19e73f04ec"/>
    <xsd:element name="properties">
      <xsd:complexType>
        <xsd:sequence>
          <xsd:element name="documentManagement">
            <xsd:complexType>
              <xsd:all>
                <xsd:element ref="ns2:Country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Pers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5ad584-533d-4d9e-8d12-f1eda2044479" elementFormDefault="qualified">
    <xsd:import namespace="http://schemas.microsoft.com/office/2006/documentManagement/types"/>
    <xsd:import namespace="http://schemas.microsoft.com/office/infopath/2007/PartnerControls"/>
    <xsd:element name="Country" ma:index="8" nillable="true" ma:displayName="Country" ma:format="Dropdown" ma:internalName="Country">
      <xsd:simpleType>
        <xsd:restriction base="dms:Choice">
          <xsd:enumeration value="BE"/>
          <xsd:enumeration value="LUX"/>
          <xsd:enumeration value="DE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Person" ma:index="21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584799-4ddd-4bd3-91b5-fd19e73f04e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untry xmlns="6d5ad584-533d-4d9e-8d12-f1eda2044479" xsi:nil="true"/>
    <Person xmlns="6d5ad584-533d-4d9e-8d12-f1eda2044479">
      <UserInfo>
        <DisplayName/>
        <AccountId xsi:nil="true"/>
        <AccountType/>
      </UserInfo>
    </Pers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EB284E6-4543-464A-93FE-2D43E8BDFE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5ad584-533d-4d9e-8d12-f1eda2044479"/>
    <ds:schemaRef ds:uri="93584799-4ddd-4bd3-91b5-fd19e73f04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CC72DA-40C8-47E9-A6AD-7AA105BC5488}">
  <ds:schemaRefs>
    <ds:schemaRef ds:uri="http://schemas.microsoft.com/office/2006/metadata/properties"/>
    <ds:schemaRef ds:uri="http://schemas.microsoft.com/office/infopath/2007/PartnerControls"/>
    <ds:schemaRef ds:uri="6d5ad584-533d-4d9e-8d12-f1eda2044479"/>
  </ds:schemaRefs>
</ds:datastoreItem>
</file>

<file path=customXml/itemProps3.xml><?xml version="1.0" encoding="utf-8"?>
<ds:datastoreItem xmlns:ds="http://schemas.openxmlformats.org/officeDocument/2006/customXml" ds:itemID="{92811281-38B1-43E1-A073-E27EBF10D79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A11DF03-4E2F-4055-B76C-DF3D6E4F60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4929</Words>
  <Characters>37813</Characters>
  <Application>Microsoft Office Word</Application>
  <DocSecurity>0</DocSecurity>
  <Lines>756</Lines>
  <Paragraphs>251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ZOUMPOULI Effie</dc:creator>
  <cp:keywords/>
  <dc:description/>
  <cp:lastModifiedBy>Translator (DGT)</cp:lastModifiedBy>
  <cp:revision>3</cp:revision>
  <dcterms:created xsi:type="dcterms:W3CDTF">2025-05-21T14:43:00Z</dcterms:created>
  <dcterms:modified xsi:type="dcterms:W3CDTF">2025-05-23T13:26:00Z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2023-10-16T12:38:12Z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a8501ab0-9169-49b1-a3e1-7da5ede2dd1a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0x010100852B821FD596CA4199F5E15CA8AF115B</vt:lpwstr>
  </property>
  <property fmtid="{D5CDD505-2E9C-101B-9397-08002B2CF9AE}" pid="10" name="ContentType">
    <vt:lpwstr>Notitie</vt:lpwstr>
  </property>
  <property fmtid="{D5CDD505-2E9C-101B-9397-08002B2CF9AE}" pid="11" name="Sectie">
    <vt:lpwstr>334;#Innovatie, Privacy ＆ Technologie|542a2c3a-4ffa-462e-99ef-841a0025a7f1</vt:lpwstr>
  </property>
  <property fmtid="{D5CDD505-2E9C-101B-9397-08002B2CF9AE}" pid="12" name="PelsClient">
    <vt:lpwstr>523;#European Commission|79355260-dde8-4717-b390-1a05499ea82d</vt:lpwstr>
  </property>
  <property fmtid="{D5CDD505-2E9C-101B-9397-08002B2CF9AE}" pid="13" name="ProcessNameTaxHTField0">
    <vt:lpwstr>49|{307288a2-e8a5-43d9-8106-4e8589797ebb}</vt:lpwstr>
  </property>
  <property fmtid="{D5CDD505-2E9C-101B-9397-08002B2CF9AE}" pid="14" name="ProcessName">
    <vt:lpwstr>1;#49|{307288a2-e8a5-43d9-8106-4e8589797ebb}</vt:lpwstr>
  </property>
  <property fmtid="{D5CDD505-2E9C-101B-9397-08002B2CF9AE}" pid="15" name="Rechtsgebied">
    <vt:lpwstr>506;#ICT|63aaa646-8006-45f2-9a88-341353711253</vt:lpwstr>
  </property>
  <property fmtid="{D5CDD505-2E9C-101B-9397-08002B2CF9AE}" pid="16" name="_dlc_DocIdItemGuid">
    <vt:lpwstr>e8d42e91-6505-4f35-b159-29b34eb7246e</vt:lpwstr>
  </property>
  <property fmtid="{D5CDD505-2E9C-101B-9397-08002B2CF9AE}" pid="17" name="Parent">
    <vt:lpwstr>523;#European Commission|79355260-dde8-4717-b390-1a05499ea82d</vt:lpwstr>
  </property>
  <property fmtid="{D5CDD505-2E9C-101B-9397-08002B2CF9AE}" pid="18" name="Sector">
    <vt:lpwstr>55;#Andere overheden|b5a7a1ab-6803-411c-aead-ebae066a035d</vt:lpwstr>
  </property>
  <property fmtid="{D5CDD505-2E9C-101B-9397-08002B2CF9AE}" pid="19" name="PelsClientTaxHTField0">
    <vt:lpwstr>European Commission|79355260-dde8-4717-b390-1a05499ea82d</vt:lpwstr>
  </property>
  <property fmtid="{D5CDD505-2E9C-101B-9397-08002B2CF9AE}" pid="20" name="ParentTaxHTField0">
    <vt:lpwstr>European Commission|79355260-dde8-4717-b390-1a05499ea82d</vt:lpwstr>
  </property>
  <property fmtid="{D5CDD505-2E9C-101B-9397-08002B2CF9AE}" pid="21" name="SectorTaxHTField0">
    <vt:lpwstr>Andere overheden|b5a7a1ab-6803-411c-aead-ebae066a035d</vt:lpwstr>
  </property>
  <property fmtid="{D5CDD505-2E9C-101B-9397-08002B2CF9AE}" pid="22" name="SectieTaxHTField0">
    <vt:lpwstr>Innovatie, Privacy ＆ Technologie|542a2c3a-4ffa-462e-99ef-841a0025a7f1</vt:lpwstr>
  </property>
  <property fmtid="{D5CDD505-2E9C-101B-9397-08002B2CF9AE}" pid="23" name="RechtsgebiedTaxHTField0">
    <vt:lpwstr>ICT|63aaa646-8006-45f2-9a88-341353711253</vt:lpwstr>
  </property>
</Properties>
</file>